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F4247B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92CFE">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7B79A7">
        <w:rPr>
          <w:b/>
          <w:i/>
          <w:noProof/>
          <w:sz w:val="24"/>
          <w:szCs w:val="24"/>
          <w:lang w:eastAsia="ko-KR"/>
        </w:rPr>
        <w:t>7</w:t>
      </w:r>
      <w:r w:rsidR="00297ABB">
        <w:rPr>
          <w:b/>
          <w:i/>
          <w:noProof/>
          <w:sz w:val="24"/>
          <w:szCs w:val="24"/>
          <w:lang w:eastAsia="ko-KR"/>
        </w:rPr>
        <w:t>14497</w:t>
      </w:r>
    </w:p>
    <w:bookmarkEnd w:id="0"/>
    <w:bookmarkEnd w:id="1"/>
    <w:p w14:paraId="2C37DAB0" w14:textId="495CF42D" w:rsidR="006D2ED0" w:rsidRPr="006E473F" w:rsidRDefault="00192CFE" w:rsidP="006D2ED0">
      <w:pPr>
        <w:pStyle w:val="CRCoverPage"/>
        <w:spacing w:after="240"/>
        <w:outlineLvl w:val="0"/>
        <w:rPr>
          <w:b/>
          <w:noProof/>
          <w:sz w:val="24"/>
          <w:szCs w:val="24"/>
        </w:rPr>
      </w:pPr>
      <w:r>
        <w:rPr>
          <w:b/>
          <w:noProof/>
          <w:sz w:val="24"/>
          <w:szCs w:val="24"/>
          <w:lang w:eastAsia="ko-KR"/>
        </w:rPr>
        <w:t>Prague</w:t>
      </w:r>
      <w:r w:rsidR="006D2ED0" w:rsidRPr="0059155C">
        <w:rPr>
          <w:b/>
          <w:noProof/>
          <w:sz w:val="24"/>
          <w:szCs w:val="24"/>
          <w:lang w:eastAsia="ko-KR"/>
        </w:rPr>
        <w:t xml:space="preserve">, </w:t>
      </w:r>
      <w:r>
        <w:rPr>
          <w:b/>
          <w:noProof/>
          <w:sz w:val="24"/>
          <w:szCs w:val="24"/>
          <w:lang w:eastAsia="ko-KR"/>
        </w:rPr>
        <w:t>Czech Republic</w:t>
      </w:r>
      <w:r w:rsidR="006D2ED0" w:rsidRPr="0059155C">
        <w:rPr>
          <w:b/>
          <w:noProof/>
          <w:sz w:val="24"/>
          <w:szCs w:val="24"/>
          <w:lang w:eastAsia="ko-KR"/>
        </w:rPr>
        <w:t xml:space="preserve">, </w:t>
      </w:r>
      <w:r w:rsidR="00196CF7">
        <w:rPr>
          <w:b/>
          <w:noProof/>
          <w:sz w:val="24"/>
          <w:szCs w:val="24"/>
          <w:lang w:eastAsia="ko-KR"/>
        </w:rPr>
        <w:t>2</w:t>
      </w:r>
      <w:r>
        <w:rPr>
          <w:b/>
          <w:noProof/>
          <w:sz w:val="24"/>
          <w:szCs w:val="24"/>
          <w:lang w:eastAsia="ko-KR"/>
        </w:rPr>
        <w:t>1</w:t>
      </w:r>
      <w:r>
        <w:rPr>
          <w:b/>
          <w:noProof/>
          <w:sz w:val="24"/>
          <w:szCs w:val="24"/>
          <w:vertAlign w:val="superscript"/>
          <w:lang w:eastAsia="ko-KR"/>
        </w:rPr>
        <w:t>st</w:t>
      </w:r>
      <w:r w:rsidR="00547659" w:rsidRPr="0059155C">
        <w:rPr>
          <w:b/>
          <w:noProof/>
          <w:sz w:val="24"/>
          <w:szCs w:val="24"/>
          <w:lang w:eastAsia="ko-KR"/>
        </w:rPr>
        <w:t xml:space="preserve"> – </w:t>
      </w:r>
      <w:r>
        <w:rPr>
          <w:b/>
          <w:noProof/>
          <w:sz w:val="24"/>
          <w:szCs w:val="24"/>
          <w:lang w:eastAsia="ko-KR"/>
        </w:rPr>
        <w:t>25</w:t>
      </w:r>
      <w:r w:rsidR="00547659" w:rsidRPr="00254CD7">
        <w:rPr>
          <w:b/>
          <w:noProof/>
          <w:sz w:val="24"/>
          <w:szCs w:val="24"/>
          <w:vertAlign w:val="superscript"/>
          <w:lang w:eastAsia="ko-KR"/>
        </w:rPr>
        <w:t>th</w:t>
      </w:r>
      <w:r>
        <w:rPr>
          <w:b/>
          <w:noProof/>
          <w:sz w:val="24"/>
          <w:szCs w:val="24"/>
          <w:lang w:eastAsia="ko-KR"/>
        </w:rPr>
        <w:t xml:space="preserve"> Aug</w:t>
      </w:r>
      <w:r w:rsidR="00C90514">
        <w:rPr>
          <w:b/>
          <w:noProof/>
          <w:sz w:val="24"/>
          <w:szCs w:val="24"/>
          <w:lang w:eastAsia="ko-KR"/>
        </w:rPr>
        <w:t xml:space="preserve"> 2017</w:t>
      </w:r>
    </w:p>
    <w:p w14:paraId="75CD537F" w14:textId="1FB0F14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92CFE">
        <w:rPr>
          <w:rFonts w:ascii="Arial" w:hAnsi="Arial"/>
          <w:sz w:val="24"/>
          <w:lang w:eastAsia="ko-KR"/>
        </w:rPr>
        <w:t>6</w:t>
      </w:r>
      <w:r w:rsidR="007B79A7">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86B9A9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96CF7">
        <w:rPr>
          <w:rFonts w:ascii="Arial" w:hAnsi="Arial"/>
          <w:sz w:val="24"/>
        </w:rPr>
        <w:t>Dynamic resource allocation for Integrated Access and Backhaul</w:t>
      </w:r>
    </w:p>
    <w:p w14:paraId="1BD90C89" w14:textId="77777777" w:rsidR="0072162A" w:rsidRDefault="0072162A" w:rsidP="000C688D">
      <w:pPr>
        <w:pBdr>
          <w:bottom w:val="single" w:sz="6" w:space="0"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214147" w14:textId="4F5442C5" w:rsidR="002048DC" w:rsidRPr="002048DC" w:rsidRDefault="002048DC" w:rsidP="002048DC">
      <w:pPr>
        <w:pStyle w:val="maintext"/>
        <w:ind w:firstLineChars="90" w:firstLine="180"/>
      </w:pPr>
      <w:r w:rsidRPr="002048DC">
        <w:t xml:space="preserve">A new study item on “Integrated Access and Backhaul for NR” was approved in RAN#75 </w:t>
      </w:r>
      <w:r w:rsidR="005D5E02">
        <w:t xml:space="preserve">[1] </w:t>
      </w:r>
      <w:r w:rsidRPr="002048DC">
        <w:t xml:space="preserve">with </w:t>
      </w:r>
      <w:r w:rsidRPr="002048DC">
        <w:rPr>
          <w:rFonts w:hint="eastAsia"/>
        </w:rPr>
        <w:t xml:space="preserve">detailed objectives </w:t>
      </w:r>
      <w:r w:rsidRPr="002048DC">
        <w:t>as follows</w:t>
      </w:r>
      <w:r w:rsidRPr="002048DC">
        <w:rPr>
          <w:rFonts w:hint="eastAsia"/>
        </w:rPr>
        <w:t>:</w:t>
      </w:r>
    </w:p>
    <w:p w14:paraId="09D201AF" w14:textId="77777777" w:rsidR="002048DC" w:rsidRPr="002048DC" w:rsidRDefault="002048DC" w:rsidP="002048DC">
      <w:pPr>
        <w:pStyle w:val="maintext"/>
        <w:numPr>
          <w:ilvl w:val="0"/>
          <w:numId w:val="10"/>
        </w:numPr>
        <w:spacing w:line="240" w:lineRule="auto"/>
        <w:ind w:firstLineChars="0"/>
        <w:rPr>
          <w:rFonts w:eastAsia="Times New Roman" w:cs="Times New Roman"/>
          <w:i/>
          <w:lang w:eastAsia="en-US"/>
        </w:rPr>
      </w:pPr>
      <w:r w:rsidRPr="002048DC">
        <w:rPr>
          <w:rFonts w:eastAsia="Times New Roman" w:cs="Times New Roman"/>
          <w:i/>
          <w:lang w:eastAsia="en-US"/>
        </w:rPr>
        <w:t>Topology management for single-hop/multi-hop and redundant connectivity [RAN2, RAN3], e.g.</w:t>
      </w:r>
    </w:p>
    <w:p w14:paraId="58975596"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 xml:space="preserve">Protocol stack and network architecture design (including interfaces between </w:t>
      </w:r>
      <w:proofErr w:type="spellStart"/>
      <w:r w:rsidRPr="002048DC">
        <w:rPr>
          <w:rFonts w:eastAsia="Times New Roman" w:cs="Times New Roman"/>
          <w:i/>
          <w:lang w:eastAsia="en-US"/>
        </w:rPr>
        <w:t>rTRPs</w:t>
      </w:r>
      <w:proofErr w:type="spellEnd"/>
      <w:r w:rsidRPr="002048DC">
        <w:rPr>
          <w:rFonts w:eastAsia="Times New Roman" w:cs="Times New Roman"/>
          <w:i/>
          <w:lang w:eastAsia="en-US"/>
        </w:rPr>
        <w:t xml:space="preserve">) considering operation of multiple relay hops between the anchor node (e.g. connection to core) and UE </w:t>
      </w:r>
    </w:p>
    <w:p w14:paraId="40BB527B"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 xml:space="preserve">Control and User plane procedures, </w:t>
      </w:r>
      <w:r w:rsidRPr="002048DC">
        <w:rPr>
          <w:rFonts w:cs="Times New Roman"/>
          <w:bCs/>
          <w:i/>
          <w:color w:val="595959"/>
          <w:lang w:eastAsia="en-US"/>
        </w:rPr>
        <w:t xml:space="preserve">including handling of </w:t>
      </w:r>
      <w:proofErr w:type="spellStart"/>
      <w:r w:rsidRPr="002048DC">
        <w:rPr>
          <w:rFonts w:cs="Times New Roman"/>
          <w:bCs/>
          <w:i/>
          <w:color w:val="595959"/>
          <w:lang w:eastAsia="en-US"/>
        </w:rPr>
        <w:t>QoS</w:t>
      </w:r>
      <w:proofErr w:type="spellEnd"/>
      <w:r w:rsidRPr="002048DC">
        <w:rPr>
          <w:rFonts w:cs="Times New Roman"/>
          <w:bCs/>
          <w:i/>
          <w:color w:val="595959"/>
          <w:lang w:eastAsia="en-US"/>
        </w:rPr>
        <w:t>,</w:t>
      </w:r>
      <w:r w:rsidRPr="002048DC">
        <w:rPr>
          <w:rFonts w:eastAsia="Times New Roman" w:cs="Times New Roman"/>
          <w:i/>
          <w:lang w:eastAsia="en-US"/>
        </w:rPr>
        <w:t xml:space="preserve"> for supporting forwarding of traffic across one or multiple wireless backhaul links</w:t>
      </w:r>
    </w:p>
    <w:p w14:paraId="6D57FD3E" w14:textId="77777777" w:rsidR="002048DC" w:rsidRPr="002048DC" w:rsidRDefault="002048DC" w:rsidP="002048DC">
      <w:pPr>
        <w:pStyle w:val="maintext"/>
        <w:numPr>
          <w:ilvl w:val="0"/>
          <w:numId w:val="10"/>
        </w:numPr>
        <w:spacing w:line="240" w:lineRule="auto"/>
        <w:ind w:firstLineChars="0"/>
        <w:rPr>
          <w:rFonts w:eastAsia="Times New Roman" w:cs="Times New Roman"/>
          <w:i/>
          <w:lang w:eastAsia="en-US"/>
        </w:rPr>
      </w:pPr>
      <w:r w:rsidRPr="002048DC">
        <w:rPr>
          <w:rFonts w:eastAsia="Times New Roman" w:cs="Times New Roman"/>
          <w:i/>
          <w:lang w:eastAsia="en-US"/>
        </w:rPr>
        <w:t>Route selection and optimization [RAN2, RAN1, RAN3], e.g.</w:t>
      </w:r>
    </w:p>
    <w:p w14:paraId="639B1514" w14:textId="77777777" w:rsidR="002048DC" w:rsidRPr="002048DC" w:rsidRDefault="002048DC" w:rsidP="002048DC">
      <w:pPr>
        <w:numPr>
          <w:ilvl w:val="1"/>
          <w:numId w:val="10"/>
        </w:numPr>
        <w:spacing w:after="0"/>
        <w:rPr>
          <w:i/>
        </w:rPr>
      </w:pPr>
      <w:r w:rsidRPr="002048DC">
        <w:rPr>
          <w:rFonts w:eastAsia="MS Mincho"/>
          <w:i/>
          <w:lang w:eastAsia="ja-JP"/>
        </w:rPr>
        <w:t>Mechanisms for discovery and management of backhaul links for TRPs with integrated backhaul and access</w:t>
      </w:r>
      <w:r w:rsidRPr="002048DC">
        <w:rPr>
          <w:rFonts w:eastAsia="MS Mincho" w:hint="eastAsia"/>
          <w:i/>
          <w:lang w:eastAsia="ja-JP"/>
        </w:rPr>
        <w:t xml:space="preserve"> functionalities</w:t>
      </w:r>
    </w:p>
    <w:p w14:paraId="4F848D49"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RAN-based mechanisms to support dynamic route selection (potentially without core network involvement) to accommodate short-term blocking and transmission of latency-sensitive traffic across backhaul links</w:t>
      </w:r>
    </w:p>
    <w:p w14:paraId="2B2D0E60"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Evaluate the benefit of resource allocation/route management coordination across multiple nodes, for end-to-end route selection and optimization.</w:t>
      </w:r>
    </w:p>
    <w:p w14:paraId="7A8D3F14" w14:textId="77777777" w:rsidR="002048DC" w:rsidRPr="002048DC" w:rsidRDefault="002048DC" w:rsidP="002048DC">
      <w:pPr>
        <w:numPr>
          <w:ilvl w:val="0"/>
          <w:numId w:val="10"/>
        </w:numPr>
        <w:overflowPunct w:val="0"/>
        <w:autoSpaceDE w:val="0"/>
        <w:autoSpaceDN w:val="0"/>
        <w:adjustRightInd w:val="0"/>
        <w:spacing w:after="0"/>
        <w:textAlignment w:val="baseline"/>
        <w:rPr>
          <w:bCs/>
          <w:i/>
        </w:rPr>
      </w:pPr>
      <w:r w:rsidRPr="002048DC">
        <w:rPr>
          <w:i/>
        </w:rPr>
        <w:t xml:space="preserve">Dynamic resource allocation between the backhaul and access links </w:t>
      </w:r>
      <w:r w:rsidRPr="002048DC">
        <w:rPr>
          <w:bCs/>
          <w:i/>
        </w:rPr>
        <w:t xml:space="preserve">[RAN1, RAN2], e.g., </w:t>
      </w:r>
    </w:p>
    <w:p w14:paraId="17B9EA0A" w14:textId="77777777" w:rsidR="002048DC" w:rsidRPr="002048DC" w:rsidRDefault="002048DC" w:rsidP="002048DC">
      <w:pPr>
        <w:pStyle w:val="maintext"/>
        <w:numPr>
          <w:ilvl w:val="1"/>
          <w:numId w:val="10"/>
        </w:numPr>
        <w:spacing w:after="0" w:line="240" w:lineRule="auto"/>
        <w:ind w:firstLineChars="0"/>
        <w:rPr>
          <w:rFonts w:eastAsia="MS Mincho"/>
          <w:i/>
          <w:lang w:eastAsia="ja-JP"/>
        </w:rPr>
      </w:pPr>
      <w:r w:rsidRPr="002048DC">
        <w:rPr>
          <w:rFonts w:eastAsia="Times New Roman" w:cs="Times New Roman"/>
          <w:i/>
          <w:lang w:eastAsia="en-US"/>
        </w:rPr>
        <w:t xml:space="preserve">Mechanisms </w:t>
      </w:r>
      <w:r w:rsidRPr="002048DC">
        <w:rPr>
          <w:rFonts w:eastAsia="MS Mincho"/>
          <w:i/>
          <w:lang w:eastAsia="ja-JP"/>
        </w:rPr>
        <w:t xml:space="preserve">to efficiently </w:t>
      </w:r>
      <w:r w:rsidRPr="002048DC">
        <w:rPr>
          <w:i/>
        </w:rPr>
        <w:t xml:space="preserve">multiplex access and backhaul links (for both DL and UL directions) in time, frequency, or space </w:t>
      </w:r>
      <w:r w:rsidRPr="002048DC">
        <w:rPr>
          <w:rFonts w:eastAsia="MS Mincho"/>
          <w:i/>
          <w:lang w:eastAsia="ja-JP"/>
        </w:rPr>
        <w:t xml:space="preserve">under a per-link </w:t>
      </w:r>
      <w:r w:rsidRPr="002048DC">
        <w:rPr>
          <w:bCs/>
          <w:i/>
          <w:lang w:val="en-US"/>
        </w:rPr>
        <w:t xml:space="preserve">half-duplex constraint </w:t>
      </w:r>
      <w:r w:rsidRPr="002048DC">
        <w:rPr>
          <w:rFonts w:eastAsia="MS Mincho"/>
          <w:i/>
          <w:lang w:eastAsia="ja-JP"/>
        </w:rPr>
        <w:t xml:space="preserve">across one or multiple backhaul link hops for both TDD and FDD operation </w:t>
      </w:r>
    </w:p>
    <w:p w14:paraId="52543A34" w14:textId="77777777" w:rsidR="002048DC" w:rsidRPr="002048DC" w:rsidRDefault="002048DC" w:rsidP="002048DC">
      <w:pPr>
        <w:pStyle w:val="maintext"/>
        <w:numPr>
          <w:ilvl w:val="1"/>
          <w:numId w:val="10"/>
        </w:numPr>
        <w:spacing w:after="0" w:line="240" w:lineRule="auto"/>
        <w:ind w:firstLineChars="0"/>
        <w:rPr>
          <w:rFonts w:eastAsia="MS Mincho"/>
          <w:i/>
          <w:lang w:eastAsia="ja-JP"/>
        </w:rPr>
      </w:pPr>
      <w:r w:rsidRPr="002048DC">
        <w:rPr>
          <w:rFonts w:eastAsia="MS Mincho"/>
          <w:i/>
          <w:lang w:eastAsia="ja-JP"/>
        </w:rPr>
        <w:t xml:space="preserve">Cross-link interference (CLI) measurement, coordination and mitigation between </w:t>
      </w:r>
      <w:proofErr w:type="spellStart"/>
      <w:r w:rsidRPr="002048DC">
        <w:rPr>
          <w:rFonts w:eastAsia="MS Mincho"/>
          <w:i/>
          <w:lang w:eastAsia="ja-JP"/>
        </w:rPr>
        <w:t>rTRPs</w:t>
      </w:r>
      <w:proofErr w:type="spellEnd"/>
      <w:r w:rsidRPr="002048DC">
        <w:rPr>
          <w:rFonts w:eastAsia="MS Mincho"/>
          <w:i/>
          <w:lang w:eastAsia="ja-JP"/>
        </w:rPr>
        <w:t xml:space="preserve"> and UEs</w:t>
      </w:r>
    </w:p>
    <w:p w14:paraId="0449BC0E" w14:textId="77777777" w:rsidR="002048DC" w:rsidRPr="002048DC" w:rsidRDefault="002048DC" w:rsidP="002048DC">
      <w:pPr>
        <w:numPr>
          <w:ilvl w:val="0"/>
          <w:numId w:val="10"/>
        </w:numPr>
        <w:spacing w:after="0"/>
        <w:rPr>
          <w:rFonts w:eastAsia="MS Mincho"/>
          <w:i/>
          <w:lang w:eastAsia="ja-JP"/>
        </w:rPr>
      </w:pPr>
      <w:r w:rsidRPr="002048DC">
        <w:rPr>
          <w:i/>
        </w:rPr>
        <w:t>High spectral efficiency while also supporting reliable transmission [RAN1]</w:t>
      </w:r>
    </w:p>
    <w:p w14:paraId="1BC00C6D" w14:textId="77777777" w:rsidR="002048DC" w:rsidRPr="002048DC" w:rsidRDefault="002048DC" w:rsidP="002048DC">
      <w:pPr>
        <w:numPr>
          <w:ilvl w:val="1"/>
          <w:numId w:val="10"/>
        </w:numPr>
        <w:overflowPunct w:val="0"/>
        <w:autoSpaceDE w:val="0"/>
        <w:autoSpaceDN w:val="0"/>
        <w:adjustRightInd w:val="0"/>
        <w:textAlignment w:val="baseline"/>
        <w:rPr>
          <w:rFonts w:eastAsia="MS Mincho"/>
          <w:i/>
          <w:lang w:eastAsia="ja-JP"/>
        </w:rPr>
      </w:pPr>
      <w:r w:rsidRPr="002048DC">
        <w:rPr>
          <w:rFonts w:eastAsia="MS Mincho"/>
          <w:i/>
          <w:lang w:eastAsia="ja-JP"/>
        </w:rPr>
        <w:t>Identification of physical layer solutions or enhancements to support wireless backhaul links with high spectral efficiency</w:t>
      </w:r>
    </w:p>
    <w:p w14:paraId="31A972F0" w14:textId="77777777" w:rsidR="002048DC" w:rsidRPr="002048DC" w:rsidRDefault="002048DC" w:rsidP="002048DC">
      <w:pPr>
        <w:numPr>
          <w:ilvl w:val="0"/>
          <w:numId w:val="10"/>
        </w:numPr>
        <w:spacing w:after="0"/>
        <w:rPr>
          <w:rFonts w:eastAsia="MS Mincho"/>
          <w:i/>
          <w:lang w:eastAsia="ja-JP"/>
        </w:rPr>
      </w:pPr>
      <w:r w:rsidRPr="002048DC">
        <w:rPr>
          <w:rFonts w:eastAsia="MS Mincho"/>
          <w:i/>
          <w:lang w:eastAsia="ja-JP"/>
        </w:rPr>
        <w:t>Note: support of these functionalities should consider existing mechanisms for access links as a starting point</w:t>
      </w:r>
    </w:p>
    <w:p w14:paraId="298FDD15" w14:textId="77777777" w:rsidR="002048DC" w:rsidRDefault="002048DC" w:rsidP="007C2CB0">
      <w:pPr>
        <w:pStyle w:val="maintext"/>
        <w:ind w:firstLineChars="0" w:firstLine="0"/>
      </w:pPr>
    </w:p>
    <w:p w14:paraId="7112AC26" w14:textId="4971F95A" w:rsidR="000C688D" w:rsidRDefault="00CC17CB" w:rsidP="00CC17CB">
      <w:pPr>
        <w:pStyle w:val="maintext"/>
        <w:ind w:firstLine="400"/>
      </w:pPr>
      <w:r>
        <w:t xml:space="preserve">In this contribution, we </w:t>
      </w:r>
      <w:r w:rsidR="007C2CB0">
        <w:t>consider the issue of dynamic resource allocation between backhaul and access links</w:t>
      </w:r>
      <w:r w:rsidR="00B70C2D">
        <w:t>.</w:t>
      </w:r>
      <w:r w:rsidR="00D714B1">
        <w:t xml:space="preserve"> Discussions on deployment scenarios and evaluation assumptions are presented in </w:t>
      </w:r>
      <w:r w:rsidR="00D714B1">
        <w:fldChar w:fldCharType="begin"/>
      </w:r>
      <w:r w:rsidR="00D714B1">
        <w:instrText xml:space="preserve"> REF _Ref485988200 \n \h </w:instrText>
      </w:r>
      <w:r w:rsidR="00D714B1">
        <w:fldChar w:fldCharType="separate"/>
      </w:r>
      <w:r w:rsidR="00D714B1">
        <w:t>[2]</w:t>
      </w:r>
      <w:r w:rsidR="00D714B1">
        <w:fldChar w:fldCharType="end"/>
      </w:r>
      <w:r w:rsidR="00D714B1">
        <w:t xml:space="preserve"> and </w:t>
      </w:r>
      <w:r w:rsidR="00D714B1">
        <w:fldChar w:fldCharType="begin"/>
      </w:r>
      <w:r w:rsidR="00D714B1">
        <w:instrText xml:space="preserve"> REF _Ref485988201 \n \h </w:instrText>
      </w:r>
      <w:r w:rsidR="00D714B1">
        <w:fldChar w:fldCharType="separate"/>
      </w:r>
      <w:r w:rsidR="00D714B1">
        <w:t>[3]</w:t>
      </w:r>
      <w:r w:rsidR="00D714B1">
        <w:fldChar w:fldCharType="end"/>
      </w:r>
      <w:r w:rsidR="00D714B1">
        <w:t>, respectively.</w:t>
      </w:r>
    </w:p>
    <w:p w14:paraId="3B821888" w14:textId="4B3B0A5D" w:rsidR="003E633B" w:rsidRDefault="00CF68C7" w:rsidP="00CF68C7">
      <w:pPr>
        <w:pStyle w:val="Heading1"/>
      </w:pPr>
      <w:r w:rsidRPr="00CF68C7">
        <w:t>Dynamic resource allocation for Integrated Access and Backhaul</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2E9ECC1" w14:textId="22B56A26" w:rsidR="002D77A5" w:rsidRDefault="00CC17CB" w:rsidP="00CC17CB">
      <w:pPr>
        <w:pStyle w:val="maintext"/>
        <w:ind w:firstLineChars="90" w:firstLine="180"/>
      </w:pPr>
      <w:r>
        <w:t xml:space="preserve">For </w:t>
      </w:r>
      <w:proofErr w:type="spellStart"/>
      <w:r>
        <w:t>outband</w:t>
      </w:r>
      <w:proofErr w:type="spellEnd"/>
      <w:r>
        <w:t xml:space="preserve"> relay, the backhaul resources are naturally orthogonal with the access resources. However for </w:t>
      </w:r>
      <w:proofErr w:type="spellStart"/>
      <w:r>
        <w:t>inband</w:t>
      </w:r>
      <w:proofErr w:type="spellEnd"/>
      <w:r>
        <w:t xml:space="preserve"> relay, due to the half-duplex constraint for relay, backhaul and access resource allocations (and hence their frame structures) would be tightly coupled. </w:t>
      </w:r>
    </w:p>
    <w:p w14:paraId="15482F77" w14:textId="5F83FF93" w:rsidR="00210DA0" w:rsidRDefault="00196CF7" w:rsidP="002D401C">
      <w:pPr>
        <w:pStyle w:val="maintext"/>
        <w:ind w:firstLineChars="90" w:firstLine="180"/>
      </w:pPr>
      <w:r>
        <w:t>D</w:t>
      </w:r>
      <w:r w:rsidR="00CC17CB" w:rsidRPr="00F80684">
        <w:t xml:space="preserve">ynamic resource allocation among backhaul and </w:t>
      </w:r>
      <w:r w:rsidR="00DA0583">
        <w:t>access links</w:t>
      </w:r>
      <w:r>
        <w:t xml:space="preserve"> is within the study scope of IAB</w:t>
      </w:r>
      <w:r w:rsidR="00DA0583">
        <w:t xml:space="preserve">, including TDM, </w:t>
      </w:r>
      <w:r w:rsidR="00CC17CB" w:rsidRPr="00F80684">
        <w:t>FDM and SDM approach</w:t>
      </w:r>
      <w:r w:rsidR="00CC17CB">
        <w:t xml:space="preserve">es under half-duplex constraint. The TDM and FDM approaches are </w:t>
      </w:r>
      <w:r w:rsidR="00343B27">
        <w:t xml:space="preserve">illustrated in </w:t>
      </w:r>
      <w:r w:rsidR="00343B27">
        <w:fldChar w:fldCharType="begin"/>
      </w:r>
      <w:r w:rsidR="00343B27">
        <w:instrText xml:space="preserve"> REF _Ref450669000 \h </w:instrText>
      </w:r>
      <w:r w:rsidR="00F8027F">
        <w:instrText xml:space="preserve"> \* MERGEFORMAT </w:instrText>
      </w:r>
      <w:r w:rsidR="00343B27">
        <w:fldChar w:fldCharType="separate"/>
      </w:r>
      <w:r w:rsidR="000154AA">
        <w:t>Figure 1</w:t>
      </w:r>
      <w:r w:rsidR="00343B27">
        <w:fldChar w:fldCharType="end"/>
      </w:r>
      <w:r w:rsidR="00343B27">
        <w:t xml:space="preserve"> and </w:t>
      </w:r>
      <w:r w:rsidR="00343B27">
        <w:fldChar w:fldCharType="begin"/>
      </w:r>
      <w:r w:rsidR="00343B27">
        <w:instrText xml:space="preserve"> REF _Ref450668998 \h </w:instrText>
      </w:r>
      <w:r w:rsidR="00F8027F">
        <w:instrText xml:space="preserve"> \* MERGEFORMAT </w:instrText>
      </w:r>
      <w:r w:rsidR="00343B27">
        <w:fldChar w:fldCharType="separate"/>
      </w:r>
      <w:r w:rsidR="000154AA">
        <w:t>Figure 2</w:t>
      </w:r>
      <w:r w:rsidR="00343B27">
        <w:fldChar w:fldCharType="end"/>
      </w:r>
      <w:r w:rsidR="00592635">
        <w:t>, respectively.</w:t>
      </w:r>
      <w:r w:rsidR="004C00BA">
        <w:t xml:space="preserve"> However, such </w:t>
      </w:r>
      <w:r w:rsidR="00896077">
        <w:t xml:space="preserve">orthogonal </w:t>
      </w:r>
      <w:r w:rsidR="004C00BA">
        <w:t xml:space="preserve">resource partitioning </w:t>
      </w:r>
      <w:r w:rsidR="00450FAD">
        <w:t xml:space="preserve">mechanisms are not scalable with the number of </w:t>
      </w:r>
      <w:proofErr w:type="spellStart"/>
      <w:r>
        <w:t>rTRP</w:t>
      </w:r>
      <w:proofErr w:type="spellEnd"/>
      <w:r w:rsidR="00450FAD">
        <w:t xml:space="preserve"> within the coverage of a donor base station</w:t>
      </w:r>
      <w:r w:rsidR="004C00BA">
        <w:t>.</w:t>
      </w:r>
      <w:r w:rsidR="00896077">
        <w:t xml:space="preserve"> </w:t>
      </w:r>
      <w:r w:rsidR="00A92FDE">
        <w:t xml:space="preserve">In our view, </w:t>
      </w:r>
      <w:r w:rsidR="00CC17CB">
        <w:t xml:space="preserve">the SDM approach is the </w:t>
      </w:r>
      <w:r w:rsidR="00896077">
        <w:t>more efficient and scalable</w:t>
      </w:r>
      <w:r w:rsidR="00CC17CB">
        <w:t xml:space="preserve"> approach </w:t>
      </w:r>
      <w:r w:rsidR="001243C6">
        <w:t>while taking into accou</w:t>
      </w:r>
      <w:r w:rsidR="00BA5FAF">
        <w:t xml:space="preserve">nt the half duplex constraint. This is possible if the backhaul DL is aligned with the access UL (such that the relay node is only performing signal reception) and if the backhaul UL is aligned with access DL (such that </w:t>
      </w:r>
      <w:r w:rsidR="00BA5FAF">
        <w:lastRenderedPageBreak/>
        <w:t xml:space="preserve">the relay is only performing signal transmission). This is illustrated in </w:t>
      </w:r>
      <w:r w:rsidR="00BA5FAF">
        <w:fldChar w:fldCharType="begin"/>
      </w:r>
      <w:r w:rsidR="00BA5FAF">
        <w:instrText xml:space="preserve"> REF _Ref450670001 \h </w:instrText>
      </w:r>
      <w:r w:rsidR="00F8027F">
        <w:instrText xml:space="preserve"> \* MERGEFORMAT </w:instrText>
      </w:r>
      <w:r w:rsidR="00BA5FAF">
        <w:fldChar w:fldCharType="separate"/>
      </w:r>
      <w:r w:rsidR="000154AA">
        <w:t>Figure 3</w:t>
      </w:r>
      <w:r w:rsidR="00BA5FAF">
        <w:fldChar w:fldCharType="end"/>
      </w:r>
      <w:r w:rsidR="00BA5FAF">
        <w:t>.</w:t>
      </w:r>
      <w:r w:rsidR="0064582D">
        <w:t xml:space="preserve"> </w:t>
      </w:r>
      <w:r w:rsidR="002D401C">
        <w:t xml:space="preserve">It follows that the </w:t>
      </w:r>
      <w:proofErr w:type="spellStart"/>
      <w:r>
        <w:t>rTRP</w:t>
      </w:r>
      <w:proofErr w:type="spellEnd"/>
      <w:r w:rsidR="002D401C">
        <w:t xml:space="preserve"> should be able to determine the </w:t>
      </w:r>
      <w:r>
        <w:t>slot</w:t>
      </w:r>
      <w:r w:rsidR="002D401C">
        <w:t xml:space="preserve"> structure of the access link for </w:t>
      </w:r>
      <w:r>
        <w:t>slot</w:t>
      </w:r>
      <w:r w:rsidR="002D401C">
        <w:t xml:space="preserve"> </w:t>
      </w:r>
      <w:r w:rsidR="002D401C" w:rsidRPr="00076667">
        <w:rPr>
          <w:i/>
        </w:rPr>
        <w:t>n</w:t>
      </w:r>
      <w:r w:rsidR="002D401C">
        <w:t xml:space="preserve"> based on the </w:t>
      </w:r>
      <w:r>
        <w:t>slot</w:t>
      </w:r>
      <w:r w:rsidR="002D401C">
        <w:t xml:space="preserve"> structure of the backhaul link for the same </w:t>
      </w:r>
      <w:r>
        <w:t>slot</w:t>
      </w:r>
      <w:r w:rsidR="002D401C">
        <w:t xml:space="preserve"> </w:t>
      </w:r>
      <w:r w:rsidR="002D401C" w:rsidRPr="00076667">
        <w:rPr>
          <w:i/>
        </w:rPr>
        <w:t>n</w:t>
      </w:r>
      <w:r w:rsidR="002D401C" w:rsidRPr="002D401C">
        <w:t>, in order to enable such alignment.</w:t>
      </w:r>
    </w:p>
    <w:p w14:paraId="61BE0EC3" w14:textId="77777777" w:rsidR="002D401C" w:rsidRPr="00210DA0" w:rsidRDefault="002D401C" w:rsidP="002D401C">
      <w:pPr>
        <w:pStyle w:val="maintext"/>
        <w:ind w:firstLineChars="90" w:firstLine="180"/>
      </w:pPr>
    </w:p>
    <w:p w14:paraId="2E4FFDEC" w14:textId="5B6F1DC2" w:rsidR="000A4DD5" w:rsidRDefault="000B3E34" w:rsidP="000A4DD5">
      <w:pPr>
        <w:pStyle w:val="maintext"/>
        <w:ind w:firstLineChars="0" w:firstLine="0"/>
      </w:pPr>
      <w:r>
        <w:rPr>
          <w:b/>
        </w:rPr>
        <w:t>Observation</w:t>
      </w:r>
      <w:r w:rsidR="00A66DFE">
        <w:rPr>
          <w:b/>
        </w:rPr>
        <w:t xml:space="preserve"> 1</w:t>
      </w:r>
      <w:r w:rsidR="000A4DD5" w:rsidRPr="000C3C17">
        <w:rPr>
          <w:b/>
        </w:rPr>
        <w:t>:</w:t>
      </w:r>
      <w:r w:rsidR="000A4DD5">
        <w:rPr>
          <w:b/>
        </w:rPr>
        <w:t xml:space="preserve"> </w:t>
      </w:r>
      <w:r w:rsidR="003A72A0" w:rsidRPr="00EE491D">
        <w:t xml:space="preserve">For efficient same frequency operation between the access link and backhaul link, spatial reuse between backhaul and access links with half-duplex constraint at </w:t>
      </w:r>
      <w:proofErr w:type="spellStart"/>
      <w:r w:rsidR="00196CF7">
        <w:t>rTRP</w:t>
      </w:r>
      <w:proofErr w:type="spellEnd"/>
      <w:r w:rsidR="003A72A0" w:rsidRPr="00EE491D">
        <w:t xml:space="preserve"> should be supported for NR.</w:t>
      </w:r>
    </w:p>
    <w:p w14:paraId="693CE511" w14:textId="77777777" w:rsidR="00EE491D" w:rsidRDefault="00EE491D" w:rsidP="000A4DD5">
      <w:pPr>
        <w:pStyle w:val="maintext"/>
        <w:ind w:firstLineChars="0" w:firstLine="0"/>
        <w:rPr>
          <w:b/>
        </w:rPr>
      </w:pPr>
    </w:p>
    <w:p w14:paraId="6314D910" w14:textId="288C6FE4" w:rsidR="002D401C" w:rsidRPr="00CE70F8" w:rsidRDefault="002D401C" w:rsidP="002D401C">
      <w:pPr>
        <w:rPr>
          <w:b/>
        </w:rPr>
      </w:pPr>
      <w:r>
        <w:rPr>
          <w:b/>
        </w:rPr>
        <w:t xml:space="preserve">Observation 2: </w:t>
      </w:r>
      <w:r w:rsidRPr="00EE491D">
        <w:t xml:space="preserve">The </w:t>
      </w:r>
      <w:proofErr w:type="spellStart"/>
      <w:r w:rsidR="00196CF7">
        <w:t>rTRP</w:t>
      </w:r>
      <w:proofErr w:type="spellEnd"/>
      <w:r w:rsidRPr="00EE491D">
        <w:t xml:space="preserve"> should be able to determine the </w:t>
      </w:r>
      <w:r w:rsidR="00196CF7">
        <w:t>slot</w:t>
      </w:r>
      <w:r w:rsidRPr="00EE491D">
        <w:t xml:space="preserve"> structure of the access link for </w:t>
      </w:r>
      <w:r w:rsidR="00196CF7">
        <w:t>slot</w:t>
      </w:r>
      <w:r w:rsidRPr="00EE491D">
        <w:t xml:space="preserve"> </w:t>
      </w:r>
      <w:r w:rsidRPr="00EE491D">
        <w:rPr>
          <w:i/>
        </w:rPr>
        <w:t>n</w:t>
      </w:r>
      <w:r w:rsidRPr="00EE491D">
        <w:t xml:space="preserve"> based on the </w:t>
      </w:r>
      <w:r w:rsidR="00196CF7">
        <w:t>slot</w:t>
      </w:r>
      <w:r w:rsidRPr="00EE491D">
        <w:t xml:space="preserve"> structure of the backhaul link for the same </w:t>
      </w:r>
      <w:r w:rsidR="00196CF7">
        <w:t>slot</w:t>
      </w:r>
      <w:r w:rsidRPr="00EE491D">
        <w:t xml:space="preserve"> </w:t>
      </w:r>
      <w:r w:rsidRPr="00EE491D">
        <w:rPr>
          <w:i/>
        </w:rPr>
        <w:t>n</w:t>
      </w:r>
      <w:r w:rsidRPr="00EE491D">
        <w:t>.</w:t>
      </w:r>
    </w:p>
    <w:p w14:paraId="2A85E848" w14:textId="77777777" w:rsidR="00343B27" w:rsidRDefault="00343B27" w:rsidP="002E0EA6">
      <w:pPr>
        <w:pStyle w:val="maintext"/>
        <w:ind w:firstLineChars="90" w:firstLine="180"/>
      </w:pPr>
    </w:p>
    <w:p w14:paraId="4555A793" w14:textId="32D823BE" w:rsidR="00AD1C55" w:rsidRDefault="00AD1C55" w:rsidP="002E0EA6">
      <w:pPr>
        <w:pStyle w:val="maintext"/>
        <w:ind w:firstLineChars="90" w:firstLine="180"/>
      </w:pPr>
      <w:r w:rsidRPr="00AD1C55">
        <w:rPr>
          <w:noProof/>
          <w:lang w:val="en-US" w:eastAsia="zh-CN"/>
        </w:rPr>
        <w:drawing>
          <wp:inline distT="0" distB="0" distL="0" distR="0" wp14:anchorId="28DFFD0D" wp14:editId="2199CCD6">
            <wp:extent cx="6464300" cy="483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516805" cy="487458"/>
                    </a:xfrm>
                    <a:prstGeom prst="rect">
                      <a:avLst/>
                    </a:prstGeom>
                  </pic:spPr>
                </pic:pic>
              </a:graphicData>
            </a:graphic>
          </wp:inline>
        </w:drawing>
      </w:r>
    </w:p>
    <w:p w14:paraId="1CD2CC9E" w14:textId="654319C4" w:rsidR="00AD1C55" w:rsidRDefault="00AD1C55" w:rsidP="00AD1C55">
      <w:pPr>
        <w:pStyle w:val="Caption"/>
        <w:ind w:left="720"/>
        <w:jc w:val="center"/>
      </w:pPr>
      <w:bookmarkStart w:id="4" w:name="_Ref450669000"/>
      <w:r>
        <w:t xml:space="preserve">Figure </w:t>
      </w:r>
      <w:r>
        <w:fldChar w:fldCharType="begin"/>
      </w:r>
      <w:r>
        <w:instrText xml:space="preserve"> SEQ Figure \* ARABIC </w:instrText>
      </w:r>
      <w:r>
        <w:fldChar w:fldCharType="separate"/>
      </w:r>
      <w:r w:rsidR="000154AA">
        <w:rPr>
          <w:noProof/>
        </w:rPr>
        <w:t>1</w:t>
      </w:r>
      <w:r>
        <w:fldChar w:fldCharType="end"/>
      </w:r>
      <w:bookmarkEnd w:id="4"/>
      <w:r>
        <w:t xml:space="preserve">: Orthogonal time domain partitioning </w:t>
      </w:r>
    </w:p>
    <w:p w14:paraId="160AF0FD" w14:textId="77777777" w:rsidR="00AD1C55" w:rsidRDefault="00AD1C55" w:rsidP="002E0EA6">
      <w:pPr>
        <w:pStyle w:val="maintext"/>
        <w:ind w:firstLineChars="90" w:firstLine="180"/>
      </w:pPr>
    </w:p>
    <w:p w14:paraId="5E007C20" w14:textId="50E5B893" w:rsidR="00AD1C55" w:rsidRDefault="00AD1C55" w:rsidP="00C042FB">
      <w:pPr>
        <w:pStyle w:val="maintext"/>
        <w:ind w:firstLineChars="90" w:firstLine="180"/>
        <w:jc w:val="center"/>
      </w:pPr>
      <w:r w:rsidRPr="00AD1C55">
        <w:rPr>
          <w:noProof/>
          <w:lang w:val="en-US" w:eastAsia="zh-CN"/>
        </w:rPr>
        <w:drawing>
          <wp:inline distT="0" distB="0" distL="0" distR="0" wp14:anchorId="17E6CA8D" wp14:editId="7AF75606">
            <wp:extent cx="5937250" cy="1007713"/>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946152" cy="1009224"/>
                    </a:xfrm>
                    <a:prstGeom prst="rect">
                      <a:avLst/>
                    </a:prstGeom>
                  </pic:spPr>
                </pic:pic>
              </a:graphicData>
            </a:graphic>
          </wp:inline>
        </w:drawing>
      </w:r>
    </w:p>
    <w:p w14:paraId="3B7C52DC" w14:textId="619544AE" w:rsidR="00AD1C55" w:rsidRDefault="00AD1C55" w:rsidP="001243C6">
      <w:pPr>
        <w:pStyle w:val="Caption"/>
        <w:ind w:left="720"/>
        <w:jc w:val="center"/>
      </w:pPr>
      <w:bookmarkStart w:id="5" w:name="_Ref450668998"/>
      <w:r>
        <w:t xml:space="preserve">Figure </w:t>
      </w:r>
      <w:r>
        <w:fldChar w:fldCharType="begin"/>
      </w:r>
      <w:r>
        <w:instrText xml:space="preserve"> SEQ Figure \* ARABIC </w:instrText>
      </w:r>
      <w:r>
        <w:fldChar w:fldCharType="separate"/>
      </w:r>
      <w:r w:rsidR="000154AA">
        <w:rPr>
          <w:noProof/>
        </w:rPr>
        <w:t>2</w:t>
      </w:r>
      <w:r>
        <w:fldChar w:fldCharType="end"/>
      </w:r>
      <w:bookmarkEnd w:id="5"/>
      <w:r>
        <w:t xml:space="preserve">: Orthogonal frequency domain partitioning </w:t>
      </w:r>
    </w:p>
    <w:p w14:paraId="2B83A880" w14:textId="77777777" w:rsidR="00AD1C55" w:rsidRDefault="00AD1C55" w:rsidP="002E0EA6">
      <w:pPr>
        <w:pStyle w:val="maintext"/>
        <w:ind w:firstLineChars="90" w:firstLine="180"/>
      </w:pPr>
    </w:p>
    <w:p w14:paraId="31A99BC7" w14:textId="398B3706" w:rsidR="00B14210" w:rsidRDefault="00343B27" w:rsidP="009A6B30">
      <w:pPr>
        <w:pStyle w:val="maintext"/>
        <w:ind w:firstLineChars="90" w:firstLine="180"/>
        <w:jc w:val="center"/>
      </w:pPr>
      <w:r w:rsidRPr="00343B27">
        <w:rPr>
          <w:noProof/>
          <w:lang w:val="en-US" w:eastAsia="zh-CN"/>
        </w:rPr>
        <w:drawing>
          <wp:inline distT="0" distB="0" distL="0" distR="0" wp14:anchorId="2CCAAB5C" wp14:editId="5213995D">
            <wp:extent cx="6193626" cy="1079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221840" cy="1084418"/>
                    </a:xfrm>
                    <a:prstGeom prst="rect">
                      <a:avLst/>
                    </a:prstGeom>
                  </pic:spPr>
                </pic:pic>
              </a:graphicData>
            </a:graphic>
          </wp:inline>
        </w:drawing>
      </w:r>
    </w:p>
    <w:p w14:paraId="7AE304F8" w14:textId="4A11D7EA" w:rsidR="0083057D" w:rsidRPr="0064582D" w:rsidRDefault="00B14210" w:rsidP="0064582D">
      <w:pPr>
        <w:pStyle w:val="Caption"/>
        <w:ind w:left="720"/>
        <w:jc w:val="center"/>
      </w:pPr>
      <w:bookmarkStart w:id="6" w:name="_Ref450670001"/>
      <w:r>
        <w:t xml:space="preserve">Figure </w:t>
      </w:r>
      <w:r>
        <w:fldChar w:fldCharType="begin"/>
      </w:r>
      <w:r>
        <w:instrText xml:space="preserve"> SEQ Figure \* ARABIC </w:instrText>
      </w:r>
      <w:r>
        <w:fldChar w:fldCharType="separate"/>
      </w:r>
      <w:r w:rsidR="000154AA">
        <w:rPr>
          <w:noProof/>
        </w:rPr>
        <w:t>3</w:t>
      </w:r>
      <w:r>
        <w:fldChar w:fldCharType="end"/>
      </w:r>
      <w:bookmarkEnd w:id="6"/>
      <w:r>
        <w:t xml:space="preserve">: </w:t>
      </w:r>
      <w:r w:rsidR="00A92FDE">
        <w:t xml:space="preserve">Spatial reuse between backhaul and access links with half-duplex constraint at </w:t>
      </w:r>
      <w:proofErr w:type="spellStart"/>
      <w:r w:rsidR="00196CF7">
        <w:t>rTRP</w:t>
      </w:r>
      <w:proofErr w:type="spellEnd"/>
      <w:r>
        <w:t xml:space="preserve"> </w:t>
      </w:r>
    </w:p>
    <w:p w14:paraId="27AC0247" w14:textId="4768CDBF" w:rsidR="00A51E49" w:rsidRDefault="00210DA0" w:rsidP="00924DB1">
      <w:pPr>
        <w:pStyle w:val="maintext"/>
        <w:ind w:firstLineChars="90" w:firstLine="180"/>
      </w:pPr>
      <w:r>
        <w:t>Moreover, to enable flexible adaptation to DL and UL traffic and to reduce the backhaul latency, it is beneficial to support dynamic resource allocation among the backhaul and access links</w:t>
      </w:r>
      <w:r w:rsidR="00A51E49">
        <w:t xml:space="preserve"> for DL and UL. This implies that for TDD systems, dynamic TDD</w:t>
      </w:r>
      <w:r w:rsidR="00007F14">
        <w:t xml:space="preserve"> operation</w:t>
      </w:r>
      <w:r w:rsidR="00A51E49">
        <w:t xml:space="preserve"> should be supported for both the backhaul and access links.</w:t>
      </w:r>
      <w:r w:rsidR="002D401C">
        <w:t xml:space="preserve"> </w:t>
      </w:r>
    </w:p>
    <w:p w14:paraId="784E6C2E" w14:textId="4A4178A7" w:rsidR="00147945" w:rsidRPr="00EE491D" w:rsidRDefault="00144EF3" w:rsidP="00A66DFE">
      <w:r>
        <w:rPr>
          <w:b/>
        </w:rPr>
        <w:t>Observation 3</w:t>
      </w:r>
      <w:r w:rsidR="00C44156" w:rsidRPr="00242861">
        <w:rPr>
          <w:b/>
        </w:rPr>
        <w:t xml:space="preserve">: </w:t>
      </w:r>
      <w:r w:rsidR="00C44156" w:rsidRPr="00EE491D">
        <w:t xml:space="preserve">Dynamic resource allocation among the backhaul and access links </w:t>
      </w:r>
      <w:r w:rsidR="00A51E49" w:rsidRPr="00EE491D">
        <w:t xml:space="preserve">for DL and UL </w:t>
      </w:r>
      <w:r w:rsidR="00CC17CB" w:rsidRPr="00EE491D">
        <w:t>is beneficial for reducing</w:t>
      </w:r>
      <w:r w:rsidR="00C44156" w:rsidRPr="00EE491D">
        <w:t xml:space="preserve"> backhaul latency.</w:t>
      </w:r>
      <w:r w:rsidR="002F3605" w:rsidRPr="00EE491D">
        <w:t xml:space="preserve"> D</w:t>
      </w:r>
      <w:r w:rsidR="007610C2" w:rsidRPr="00EE491D">
        <w:t xml:space="preserve">ynamic TDD </w:t>
      </w:r>
      <w:r w:rsidR="00007F14" w:rsidRPr="00EE491D">
        <w:t>operation</w:t>
      </w:r>
      <w:r w:rsidR="002D401C" w:rsidRPr="00EE491D">
        <w:t xml:space="preserve"> is </w:t>
      </w:r>
      <w:r w:rsidR="00210DA0" w:rsidRPr="00EE491D">
        <w:t>beneficial</w:t>
      </w:r>
      <w:r w:rsidR="007610C2" w:rsidRPr="00EE491D">
        <w:t xml:space="preserve"> for both the backhaul and the access links.</w:t>
      </w:r>
    </w:p>
    <w:p w14:paraId="3969677A" w14:textId="0F17385D" w:rsidR="002D401C" w:rsidRPr="002D401C" w:rsidRDefault="002D401C" w:rsidP="002D401C">
      <w:pPr>
        <w:pStyle w:val="maintext"/>
        <w:ind w:firstLineChars="90" w:firstLine="180"/>
      </w:pPr>
      <w:r w:rsidRPr="002D401C">
        <w:t>Backhaul traffic includes the data for multiple UEs and typically have larger payloa</w:t>
      </w:r>
      <w:r w:rsidR="001F11B2">
        <w:t xml:space="preserve">d. It would be </w:t>
      </w:r>
      <w:r w:rsidRPr="002D401C">
        <w:t>more efficient for a backhaul TTI</w:t>
      </w:r>
      <w:r w:rsidR="001F11B2">
        <w:t>(s)</w:t>
      </w:r>
      <w:r w:rsidRPr="002D401C">
        <w:t xml:space="preserve"> to span multiple </w:t>
      </w:r>
      <w:r w:rsidR="00196CF7">
        <w:t>slots</w:t>
      </w:r>
      <w:r w:rsidR="001F11B2">
        <w:t xml:space="preserve">, where the number of </w:t>
      </w:r>
      <w:r w:rsidR="00196CF7">
        <w:t>slots</w:t>
      </w:r>
      <w:r w:rsidR="001F11B2">
        <w:t xml:space="preserve"> can be signalled</w:t>
      </w:r>
      <w:r w:rsidRPr="002D401C">
        <w:t xml:space="preserve">. To support efficient spatial reuse </w:t>
      </w:r>
      <w:r w:rsidR="001F11B2">
        <w:t xml:space="preserve">via backhaul and access DL/UL alignment </w:t>
      </w:r>
      <w:r w:rsidRPr="002D401C">
        <w:t xml:space="preserve">as illustrated in </w:t>
      </w:r>
      <w:r w:rsidRPr="002D401C">
        <w:fldChar w:fldCharType="begin"/>
      </w:r>
      <w:r w:rsidRPr="002D401C">
        <w:instrText xml:space="preserve"> REF _Ref450670001 \h  \* MERGEFORMAT </w:instrText>
      </w:r>
      <w:r w:rsidRPr="002D401C">
        <w:fldChar w:fldCharType="separate"/>
      </w:r>
      <w:r w:rsidRPr="002D401C">
        <w:t>Figure 3</w:t>
      </w:r>
      <w:r w:rsidRPr="002D401C">
        <w:fldChar w:fldCharType="end"/>
      </w:r>
      <w:r w:rsidRPr="002D401C">
        <w:t>, it is also beneficial to support explicit flexible control of scheduling timing and TTI duration for DL and UL data for access links.</w:t>
      </w:r>
    </w:p>
    <w:p w14:paraId="63F14224" w14:textId="2D720C0C" w:rsidR="008A6C46" w:rsidRPr="008A6C46" w:rsidRDefault="008A6C46" w:rsidP="008A6C46">
      <w:pPr>
        <w:rPr>
          <w:b/>
        </w:rPr>
      </w:pPr>
      <w:r>
        <w:rPr>
          <w:b/>
        </w:rPr>
        <w:t xml:space="preserve">Observation 4: </w:t>
      </w:r>
      <w:r w:rsidR="001F11B2" w:rsidRPr="00EE491D">
        <w:t xml:space="preserve">Backhaul transmission typically spans multiple </w:t>
      </w:r>
      <w:r w:rsidR="00196CF7">
        <w:t>slots</w:t>
      </w:r>
      <w:r w:rsidR="001F11B2" w:rsidRPr="00EE491D">
        <w:t xml:space="preserve">. To support efficient spatial reuse via backhaul and access DL/UL alignment as illustrated in </w:t>
      </w:r>
      <w:r w:rsidR="001F11B2" w:rsidRPr="00EE491D">
        <w:fldChar w:fldCharType="begin"/>
      </w:r>
      <w:r w:rsidR="001F11B2" w:rsidRPr="00EE491D">
        <w:instrText xml:space="preserve"> REF _Ref450670001 \h  \* MERGEFORMAT </w:instrText>
      </w:r>
      <w:r w:rsidR="001F11B2" w:rsidRPr="00EE491D">
        <w:fldChar w:fldCharType="separate"/>
      </w:r>
      <w:r w:rsidR="001F11B2" w:rsidRPr="00EE491D">
        <w:t>Figure 3</w:t>
      </w:r>
      <w:r w:rsidR="001F11B2" w:rsidRPr="00EE491D">
        <w:fldChar w:fldCharType="end"/>
      </w:r>
      <w:r w:rsidR="001F11B2" w:rsidRPr="00EE491D">
        <w:t>, explicit flexible control of scheduling timing and TTI duration for DL and UL data for access links</w:t>
      </w:r>
      <w:r w:rsidR="008611B7" w:rsidRPr="00EE491D">
        <w:t xml:space="preserve"> is beneficial</w:t>
      </w:r>
      <w:r w:rsidR="001F11B2" w:rsidRPr="00EE491D">
        <w:t>.</w:t>
      </w:r>
    </w:p>
    <w:p w14:paraId="613E77E4" w14:textId="77777777" w:rsidR="003D3E2E" w:rsidRDefault="003D3E2E" w:rsidP="00900885">
      <w:pPr>
        <w:pStyle w:val="Heading1"/>
        <w:tabs>
          <w:tab w:val="num" w:pos="0"/>
        </w:tabs>
        <w:ind w:left="799" w:hanging="799"/>
      </w:pPr>
      <w:r>
        <w:rPr>
          <w:rFonts w:hint="eastAsia"/>
        </w:rPr>
        <w:t>Conclusions</w:t>
      </w:r>
    </w:p>
    <w:p w14:paraId="3319A6AB" w14:textId="3FDE7178" w:rsidR="00720A64" w:rsidRPr="00746666" w:rsidRDefault="00746666" w:rsidP="00746666">
      <w:pPr>
        <w:pStyle w:val="maintext"/>
        <w:ind w:firstLine="400"/>
      </w:pPr>
      <w:r>
        <w:t xml:space="preserve">In this contribution, we </w:t>
      </w:r>
      <w:r w:rsidR="005D5E02">
        <w:t>considered the issue of dynamic resource allocation between backhaul and access links</w:t>
      </w:r>
      <w:r>
        <w:t>.</w:t>
      </w:r>
      <w:r w:rsidR="00366ED7">
        <w:t xml:space="preserve"> Our </w:t>
      </w:r>
      <w:r w:rsidR="00144EF3">
        <w:t>observations</w:t>
      </w:r>
      <w:r w:rsidR="00366ED7">
        <w:t xml:space="preserve"> are as follows:</w:t>
      </w:r>
    </w:p>
    <w:p w14:paraId="291FBFF6" w14:textId="4FAC22CD" w:rsidR="00144EF3" w:rsidRDefault="00144EF3" w:rsidP="00144EF3">
      <w:pPr>
        <w:pStyle w:val="maintext"/>
        <w:ind w:firstLineChars="0" w:firstLine="0"/>
        <w:rPr>
          <w:b/>
        </w:rPr>
      </w:pPr>
      <w:r>
        <w:rPr>
          <w:b/>
        </w:rPr>
        <w:lastRenderedPageBreak/>
        <w:t>Observation 1</w:t>
      </w:r>
      <w:r w:rsidRPr="000C3C17">
        <w:rPr>
          <w:b/>
        </w:rPr>
        <w:t>:</w:t>
      </w:r>
      <w:r>
        <w:rPr>
          <w:b/>
        </w:rPr>
        <w:t xml:space="preserve"> </w:t>
      </w:r>
      <w:r w:rsidRPr="00EE491D">
        <w:t xml:space="preserve">For efficient same frequency operation between the access link and backhaul link, spatial reuse between backhaul and access links with half-duplex constraint at </w:t>
      </w:r>
      <w:proofErr w:type="spellStart"/>
      <w:r w:rsidR="00196CF7">
        <w:t>rTRP</w:t>
      </w:r>
      <w:proofErr w:type="spellEnd"/>
      <w:r w:rsidRPr="00EE491D">
        <w:t xml:space="preserve"> should be supported for NR.</w:t>
      </w:r>
    </w:p>
    <w:p w14:paraId="421416E9" w14:textId="7EA13FF4" w:rsidR="00144EF3" w:rsidRPr="00CE70F8" w:rsidRDefault="00144EF3" w:rsidP="00144EF3">
      <w:pPr>
        <w:rPr>
          <w:b/>
        </w:rPr>
      </w:pPr>
      <w:r>
        <w:rPr>
          <w:b/>
        </w:rPr>
        <w:t xml:space="preserve">Observation 2: </w:t>
      </w:r>
      <w:r w:rsidRPr="00EE491D">
        <w:t xml:space="preserve">The relay should be able to determine the </w:t>
      </w:r>
      <w:r w:rsidR="00196CF7">
        <w:t>slot</w:t>
      </w:r>
      <w:r w:rsidRPr="00EE491D">
        <w:t xml:space="preserve"> structure of the access link for </w:t>
      </w:r>
      <w:r w:rsidR="00196CF7">
        <w:t>slot</w:t>
      </w:r>
      <w:r w:rsidRPr="00EE491D">
        <w:t xml:space="preserve"> </w:t>
      </w:r>
      <w:r w:rsidRPr="00EE491D">
        <w:rPr>
          <w:i/>
        </w:rPr>
        <w:t>n</w:t>
      </w:r>
      <w:r w:rsidRPr="00EE491D">
        <w:t xml:space="preserve"> based on the </w:t>
      </w:r>
      <w:r w:rsidR="00196CF7">
        <w:t>slot</w:t>
      </w:r>
      <w:r w:rsidRPr="00EE491D">
        <w:t xml:space="preserve"> structure of the backhaul link for the same </w:t>
      </w:r>
      <w:r w:rsidR="00196CF7">
        <w:t>slot</w:t>
      </w:r>
      <w:r w:rsidRPr="00EE491D">
        <w:t xml:space="preserve"> </w:t>
      </w:r>
      <w:r w:rsidRPr="00EE491D">
        <w:rPr>
          <w:i/>
        </w:rPr>
        <w:t>n</w:t>
      </w:r>
      <w:r w:rsidRPr="00EE491D">
        <w:t>.</w:t>
      </w:r>
    </w:p>
    <w:p w14:paraId="41670D4E" w14:textId="77777777" w:rsidR="00144EF3" w:rsidRDefault="00144EF3" w:rsidP="00144EF3">
      <w:pPr>
        <w:rPr>
          <w:b/>
        </w:rPr>
      </w:pPr>
      <w:r>
        <w:rPr>
          <w:b/>
        </w:rPr>
        <w:t>Observation 3</w:t>
      </w:r>
      <w:r w:rsidRPr="00242861">
        <w:rPr>
          <w:b/>
        </w:rPr>
        <w:t xml:space="preserve">: </w:t>
      </w:r>
      <w:r w:rsidRPr="00EE491D">
        <w:t>Dynamic resource allocation among the backhaul and access links for DL and UL is beneficial for reducing backhaul latency. Dynamic TDD operation is beneficial for both the backhaul and the access links.</w:t>
      </w:r>
    </w:p>
    <w:p w14:paraId="005BFC6F" w14:textId="7258308D" w:rsidR="00FB57D3" w:rsidRPr="00CE70F8" w:rsidRDefault="00144EF3" w:rsidP="00144EF3">
      <w:pPr>
        <w:rPr>
          <w:b/>
        </w:rPr>
      </w:pPr>
      <w:r>
        <w:rPr>
          <w:b/>
        </w:rPr>
        <w:t xml:space="preserve">Observation 4: </w:t>
      </w:r>
      <w:r w:rsidRPr="00EE491D">
        <w:t xml:space="preserve">Backhaul transmission typically spans multiple </w:t>
      </w:r>
      <w:r w:rsidR="00196CF7">
        <w:t>slots</w:t>
      </w:r>
      <w:r w:rsidRPr="00EE491D">
        <w:t xml:space="preserve">. To support efficient spatial reuse via backhaul and access DL/UL alignment as illustrated in </w:t>
      </w:r>
      <w:r w:rsidRPr="00EE491D">
        <w:fldChar w:fldCharType="begin"/>
      </w:r>
      <w:r w:rsidRPr="00EE491D">
        <w:instrText xml:space="preserve"> REF _Ref450670001 \h  \* MERGEFORMAT </w:instrText>
      </w:r>
      <w:r w:rsidRPr="00EE491D">
        <w:fldChar w:fldCharType="separate"/>
      </w:r>
      <w:r w:rsidRPr="00EE491D">
        <w:t>Figure 3</w:t>
      </w:r>
      <w:r w:rsidRPr="00EE491D">
        <w:fldChar w:fldCharType="end"/>
      </w:r>
      <w:r w:rsidRPr="00EE491D">
        <w:t>, explicit flexible control of scheduling timing and TTI duration for DL and UL data for access links</w:t>
      </w:r>
      <w:r w:rsidR="008611B7" w:rsidRPr="00EE491D">
        <w:t xml:space="preserve"> is beneficial</w:t>
      </w:r>
      <w:r w:rsidRPr="00EE491D">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30ED593C" w:rsidR="00296E64" w:rsidRPr="00D714B1" w:rsidRDefault="00F50EF1" w:rsidP="00285747">
      <w:pPr>
        <w:pStyle w:val="2222"/>
        <w:numPr>
          <w:ilvl w:val="0"/>
          <w:numId w:val="5"/>
        </w:numPr>
        <w:spacing w:after="120" w:line="288" w:lineRule="auto"/>
        <w:ind w:left="357" w:firstLineChars="0" w:hanging="357"/>
        <w:rPr>
          <w:rFonts w:cs="Times New Roman"/>
          <w:lang w:eastAsia="ko-KR"/>
        </w:rPr>
      </w:pPr>
      <w:bookmarkStart w:id="7" w:name="_Ref446582201"/>
      <w:r w:rsidRPr="003F00C5">
        <w:rPr>
          <w:rFonts w:cs="Times New Roman"/>
          <w:lang w:eastAsia="ko-KR"/>
        </w:rPr>
        <w:t>RP-1</w:t>
      </w:r>
      <w:r w:rsidR="002048DC">
        <w:rPr>
          <w:rFonts w:cs="Times New Roman"/>
          <w:lang w:eastAsia="ko-KR"/>
        </w:rPr>
        <w:t>70821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Study on </w:t>
      </w:r>
      <w:r w:rsidR="002048DC">
        <w:rPr>
          <w:rFonts w:eastAsia="Batang" w:cs="Times New Roman"/>
          <w:lang w:eastAsia="zh-CN"/>
        </w:rPr>
        <w:t>Integrated Access and Backhaul for NR</w:t>
      </w:r>
      <w:r w:rsidR="00C6489F">
        <w:rPr>
          <w:rFonts w:eastAsia="Batang" w:cs="Times New Roman"/>
          <w:lang w:eastAsia="zh-CN"/>
        </w:rPr>
        <w:t xml:space="preserve">, </w:t>
      </w:r>
      <w:bookmarkEnd w:id="7"/>
      <w:r w:rsidR="002048DC">
        <w:rPr>
          <w:rFonts w:eastAsia="Batang" w:cs="Times New Roman"/>
          <w:lang w:eastAsia="zh-CN"/>
        </w:rPr>
        <w:t>AT&amp;T</w:t>
      </w:r>
      <w:bookmarkStart w:id="8" w:name="_GoBack"/>
      <w:bookmarkEnd w:id="8"/>
      <w:r w:rsidR="002048DC">
        <w:rPr>
          <w:rFonts w:eastAsia="Batang" w:cs="Times New Roman"/>
          <w:lang w:eastAsia="zh-CN"/>
        </w:rPr>
        <w:t>, Qualcomm, Samsung</w:t>
      </w:r>
    </w:p>
    <w:p w14:paraId="1B9DAB5B" w14:textId="66D2D14F" w:rsidR="00D714B1" w:rsidRDefault="00D714B1" w:rsidP="00D714B1">
      <w:pPr>
        <w:pStyle w:val="2222"/>
        <w:numPr>
          <w:ilvl w:val="0"/>
          <w:numId w:val="5"/>
        </w:numPr>
        <w:spacing w:after="120" w:line="288" w:lineRule="auto"/>
        <w:ind w:left="357" w:firstLineChars="0" w:hanging="357"/>
        <w:rPr>
          <w:rFonts w:cs="Times New Roman"/>
          <w:lang w:eastAsia="ko-KR"/>
        </w:rPr>
      </w:pPr>
      <w:bookmarkStart w:id="9" w:name="_Ref485988200"/>
      <w:r>
        <w:rPr>
          <w:rFonts w:cs="Times New Roman"/>
          <w:lang w:eastAsia="ko-KR"/>
        </w:rPr>
        <w:t>R1-171</w:t>
      </w:r>
      <w:r w:rsidR="00297ABB">
        <w:rPr>
          <w:rFonts w:cs="Times New Roman"/>
          <w:lang w:eastAsia="ko-KR"/>
        </w:rPr>
        <w:t>4495</w:t>
      </w:r>
      <w:r>
        <w:rPr>
          <w:rFonts w:cs="Times New Roman"/>
          <w:lang w:eastAsia="ko-KR"/>
        </w:rPr>
        <w:t xml:space="preserve"> </w:t>
      </w:r>
      <w:r w:rsidRPr="00D714B1">
        <w:rPr>
          <w:rFonts w:cs="Times New Roman"/>
          <w:lang w:eastAsia="ko-KR"/>
        </w:rPr>
        <w:t>Deployment scenarios for Integrated Access and Backhaul</w:t>
      </w:r>
      <w:r>
        <w:rPr>
          <w:rFonts w:cs="Times New Roman"/>
          <w:lang w:eastAsia="ko-KR"/>
        </w:rPr>
        <w:t>, Samsung</w:t>
      </w:r>
      <w:bookmarkEnd w:id="9"/>
    </w:p>
    <w:p w14:paraId="0B2CD028" w14:textId="71E6256C" w:rsidR="00D714B1" w:rsidRPr="000147F7" w:rsidRDefault="00D714B1" w:rsidP="00D714B1">
      <w:pPr>
        <w:pStyle w:val="2222"/>
        <w:numPr>
          <w:ilvl w:val="0"/>
          <w:numId w:val="5"/>
        </w:numPr>
        <w:spacing w:after="120" w:line="288" w:lineRule="auto"/>
        <w:ind w:left="357" w:firstLineChars="0" w:hanging="357"/>
        <w:rPr>
          <w:rFonts w:cs="Times New Roman"/>
          <w:lang w:eastAsia="ko-KR"/>
        </w:rPr>
      </w:pPr>
      <w:bookmarkStart w:id="10" w:name="_Ref485988201"/>
      <w:r>
        <w:rPr>
          <w:rFonts w:cs="Times New Roman"/>
          <w:lang w:eastAsia="ko-KR"/>
        </w:rPr>
        <w:t>R1-171</w:t>
      </w:r>
      <w:r w:rsidR="00297ABB">
        <w:rPr>
          <w:rFonts w:cs="Times New Roman"/>
          <w:lang w:eastAsia="ko-KR"/>
        </w:rPr>
        <w:t>4496</w:t>
      </w:r>
      <w:r>
        <w:rPr>
          <w:rFonts w:cs="Times New Roman"/>
          <w:lang w:eastAsia="ko-KR"/>
        </w:rPr>
        <w:t xml:space="preserve"> </w:t>
      </w:r>
      <w:r w:rsidRPr="00D714B1">
        <w:rPr>
          <w:rFonts w:cs="Times New Roman"/>
          <w:lang w:eastAsia="ko-KR"/>
        </w:rPr>
        <w:t>Evaluation assumptions for Integrated Access and Backhaul</w:t>
      </w:r>
      <w:r>
        <w:rPr>
          <w:rFonts w:cs="Times New Roman"/>
          <w:lang w:eastAsia="ko-KR"/>
        </w:rPr>
        <w:t>, Samsung</w:t>
      </w:r>
      <w:bookmarkEnd w:id="10"/>
    </w:p>
    <w:p w14:paraId="6C89A4BE" w14:textId="77777777" w:rsidR="001D687A" w:rsidRPr="002048DC" w:rsidRDefault="001D687A" w:rsidP="001D687A">
      <w:pPr>
        <w:pStyle w:val="maintext"/>
        <w:ind w:firstLine="400"/>
      </w:pPr>
    </w:p>
    <w:p w14:paraId="250D59D0" w14:textId="77777777" w:rsidR="001D687A" w:rsidRPr="001D687A" w:rsidRDefault="001D687A" w:rsidP="001D687A">
      <w:pPr>
        <w:pStyle w:val="2222"/>
        <w:spacing w:after="120" w:line="288" w:lineRule="auto"/>
        <w:ind w:firstLineChars="0"/>
        <w:rPr>
          <w:rFonts w:eastAsia="Batang" w:cs="Times New Roman"/>
          <w:lang w:val="en-US" w:eastAsia="zh-CN"/>
        </w:rPr>
      </w:pPr>
    </w:p>
    <w:sectPr w:rsidR="001D687A" w:rsidRPr="001D687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41113" w14:textId="77777777" w:rsidR="00FC1487" w:rsidRDefault="00FC1487">
      <w:r>
        <w:separator/>
      </w:r>
    </w:p>
  </w:endnote>
  <w:endnote w:type="continuationSeparator" w:id="0">
    <w:p w14:paraId="61C47A20" w14:textId="77777777" w:rsidR="00FC1487" w:rsidRDefault="00FC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6F2FE" w14:textId="77777777" w:rsidR="00FC1487" w:rsidRDefault="00FC1487">
      <w:r>
        <w:separator/>
      </w:r>
    </w:p>
  </w:footnote>
  <w:footnote w:type="continuationSeparator" w:id="0">
    <w:p w14:paraId="5A5592BB" w14:textId="77777777" w:rsidR="00FC1487" w:rsidRDefault="00FC1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9"/>
  </w:num>
  <w:num w:numId="5">
    <w:abstractNumId w:val="0"/>
  </w:num>
  <w:num w:numId="6">
    <w:abstractNumId w:val="6"/>
  </w:num>
  <w:num w:numId="7">
    <w:abstractNumId w:val="2"/>
  </w:num>
  <w:num w:numId="8">
    <w:abstractNumId w:val="7"/>
  </w:num>
  <w:num w:numId="9">
    <w:abstractNumId w:val="8"/>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7F14"/>
    <w:rsid w:val="00010921"/>
    <w:rsid w:val="00011005"/>
    <w:rsid w:val="00011A53"/>
    <w:rsid w:val="00011FB1"/>
    <w:rsid w:val="00012357"/>
    <w:rsid w:val="00012D3C"/>
    <w:rsid w:val="0001401B"/>
    <w:rsid w:val="000147F7"/>
    <w:rsid w:val="00014A78"/>
    <w:rsid w:val="000154AA"/>
    <w:rsid w:val="000167DF"/>
    <w:rsid w:val="0001695D"/>
    <w:rsid w:val="000172F4"/>
    <w:rsid w:val="000210FF"/>
    <w:rsid w:val="00021CA4"/>
    <w:rsid w:val="00022194"/>
    <w:rsid w:val="00022677"/>
    <w:rsid w:val="00022C4C"/>
    <w:rsid w:val="00030EA8"/>
    <w:rsid w:val="00031F02"/>
    <w:rsid w:val="00032854"/>
    <w:rsid w:val="0003730E"/>
    <w:rsid w:val="000375ED"/>
    <w:rsid w:val="0004152C"/>
    <w:rsid w:val="00045082"/>
    <w:rsid w:val="00046AB8"/>
    <w:rsid w:val="00046EDE"/>
    <w:rsid w:val="0005019A"/>
    <w:rsid w:val="00050F55"/>
    <w:rsid w:val="00051AFF"/>
    <w:rsid w:val="00052776"/>
    <w:rsid w:val="00053930"/>
    <w:rsid w:val="000543C0"/>
    <w:rsid w:val="000551A1"/>
    <w:rsid w:val="00055EC9"/>
    <w:rsid w:val="00056079"/>
    <w:rsid w:val="00056B06"/>
    <w:rsid w:val="00057250"/>
    <w:rsid w:val="00057CB5"/>
    <w:rsid w:val="00060151"/>
    <w:rsid w:val="0006267E"/>
    <w:rsid w:val="000627C6"/>
    <w:rsid w:val="00063215"/>
    <w:rsid w:val="00063AC6"/>
    <w:rsid w:val="00064F28"/>
    <w:rsid w:val="00065630"/>
    <w:rsid w:val="0007119C"/>
    <w:rsid w:val="00072453"/>
    <w:rsid w:val="0007345E"/>
    <w:rsid w:val="00073C42"/>
    <w:rsid w:val="000755B5"/>
    <w:rsid w:val="00076667"/>
    <w:rsid w:val="00076FF5"/>
    <w:rsid w:val="000775AB"/>
    <w:rsid w:val="00083413"/>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1D31"/>
    <w:rsid w:val="000A26F4"/>
    <w:rsid w:val="000A4DD5"/>
    <w:rsid w:val="000A5315"/>
    <w:rsid w:val="000A591F"/>
    <w:rsid w:val="000A6336"/>
    <w:rsid w:val="000A77A6"/>
    <w:rsid w:val="000B0B99"/>
    <w:rsid w:val="000B25B1"/>
    <w:rsid w:val="000B2B68"/>
    <w:rsid w:val="000B3E34"/>
    <w:rsid w:val="000B4FD7"/>
    <w:rsid w:val="000B5490"/>
    <w:rsid w:val="000B74F5"/>
    <w:rsid w:val="000C074E"/>
    <w:rsid w:val="000C14C1"/>
    <w:rsid w:val="000C2DAC"/>
    <w:rsid w:val="000C3A4B"/>
    <w:rsid w:val="000C3C17"/>
    <w:rsid w:val="000C650F"/>
    <w:rsid w:val="000C688D"/>
    <w:rsid w:val="000C6E9F"/>
    <w:rsid w:val="000D00DD"/>
    <w:rsid w:val="000D1026"/>
    <w:rsid w:val="000D19F4"/>
    <w:rsid w:val="000D25AC"/>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1C4"/>
    <w:rsid w:val="00117B15"/>
    <w:rsid w:val="00120B93"/>
    <w:rsid w:val="00121508"/>
    <w:rsid w:val="0012156A"/>
    <w:rsid w:val="00121AC2"/>
    <w:rsid w:val="0012303A"/>
    <w:rsid w:val="00123B51"/>
    <w:rsid w:val="001243C6"/>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4EF3"/>
    <w:rsid w:val="00146DE6"/>
    <w:rsid w:val="001471E4"/>
    <w:rsid w:val="00147305"/>
    <w:rsid w:val="00147945"/>
    <w:rsid w:val="001503B7"/>
    <w:rsid w:val="0015074E"/>
    <w:rsid w:val="0015445A"/>
    <w:rsid w:val="00157248"/>
    <w:rsid w:val="00162392"/>
    <w:rsid w:val="001639BD"/>
    <w:rsid w:val="001643C7"/>
    <w:rsid w:val="00164498"/>
    <w:rsid w:val="001649A0"/>
    <w:rsid w:val="0016551E"/>
    <w:rsid w:val="001658A2"/>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2CFE"/>
    <w:rsid w:val="0019499E"/>
    <w:rsid w:val="00196998"/>
    <w:rsid w:val="00196CF7"/>
    <w:rsid w:val="00197BA4"/>
    <w:rsid w:val="001A2884"/>
    <w:rsid w:val="001A3681"/>
    <w:rsid w:val="001A3AFD"/>
    <w:rsid w:val="001A3EC6"/>
    <w:rsid w:val="001A53DF"/>
    <w:rsid w:val="001A56C7"/>
    <w:rsid w:val="001B010D"/>
    <w:rsid w:val="001B1FAD"/>
    <w:rsid w:val="001B39E7"/>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D687A"/>
    <w:rsid w:val="001E01A3"/>
    <w:rsid w:val="001E083E"/>
    <w:rsid w:val="001E2551"/>
    <w:rsid w:val="001E52BF"/>
    <w:rsid w:val="001E5959"/>
    <w:rsid w:val="001E6796"/>
    <w:rsid w:val="001F0774"/>
    <w:rsid w:val="001F11B2"/>
    <w:rsid w:val="001F1669"/>
    <w:rsid w:val="001F2638"/>
    <w:rsid w:val="001F3815"/>
    <w:rsid w:val="001F3BD8"/>
    <w:rsid w:val="001F4519"/>
    <w:rsid w:val="001F5199"/>
    <w:rsid w:val="001F6F91"/>
    <w:rsid w:val="001F7B02"/>
    <w:rsid w:val="001F7C2B"/>
    <w:rsid w:val="00202049"/>
    <w:rsid w:val="00202279"/>
    <w:rsid w:val="00202BE0"/>
    <w:rsid w:val="002044FD"/>
    <w:rsid w:val="002048DC"/>
    <w:rsid w:val="00205DF1"/>
    <w:rsid w:val="00210DA0"/>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61"/>
    <w:rsid w:val="002428B8"/>
    <w:rsid w:val="00242921"/>
    <w:rsid w:val="00244EF2"/>
    <w:rsid w:val="00245C3D"/>
    <w:rsid w:val="002469F1"/>
    <w:rsid w:val="0024758D"/>
    <w:rsid w:val="00251DAC"/>
    <w:rsid w:val="0025287D"/>
    <w:rsid w:val="0025697E"/>
    <w:rsid w:val="00257528"/>
    <w:rsid w:val="002576FF"/>
    <w:rsid w:val="00257F7E"/>
    <w:rsid w:val="00261804"/>
    <w:rsid w:val="00261808"/>
    <w:rsid w:val="002624DF"/>
    <w:rsid w:val="00262587"/>
    <w:rsid w:val="002638DC"/>
    <w:rsid w:val="00264580"/>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747"/>
    <w:rsid w:val="00287951"/>
    <w:rsid w:val="00287F14"/>
    <w:rsid w:val="002904E3"/>
    <w:rsid w:val="00290A8A"/>
    <w:rsid w:val="00290AEF"/>
    <w:rsid w:val="00290BE2"/>
    <w:rsid w:val="0029296E"/>
    <w:rsid w:val="00293E6E"/>
    <w:rsid w:val="00294508"/>
    <w:rsid w:val="002958FD"/>
    <w:rsid w:val="00295B0A"/>
    <w:rsid w:val="00296433"/>
    <w:rsid w:val="00296E64"/>
    <w:rsid w:val="00297ABB"/>
    <w:rsid w:val="002A0D1E"/>
    <w:rsid w:val="002A1E47"/>
    <w:rsid w:val="002A3A3D"/>
    <w:rsid w:val="002A4DC5"/>
    <w:rsid w:val="002A74C0"/>
    <w:rsid w:val="002A74D6"/>
    <w:rsid w:val="002B3B3B"/>
    <w:rsid w:val="002B4C6E"/>
    <w:rsid w:val="002B52C6"/>
    <w:rsid w:val="002B57DB"/>
    <w:rsid w:val="002B6BDA"/>
    <w:rsid w:val="002B71B0"/>
    <w:rsid w:val="002C0D28"/>
    <w:rsid w:val="002C1230"/>
    <w:rsid w:val="002C46A5"/>
    <w:rsid w:val="002D233C"/>
    <w:rsid w:val="002D2EF7"/>
    <w:rsid w:val="002D401C"/>
    <w:rsid w:val="002D488B"/>
    <w:rsid w:val="002D53AF"/>
    <w:rsid w:val="002D5B2B"/>
    <w:rsid w:val="002D6FEE"/>
    <w:rsid w:val="002D77A5"/>
    <w:rsid w:val="002E0EA6"/>
    <w:rsid w:val="002E11B9"/>
    <w:rsid w:val="002E2CB4"/>
    <w:rsid w:val="002E315D"/>
    <w:rsid w:val="002E333E"/>
    <w:rsid w:val="002E5EC2"/>
    <w:rsid w:val="002E60AB"/>
    <w:rsid w:val="002F00C5"/>
    <w:rsid w:val="002F28D8"/>
    <w:rsid w:val="002F3605"/>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6A39"/>
    <w:rsid w:val="00337211"/>
    <w:rsid w:val="00337623"/>
    <w:rsid w:val="00343B27"/>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D7"/>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21D2"/>
    <w:rsid w:val="003A4806"/>
    <w:rsid w:val="003A5945"/>
    <w:rsid w:val="003A6961"/>
    <w:rsid w:val="003A69C3"/>
    <w:rsid w:val="003A72A0"/>
    <w:rsid w:val="003A730C"/>
    <w:rsid w:val="003B0AC6"/>
    <w:rsid w:val="003B33FB"/>
    <w:rsid w:val="003B784F"/>
    <w:rsid w:val="003B7F88"/>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932"/>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2421"/>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71CE"/>
    <w:rsid w:val="00450C48"/>
    <w:rsid w:val="00450FAD"/>
    <w:rsid w:val="00452E54"/>
    <w:rsid w:val="004530DE"/>
    <w:rsid w:val="0045322C"/>
    <w:rsid w:val="00454D22"/>
    <w:rsid w:val="00455E7A"/>
    <w:rsid w:val="0045694D"/>
    <w:rsid w:val="00461C28"/>
    <w:rsid w:val="004624A3"/>
    <w:rsid w:val="00465BED"/>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AC"/>
    <w:rsid w:val="004965F3"/>
    <w:rsid w:val="004A0A28"/>
    <w:rsid w:val="004A2F45"/>
    <w:rsid w:val="004A360E"/>
    <w:rsid w:val="004A43B9"/>
    <w:rsid w:val="004A4659"/>
    <w:rsid w:val="004A48E9"/>
    <w:rsid w:val="004A4968"/>
    <w:rsid w:val="004A5660"/>
    <w:rsid w:val="004A574A"/>
    <w:rsid w:val="004A5A2F"/>
    <w:rsid w:val="004A73B7"/>
    <w:rsid w:val="004B02A2"/>
    <w:rsid w:val="004B0763"/>
    <w:rsid w:val="004B2890"/>
    <w:rsid w:val="004B37FF"/>
    <w:rsid w:val="004B38E1"/>
    <w:rsid w:val="004B3FBF"/>
    <w:rsid w:val="004B461B"/>
    <w:rsid w:val="004B4C96"/>
    <w:rsid w:val="004C00BA"/>
    <w:rsid w:val="004C1AC1"/>
    <w:rsid w:val="004C2115"/>
    <w:rsid w:val="004C3B1D"/>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26"/>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05BE"/>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6E"/>
    <w:rsid w:val="0054367D"/>
    <w:rsid w:val="00544D62"/>
    <w:rsid w:val="005475F9"/>
    <w:rsid w:val="00547659"/>
    <w:rsid w:val="0055167A"/>
    <w:rsid w:val="00553AF5"/>
    <w:rsid w:val="00555F2F"/>
    <w:rsid w:val="00557AD0"/>
    <w:rsid w:val="00562229"/>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635"/>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29D"/>
    <w:rsid w:val="005D0C6E"/>
    <w:rsid w:val="005D0EB6"/>
    <w:rsid w:val="005D1475"/>
    <w:rsid w:val="005D2F66"/>
    <w:rsid w:val="005D3C4F"/>
    <w:rsid w:val="005D46FD"/>
    <w:rsid w:val="005D545E"/>
    <w:rsid w:val="005D547F"/>
    <w:rsid w:val="005D5E02"/>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4F7C"/>
    <w:rsid w:val="0064582D"/>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F1D"/>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4271"/>
    <w:rsid w:val="00746666"/>
    <w:rsid w:val="00746D48"/>
    <w:rsid w:val="00750E72"/>
    <w:rsid w:val="00753A41"/>
    <w:rsid w:val="00755AD7"/>
    <w:rsid w:val="00756864"/>
    <w:rsid w:val="00760CE8"/>
    <w:rsid w:val="007610C2"/>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592B"/>
    <w:rsid w:val="007B299C"/>
    <w:rsid w:val="007B2A97"/>
    <w:rsid w:val="007B3ED7"/>
    <w:rsid w:val="007B49B4"/>
    <w:rsid w:val="007B6146"/>
    <w:rsid w:val="007B79A7"/>
    <w:rsid w:val="007C077D"/>
    <w:rsid w:val="007C1FEB"/>
    <w:rsid w:val="007C25EB"/>
    <w:rsid w:val="007C2CB0"/>
    <w:rsid w:val="007C3228"/>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C98"/>
    <w:rsid w:val="00822B88"/>
    <w:rsid w:val="00822F8F"/>
    <w:rsid w:val="00824242"/>
    <w:rsid w:val="0082540F"/>
    <w:rsid w:val="00825973"/>
    <w:rsid w:val="008266A5"/>
    <w:rsid w:val="008272E0"/>
    <w:rsid w:val="00830131"/>
    <w:rsid w:val="0083057D"/>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48FA"/>
    <w:rsid w:val="008550B6"/>
    <w:rsid w:val="00860184"/>
    <w:rsid w:val="00860ECC"/>
    <w:rsid w:val="008611B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077"/>
    <w:rsid w:val="008A026C"/>
    <w:rsid w:val="008A3312"/>
    <w:rsid w:val="008A4260"/>
    <w:rsid w:val="008A4B3A"/>
    <w:rsid w:val="008A4D2F"/>
    <w:rsid w:val="008A4E83"/>
    <w:rsid w:val="008A60FF"/>
    <w:rsid w:val="008A6641"/>
    <w:rsid w:val="008A6C46"/>
    <w:rsid w:val="008A7736"/>
    <w:rsid w:val="008B2920"/>
    <w:rsid w:val="008B2F61"/>
    <w:rsid w:val="008B494B"/>
    <w:rsid w:val="008B6030"/>
    <w:rsid w:val="008B6602"/>
    <w:rsid w:val="008C3FDD"/>
    <w:rsid w:val="008C5D63"/>
    <w:rsid w:val="008C7A40"/>
    <w:rsid w:val="008D324A"/>
    <w:rsid w:val="008D5A50"/>
    <w:rsid w:val="008D5BAB"/>
    <w:rsid w:val="008D6F43"/>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4DB1"/>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87229"/>
    <w:rsid w:val="00990DD9"/>
    <w:rsid w:val="0099106A"/>
    <w:rsid w:val="00991371"/>
    <w:rsid w:val="009919B8"/>
    <w:rsid w:val="00992D1F"/>
    <w:rsid w:val="00993AA0"/>
    <w:rsid w:val="00995128"/>
    <w:rsid w:val="0099527E"/>
    <w:rsid w:val="00996D1C"/>
    <w:rsid w:val="009A067C"/>
    <w:rsid w:val="009A20C6"/>
    <w:rsid w:val="009A2B5A"/>
    <w:rsid w:val="009A4121"/>
    <w:rsid w:val="009A546A"/>
    <w:rsid w:val="009A6B30"/>
    <w:rsid w:val="009B245D"/>
    <w:rsid w:val="009B40B4"/>
    <w:rsid w:val="009B4837"/>
    <w:rsid w:val="009B78C4"/>
    <w:rsid w:val="009B7F8D"/>
    <w:rsid w:val="009C09A4"/>
    <w:rsid w:val="009C17FC"/>
    <w:rsid w:val="009C2DD9"/>
    <w:rsid w:val="009C3A0D"/>
    <w:rsid w:val="009C43E2"/>
    <w:rsid w:val="009C487F"/>
    <w:rsid w:val="009C614B"/>
    <w:rsid w:val="009C6B5D"/>
    <w:rsid w:val="009C7129"/>
    <w:rsid w:val="009C7F5A"/>
    <w:rsid w:val="009D0202"/>
    <w:rsid w:val="009D0769"/>
    <w:rsid w:val="009D0F6C"/>
    <w:rsid w:val="009D1438"/>
    <w:rsid w:val="009D15E4"/>
    <w:rsid w:val="009D17C2"/>
    <w:rsid w:val="009D26AB"/>
    <w:rsid w:val="009D45C5"/>
    <w:rsid w:val="009E10C0"/>
    <w:rsid w:val="009E2872"/>
    <w:rsid w:val="009E4A14"/>
    <w:rsid w:val="009F0422"/>
    <w:rsid w:val="009F0D5B"/>
    <w:rsid w:val="009F1A2B"/>
    <w:rsid w:val="009F307D"/>
    <w:rsid w:val="009F34AE"/>
    <w:rsid w:val="009F451D"/>
    <w:rsid w:val="009F5B4F"/>
    <w:rsid w:val="00A02D0F"/>
    <w:rsid w:val="00A0774C"/>
    <w:rsid w:val="00A109F3"/>
    <w:rsid w:val="00A113DA"/>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E49"/>
    <w:rsid w:val="00A51FC5"/>
    <w:rsid w:val="00A52EBF"/>
    <w:rsid w:val="00A5697C"/>
    <w:rsid w:val="00A60EBA"/>
    <w:rsid w:val="00A61895"/>
    <w:rsid w:val="00A6241F"/>
    <w:rsid w:val="00A62ADF"/>
    <w:rsid w:val="00A63D53"/>
    <w:rsid w:val="00A6611E"/>
    <w:rsid w:val="00A66DFE"/>
    <w:rsid w:val="00A67623"/>
    <w:rsid w:val="00A70256"/>
    <w:rsid w:val="00A70D7D"/>
    <w:rsid w:val="00A7142C"/>
    <w:rsid w:val="00A71B76"/>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2FDE"/>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BCB"/>
    <w:rsid w:val="00AC10FE"/>
    <w:rsid w:val="00AC2ABA"/>
    <w:rsid w:val="00AC3BC2"/>
    <w:rsid w:val="00AC4104"/>
    <w:rsid w:val="00AC414E"/>
    <w:rsid w:val="00AC5F5B"/>
    <w:rsid w:val="00AC7214"/>
    <w:rsid w:val="00AD058B"/>
    <w:rsid w:val="00AD0FDB"/>
    <w:rsid w:val="00AD1C55"/>
    <w:rsid w:val="00AD23E8"/>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421"/>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357A"/>
    <w:rsid w:val="00B14210"/>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1D84"/>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0C2D"/>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97428"/>
    <w:rsid w:val="00BA0940"/>
    <w:rsid w:val="00BA267A"/>
    <w:rsid w:val="00BA3A0E"/>
    <w:rsid w:val="00BA3D0B"/>
    <w:rsid w:val="00BA5A0C"/>
    <w:rsid w:val="00BA5FAF"/>
    <w:rsid w:val="00BB0244"/>
    <w:rsid w:val="00BB308A"/>
    <w:rsid w:val="00BB3744"/>
    <w:rsid w:val="00BB3C1A"/>
    <w:rsid w:val="00BB3F75"/>
    <w:rsid w:val="00BB4764"/>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2FB"/>
    <w:rsid w:val="00C0469F"/>
    <w:rsid w:val="00C04EB8"/>
    <w:rsid w:val="00C0522E"/>
    <w:rsid w:val="00C06B4F"/>
    <w:rsid w:val="00C10261"/>
    <w:rsid w:val="00C10A32"/>
    <w:rsid w:val="00C1271B"/>
    <w:rsid w:val="00C132DF"/>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3D0A"/>
    <w:rsid w:val="00C44156"/>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40C"/>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0514"/>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0AA0"/>
    <w:rsid w:val="00CC109A"/>
    <w:rsid w:val="00CC17CB"/>
    <w:rsid w:val="00CC27A1"/>
    <w:rsid w:val="00CC29CE"/>
    <w:rsid w:val="00CC2EC6"/>
    <w:rsid w:val="00CC423C"/>
    <w:rsid w:val="00CC4D1A"/>
    <w:rsid w:val="00CC5DFD"/>
    <w:rsid w:val="00CC6844"/>
    <w:rsid w:val="00CC7C46"/>
    <w:rsid w:val="00CC7C8D"/>
    <w:rsid w:val="00CC7E95"/>
    <w:rsid w:val="00CD13E5"/>
    <w:rsid w:val="00CD1BD3"/>
    <w:rsid w:val="00CD3320"/>
    <w:rsid w:val="00CD66F3"/>
    <w:rsid w:val="00CD6D6B"/>
    <w:rsid w:val="00CE10DF"/>
    <w:rsid w:val="00CE1480"/>
    <w:rsid w:val="00CE1D79"/>
    <w:rsid w:val="00CE29FE"/>
    <w:rsid w:val="00CE4166"/>
    <w:rsid w:val="00CE4F8B"/>
    <w:rsid w:val="00CE597D"/>
    <w:rsid w:val="00CE70F8"/>
    <w:rsid w:val="00CE7370"/>
    <w:rsid w:val="00CE7998"/>
    <w:rsid w:val="00CE7F74"/>
    <w:rsid w:val="00CF03A8"/>
    <w:rsid w:val="00CF0C5D"/>
    <w:rsid w:val="00CF2DEB"/>
    <w:rsid w:val="00CF32AB"/>
    <w:rsid w:val="00CF359A"/>
    <w:rsid w:val="00CF3790"/>
    <w:rsid w:val="00CF3B66"/>
    <w:rsid w:val="00CF4F42"/>
    <w:rsid w:val="00CF57C7"/>
    <w:rsid w:val="00CF68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178"/>
    <w:rsid w:val="00D21563"/>
    <w:rsid w:val="00D268B8"/>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4B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58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63F0"/>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16"/>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1861"/>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551"/>
    <w:rsid w:val="00E777F8"/>
    <w:rsid w:val="00E84296"/>
    <w:rsid w:val="00E84536"/>
    <w:rsid w:val="00E84B03"/>
    <w:rsid w:val="00E87A93"/>
    <w:rsid w:val="00E87B10"/>
    <w:rsid w:val="00E902AB"/>
    <w:rsid w:val="00E90C53"/>
    <w:rsid w:val="00E90F78"/>
    <w:rsid w:val="00E91A36"/>
    <w:rsid w:val="00E91DF8"/>
    <w:rsid w:val="00E92A40"/>
    <w:rsid w:val="00E9308B"/>
    <w:rsid w:val="00E93471"/>
    <w:rsid w:val="00E953B9"/>
    <w:rsid w:val="00E958B5"/>
    <w:rsid w:val="00E95A75"/>
    <w:rsid w:val="00E95EBC"/>
    <w:rsid w:val="00EA0256"/>
    <w:rsid w:val="00EA1043"/>
    <w:rsid w:val="00EA15EC"/>
    <w:rsid w:val="00EA1E56"/>
    <w:rsid w:val="00EA2847"/>
    <w:rsid w:val="00EA395F"/>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66F9"/>
    <w:rsid w:val="00EE082D"/>
    <w:rsid w:val="00EE08C5"/>
    <w:rsid w:val="00EE442B"/>
    <w:rsid w:val="00EE4827"/>
    <w:rsid w:val="00EE491D"/>
    <w:rsid w:val="00EF0DBD"/>
    <w:rsid w:val="00EF12AC"/>
    <w:rsid w:val="00EF21E2"/>
    <w:rsid w:val="00EF2C8E"/>
    <w:rsid w:val="00EF2D06"/>
    <w:rsid w:val="00EF2E76"/>
    <w:rsid w:val="00EF5990"/>
    <w:rsid w:val="00EF692D"/>
    <w:rsid w:val="00EF6A09"/>
    <w:rsid w:val="00EF71ED"/>
    <w:rsid w:val="00EF72A1"/>
    <w:rsid w:val="00EF738B"/>
    <w:rsid w:val="00F0129F"/>
    <w:rsid w:val="00F01548"/>
    <w:rsid w:val="00F01774"/>
    <w:rsid w:val="00F01D83"/>
    <w:rsid w:val="00F01FD0"/>
    <w:rsid w:val="00F03174"/>
    <w:rsid w:val="00F0387E"/>
    <w:rsid w:val="00F03B43"/>
    <w:rsid w:val="00F040F9"/>
    <w:rsid w:val="00F0419F"/>
    <w:rsid w:val="00F0432F"/>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51"/>
    <w:rsid w:val="00F32A82"/>
    <w:rsid w:val="00F32FFD"/>
    <w:rsid w:val="00F34BD1"/>
    <w:rsid w:val="00F3545D"/>
    <w:rsid w:val="00F370D1"/>
    <w:rsid w:val="00F37941"/>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27F"/>
    <w:rsid w:val="00F80684"/>
    <w:rsid w:val="00F806FA"/>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09"/>
    <w:rsid w:val="00F94410"/>
    <w:rsid w:val="00F94C74"/>
    <w:rsid w:val="00F95ADC"/>
    <w:rsid w:val="00F97AB2"/>
    <w:rsid w:val="00FA1886"/>
    <w:rsid w:val="00FA1977"/>
    <w:rsid w:val="00FA37F1"/>
    <w:rsid w:val="00FA7C6D"/>
    <w:rsid w:val="00FB03EA"/>
    <w:rsid w:val="00FB1962"/>
    <w:rsid w:val="00FB4F84"/>
    <w:rsid w:val="00FB52F3"/>
    <w:rsid w:val="00FB556B"/>
    <w:rsid w:val="00FB57D3"/>
    <w:rsid w:val="00FB6B74"/>
    <w:rsid w:val="00FB7598"/>
    <w:rsid w:val="00FB7C17"/>
    <w:rsid w:val="00FC0D33"/>
    <w:rsid w:val="00FC1487"/>
    <w:rsid w:val="00FC1D4F"/>
    <w:rsid w:val="00FC2BA3"/>
    <w:rsid w:val="00FC6C75"/>
    <w:rsid w:val="00FC71D7"/>
    <w:rsid w:val="00FC79E0"/>
    <w:rsid w:val="00FD0D5B"/>
    <w:rsid w:val="00FD1195"/>
    <w:rsid w:val="00FD194D"/>
    <w:rsid w:val="00FD2879"/>
    <w:rsid w:val="00FD3250"/>
    <w:rsid w:val="00FD3BD9"/>
    <w:rsid w:val="00FD73F6"/>
    <w:rsid w:val="00FD7DAF"/>
    <w:rsid w:val="00FE0227"/>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9E10C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65741252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70E12-FB95-4820-98CE-E3FE5910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15</cp:revision>
  <cp:lastPrinted>2012-03-15T10:36:00Z</cp:lastPrinted>
  <dcterms:created xsi:type="dcterms:W3CDTF">2017-02-04T00:58:00Z</dcterms:created>
  <dcterms:modified xsi:type="dcterms:W3CDTF">2017-08-11T18:40:00Z</dcterms:modified>
</cp:coreProperties>
</file>