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3B205" w14:textId="4E01A099" w:rsidR="00EF4B41" w:rsidRPr="003F410D" w:rsidRDefault="0066502F" w:rsidP="00EF4B41">
      <w:pPr>
        <w:pStyle w:val="Header"/>
        <w:tabs>
          <w:tab w:val="clear" w:pos="4536"/>
        </w:tabs>
        <w:rPr>
          <w:i/>
        </w:rPr>
      </w:pPr>
      <w:r w:rsidRPr="0066502F">
        <w:t xml:space="preserve">3GPP TSG-RAN WG1 </w:t>
      </w:r>
      <w:r w:rsidR="00804DA4">
        <w:t>#90</w:t>
      </w:r>
      <w:r w:rsidR="00EF4B41" w:rsidRPr="003F410D">
        <w:tab/>
      </w:r>
      <w:r w:rsidR="00DC6DE5" w:rsidRPr="00972C37">
        <w:t>R1-17</w:t>
      </w:r>
      <w:r w:rsidR="00972C37" w:rsidRPr="00972C37">
        <w:t>14452</w:t>
      </w:r>
    </w:p>
    <w:p w14:paraId="502147DA" w14:textId="4C26A227" w:rsidR="00EF4B41" w:rsidRPr="000833FA" w:rsidRDefault="00804DA4" w:rsidP="00EF4B41">
      <w:pPr>
        <w:pStyle w:val="Header"/>
        <w:rPr>
          <w:color w:val="000000"/>
        </w:rPr>
      </w:pPr>
      <w:r w:rsidRPr="00804DA4">
        <w:t>Prague, Czech Republic, 21-25 August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452342EE"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4256E">
        <w:t xml:space="preserve">On </w:t>
      </w:r>
      <w:r w:rsidR="005F7AB5">
        <w:t>timing advance</w:t>
      </w:r>
    </w:p>
    <w:p w14:paraId="0DB675C4" w14:textId="29BFD372" w:rsidR="00F618ED" w:rsidRPr="00E220C0" w:rsidRDefault="00F618ED" w:rsidP="00F618ED">
      <w:pPr>
        <w:pStyle w:val="Header"/>
        <w:tabs>
          <w:tab w:val="left" w:pos="1800"/>
        </w:tabs>
      </w:pPr>
      <w:r w:rsidRPr="00E220C0">
        <w:t>Agenda Item:</w:t>
      </w:r>
      <w:bookmarkStart w:id="1" w:name="Source"/>
      <w:bookmarkEnd w:id="1"/>
      <w:r w:rsidRPr="00E220C0">
        <w:tab/>
      </w:r>
      <w:r w:rsidR="00804DA4" w:rsidRPr="000F6FC0">
        <w:t>6.1.3.3.</w:t>
      </w:r>
      <w:r w:rsidR="000F6FC0" w:rsidRPr="000F6FC0">
        <w:t>9</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307F088B" w14:textId="6A782F25" w:rsidR="00A057EA" w:rsidRPr="0022072F" w:rsidRDefault="005F7AB5" w:rsidP="0022072F">
      <w:pPr>
        <w:pStyle w:val="BodyText"/>
      </w:pPr>
      <w:r w:rsidRPr="005F7AB5">
        <w:t>In LTE, uplink orthogonality is achieved by ensuring the transmissions from different UEs in the same cell are timing-aligned received by eNB and avoiding intra-cell interference between UEs. The timing alignment is implemented by applying a timing advance (TA) at UE transmitted uplink</w:t>
      </w:r>
      <w:r>
        <w:t xml:space="preserve"> sub</w:t>
      </w:r>
      <w:r w:rsidRPr="005F7AB5">
        <w:t>frame, relati</w:t>
      </w:r>
      <w:r>
        <w:t>ve to the received downlink sub</w:t>
      </w:r>
      <w:r w:rsidRPr="005F7AB5">
        <w:t>frame. Therefore, it is important for NR to evaluate if there is potential impact of different numerologies on timing advance.</w:t>
      </w:r>
    </w:p>
    <w:p w14:paraId="635F5223" w14:textId="2D83E804" w:rsidR="004B1C8B" w:rsidRDefault="00230310" w:rsidP="00230310">
      <w:pPr>
        <w:pStyle w:val="Heading1"/>
        <w:spacing w:before="180"/>
        <w:ind w:left="562" w:hanging="562"/>
      </w:pPr>
      <w:r>
        <w:t>Discussion</w:t>
      </w:r>
    </w:p>
    <w:p w14:paraId="707BF1EC" w14:textId="55113261" w:rsidR="005F7AB5" w:rsidRDefault="005F7AB5" w:rsidP="005F7AB5">
      <w:pPr>
        <w:pStyle w:val="BodyText"/>
      </w:pPr>
      <w:r>
        <w:t xml:space="preserve">In LTE, up to Rel-10 there is no Timing Advance Group (TAG) defined for component carriers, this means that a single TA value is applicable to all </w:t>
      </w:r>
      <w:r w:rsidR="00113360">
        <w:t>component carriers</w:t>
      </w:r>
      <w:r>
        <w:t xml:space="preserve">. Since Rel-11 onwards, the concept of TAG was introduced which consists of one or more serving cells with the same uplink TA value. </w:t>
      </w:r>
    </w:p>
    <w:p w14:paraId="2E76163B" w14:textId="588FA351" w:rsidR="005F7AB5" w:rsidRDefault="005F7AB5" w:rsidP="005F7AB5">
      <w:pPr>
        <w:pStyle w:val="BodyText"/>
      </w:pPr>
      <w:r>
        <w:t>For NR, the maximum number of TAGs has been discussed by R</w:t>
      </w:r>
      <w:r w:rsidR="00972C37">
        <w:t>AN1, where the discussions turn</w:t>
      </w:r>
      <w:r>
        <w:t xml:space="preserve"> out that many companies tend to reuse the LTE upper bound. Therefore, we suggest that</w:t>
      </w:r>
    </w:p>
    <w:p w14:paraId="3B793605" w14:textId="4442A072" w:rsidR="005F7AB5" w:rsidRPr="005F7AB5" w:rsidRDefault="005F7AB5" w:rsidP="00A057EA">
      <w:pPr>
        <w:pStyle w:val="BodyText"/>
        <w:rPr>
          <w:b/>
          <w:i/>
        </w:rPr>
      </w:pPr>
      <w:r w:rsidRPr="005F7AB5">
        <w:rPr>
          <w:b/>
          <w:i/>
        </w:rPr>
        <w:t>Proposal 1: Same as in LTE, up to 4 TAGs are supported for NR</w:t>
      </w:r>
      <w:r>
        <w:rPr>
          <w:b/>
          <w:i/>
        </w:rPr>
        <w:t>.</w:t>
      </w:r>
    </w:p>
    <w:p w14:paraId="54A159B3" w14:textId="5580E99A" w:rsidR="005F7AB5" w:rsidRDefault="005F7AB5" w:rsidP="00A057EA">
      <w:pPr>
        <w:pStyle w:val="BodyText"/>
      </w:pPr>
      <w:r w:rsidRPr="005F7AB5">
        <w:t xml:space="preserve">Even within the same component carrier, it has been agreed in </w:t>
      </w:r>
      <w:r>
        <w:fldChar w:fldCharType="begin"/>
      </w:r>
      <w:r>
        <w:instrText xml:space="preserve"> REF _Ref490211300 \r \h </w:instrText>
      </w:r>
      <w:r>
        <w:fldChar w:fldCharType="separate"/>
      </w:r>
      <w:r>
        <w:t>[1]</w:t>
      </w:r>
      <w:r>
        <w:fldChar w:fldCharType="end"/>
      </w:r>
      <w:r>
        <w:t>, that different Bandw</w:t>
      </w:r>
      <w:r w:rsidRPr="005F7AB5">
        <w:t xml:space="preserve">idth Parts (BWPs) can be configured, and each BWP is connected to a certain numerology. A UE can be configured with one or multiple BWPs. The TAG was designed to group multiple </w:t>
      </w:r>
      <w:r>
        <w:t>UL component carrier</w:t>
      </w:r>
      <w:r w:rsidRPr="005F7AB5">
        <w:t xml:space="preserve"> that share the same timing advance. For each TAG, the </w:t>
      </w:r>
      <w:r>
        <w:t>single TA value</w:t>
      </w:r>
      <w:r w:rsidRPr="005F7AB5">
        <w:t xml:space="preserve"> is used as the timing reference for the whole group. Therefore, it is a reasonable assumption that BWPs </w:t>
      </w:r>
      <w:r>
        <w:t>on</w:t>
      </w:r>
      <w:r w:rsidRPr="005F7AB5">
        <w:t xml:space="preserve"> the same </w:t>
      </w:r>
      <w:r>
        <w:t>UL component carrier</w:t>
      </w:r>
      <w:r w:rsidRPr="005F7AB5">
        <w:t xml:space="preserve"> belong to the TAG that this </w:t>
      </w:r>
      <w:r>
        <w:t>UL component carrier</w:t>
      </w:r>
      <w:r w:rsidRPr="005F7AB5">
        <w:t xml:space="preserve"> is associated with. In other words, BWPs use the timing advance of their associated </w:t>
      </w:r>
      <w:r>
        <w:t>UL component carrier</w:t>
      </w:r>
      <w:r w:rsidRPr="005F7AB5">
        <w:t>, a</w:t>
      </w:r>
      <w:r>
        <w:t>s the timing reference. The gNB</w:t>
      </w:r>
      <w:r w:rsidRPr="005F7AB5">
        <w:t xml:space="preserve"> configures TAGs for each UE similarly as that in LTE.</w:t>
      </w:r>
    </w:p>
    <w:p w14:paraId="010F9536" w14:textId="5E82B37C" w:rsidR="005F7AB5" w:rsidRPr="005F7AB5" w:rsidRDefault="005F7AB5" w:rsidP="00A057EA">
      <w:pPr>
        <w:pStyle w:val="BodyText"/>
        <w:rPr>
          <w:b/>
          <w:i/>
        </w:rPr>
      </w:pPr>
      <w:r w:rsidRPr="005F7AB5">
        <w:rPr>
          <w:b/>
          <w:i/>
        </w:rPr>
        <w:t xml:space="preserve">Proposal 2: The BWPs belonging to the same </w:t>
      </w:r>
      <w:r>
        <w:rPr>
          <w:b/>
          <w:i/>
        </w:rPr>
        <w:t>UL component carrier</w:t>
      </w:r>
      <w:r w:rsidRPr="005F7AB5">
        <w:rPr>
          <w:b/>
          <w:i/>
        </w:rPr>
        <w:t xml:space="preserve"> are included in the same TAG</w:t>
      </w:r>
      <w:r>
        <w:rPr>
          <w:b/>
          <w:i/>
        </w:rPr>
        <w:t>.</w:t>
      </w:r>
    </w:p>
    <w:p w14:paraId="6A242FBE" w14:textId="0630ABA2" w:rsidR="005F7AB5" w:rsidRDefault="005F7AB5" w:rsidP="00A057EA">
      <w:pPr>
        <w:pStyle w:val="BodyText"/>
      </w:pPr>
      <w:r>
        <w:t>One TA value can thus be applied to UL transmissions using different numerologies, either on one UL component carrier (multiple BWP) or across component carriers (carrier aggregation with different numerologies).</w:t>
      </w:r>
    </w:p>
    <w:p w14:paraId="4FC39258" w14:textId="2CC28BE7" w:rsidR="005F7AB5" w:rsidRDefault="005F7AB5" w:rsidP="00A057EA">
      <w:pPr>
        <w:pStyle w:val="BodyText"/>
      </w:pPr>
      <w:r>
        <w:t xml:space="preserve">The TA procedure aims to keep all UL transmission well within the cyclic prefix. In LTE, the resolution of the TA command is </w:t>
      </w:r>
      <m:oMath>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 1/(15000 x 2048)</m:t>
        </m:r>
      </m:oMath>
      <w:r w:rsidRPr="005F7AB5">
        <w:t xml:space="preserve"> seconds</w:t>
      </w:r>
      <w:r>
        <w:t xml:space="preserve">). In contribution </w:t>
      </w:r>
      <w:r>
        <w:fldChar w:fldCharType="begin"/>
      </w:r>
      <w:r>
        <w:instrText xml:space="preserve"> REF _Ref490211508 \r \h </w:instrText>
      </w:r>
      <w:r>
        <w:fldChar w:fldCharType="separate"/>
      </w:r>
      <w:r>
        <w:t>[2]</w:t>
      </w:r>
      <w:r>
        <w:fldChar w:fldCharType="end"/>
      </w:r>
      <w:r>
        <w:t xml:space="preserve"> we show that this TA resolution, together with the expected UE measurement accuracy, can result in an TA error of </w:t>
      </w:r>
      <m:oMath>
        <m:r>
          <w:rPr>
            <w:rFonts w:ascii="Cambria Math" w:hAnsi="Cambria Math"/>
          </w:rPr>
          <m:t>±12</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or </w:t>
      </w:r>
      <m:oMath>
        <m:r>
          <w:rPr>
            <w:rFonts w:ascii="Cambria Math" w:hAnsi="Cambria Math"/>
          </w:rPr>
          <m:t>±0.4 μs</m:t>
        </m:r>
      </m:oMath>
      <w:r>
        <w:t xml:space="preserve">. Expressed in terms of normal LTE cyclic prefix, the total timing uncertainty becomes </w:t>
      </w:r>
      <m:oMath>
        <m:f>
          <m:fPr>
            <m:type m:val="lin"/>
            <m:ctrlPr>
              <w:rPr>
                <w:rFonts w:ascii="Cambria Math" w:hAnsi="Cambria Math"/>
                <w:i/>
              </w:rPr>
            </m:ctrlPr>
          </m:fPr>
          <m:num>
            <m:r>
              <w:rPr>
                <w:rFonts w:ascii="Cambria Math" w:hAnsi="Cambria Math"/>
              </w:rPr>
              <m:t>24</m:t>
            </m:r>
          </m:num>
          <m:den>
            <m:r>
              <w:rPr>
                <w:rFonts w:ascii="Cambria Math" w:hAnsi="Cambria Math"/>
              </w:rPr>
              <m:t>144=17 %</m:t>
            </m:r>
          </m:den>
        </m:f>
      </m:oMath>
      <w:r>
        <w:t xml:space="preserve"> of the LTE cyclic prefix.</w:t>
      </w:r>
    </w:p>
    <w:p w14:paraId="166645A6" w14:textId="6F571064" w:rsidR="005F7AB5" w:rsidRDefault="005F7AB5" w:rsidP="00A057EA">
      <w:pPr>
        <w:pStyle w:val="BodyText"/>
      </w:pPr>
      <w:r>
        <w:t xml:space="preserve">The main purpose of the cyclic prefix is not to cover timing uncertainty but to enable robustness towards delay spread. It is reasonable to request that for higher numerologies approximately the same fraction of the CP is used for timing uncertainty errors while the majority of the cyclic prefix is left to protect against delay spread. To maintain this fraction the TA command resolution for different numerologies must scale in the same way as the cyclic prefix does. The cyclic prefix for higher numerologies scales with the subcarrier spacing relative to 15 kHz. For higher numerologies with normal cyclic prefix the TA command resolution should scale </w:t>
      </w:r>
      <w:r w:rsidRPr="005F7AB5">
        <w:t xml:space="preserve">with </w:t>
      </w:r>
      <w:r>
        <w:t>subcarrier spacing</w:t>
      </w:r>
      <w:r w:rsidRPr="005F7AB5">
        <w:t>.</w:t>
      </w:r>
      <w:r>
        <w:t xml:space="preserve"> 60 kHz numerology also defines an extended cyclic prefix that corresponds roughly to the 15 kHz normal cyclic prefix, here the 15 kHz TA command resolution could be reused. </w:t>
      </w:r>
    </w:p>
    <w:p w14:paraId="33CADA25" w14:textId="6C8367C2" w:rsidR="005F7AB5" w:rsidRDefault="005F7AB5" w:rsidP="00A057EA">
      <w:pPr>
        <w:pStyle w:val="BodyText"/>
        <w:rPr>
          <w:b/>
          <w:i/>
        </w:rPr>
      </w:pPr>
      <w:r w:rsidRPr="005F7AB5">
        <w:rPr>
          <w:b/>
          <w:i/>
        </w:rPr>
        <w:t xml:space="preserve">Proposal 3: For numerologies with normal </w:t>
      </w:r>
      <w:r w:rsidR="003B3061">
        <w:rPr>
          <w:b/>
          <w:i/>
        </w:rPr>
        <w:t>cyclic prefix</w:t>
      </w:r>
      <w:r w:rsidRPr="005F7AB5">
        <w:rPr>
          <w:b/>
          <w:i/>
        </w:rPr>
        <w:t>, scale TA command resolution with subcarrier spacing, from 16 Ts for 15 kHz subcarrier spacing.</w:t>
      </w:r>
    </w:p>
    <w:p w14:paraId="2712DD1C" w14:textId="4A7D0CF5" w:rsidR="005F7AB5" w:rsidRDefault="005F7AB5" w:rsidP="00A057EA">
      <w:pPr>
        <w:pStyle w:val="BodyText"/>
        <w:rPr>
          <w:b/>
          <w:i/>
        </w:rPr>
      </w:pPr>
      <w:r>
        <w:rPr>
          <w:b/>
          <w:i/>
        </w:rPr>
        <w:t xml:space="preserve">Proposal 4: If a TAG </w:t>
      </w:r>
      <w:r w:rsidR="000F6FC0">
        <w:rPr>
          <w:b/>
          <w:i/>
        </w:rPr>
        <w:t>contains configured UL component carriers and/or BWP with</w:t>
      </w:r>
      <w:r>
        <w:rPr>
          <w:b/>
          <w:i/>
        </w:rPr>
        <w:t xml:space="preserve"> different numerologies, the numerology </w:t>
      </w:r>
      <w:r w:rsidR="003B3061">
        <w:rPr>
          <w:b/>
          <w:i/>
        </w:rPr>
        <w:t xml:space="preserve">with shortest cyclic prefix </w:t>
      </w:r>
      <w:r>
        <w:rPr>
          <w:b/>
          <w:i/>
        </w:rPr>
        <w:t>determines the TA command resolution.</w:t>
      </w:r>
    </w:p>
    <w:p w14:paraId="05FC3154" w14:textId="77777777" w:rsidR="005F7AB5" w:rsidRDefault="005F7AB5">
      <w:pPr>
        <w:spacing w:after="160" w:line="259" w:lineRule="auto"/>
        <w:rPr>
          <w:rFonts w:ascii="Helvetica" w:eastAsia="MS Mincho" w:hAnsi="Helvetica" w:cs="Arial"/>
          <w:b/>
          <w:bCs/>
          <w:kern w:val="32"/>
          <w:sz w:val="28"/>
          <w:szCs w:val="32"/>
        </w:rPr>
      </w:pPr>
      <w:r>
        <w:br w:type="page"/>
      </w:r>
    </w:p>
    <w:p w14:paraId="6C34731C" w14:textId="0D4AB486" w:rsidR="00DA7D33" w:rsidRDefault="00DA7D33" w:rsidP="00DA7D33">
      <w:pPr>
        <w:pStyle w:val="Heading1"/>
        <w:spacing w:before="180"/>
        <w:ind w:left="562" w:hanging="562"/>
      </w:pPr>
      <w:r>
        <w:lastRenderedPageBreak/>
        <w:t>Conclusion</w:t>
      </w:r>
    </w:p>
    <w:p w14:paraId="2F9A72A7" w14:textId="06FAA203" w:rsidR="00EC06DD" w:rsidRDefault="005E1283" w:rsidP="005E1283">
      <w:pPr>
        <w:pStyle w:val="BodyText"/>
      </w:pPr>
      <w:r>
        <w:t xml:space="preserve">In this paper we discuss </w:t>
      </w:r>
      <w:r w:rsidR="005F7AB5">
        <w:t>timing advance and its dependency on numerology. In particular, the following is proposed:</w:t>
      </w:r>
    </w:p>
    <w:p w14:paraId="5825EFB5" w14:textId="32E363E9" w:rsidR="005F7AB5" w:rsidRPr="005F7AB5" w:rsidRDefault="005F7AB5" w:rsidP="005E1283">
      <w:pPr>
        <w:pStyle w:val="BodyText"/>
        <w:rPr>
          <w:b/>
          <w:i/>
        </w:rPr>
      </w:pPr>
      <w:r w:rsidRPr="005F7AB5">
        <w:rPr>
          <w:b/>
          <w:i/>
        </w:rPr>
        <w:t>Proposal 1: Same as in LTE, up to 4 TAGs are supported for NR</w:t>
      </w:r>
      <w:r>
        <w:rPr>
          <w:b/>
          <w:i/>
        </w:rPr>
        <w:t>.</w:t>
      </w:r>
    </w:p>
    <w:p w14:paraId="193FA06E" w14:textId="77777777" w:rsidR="005F7AB5" w:rsidRPr="005F7AB5" w:rsidRDefault="005F7AB5" w:rsidP="005F7AB5">
      <w:pPr>
        <w:pStyle w:val="BodyText"/>
        <w:rPr>
          <w:b/>
          <w:i/>
        </w:rPr>
      </w:pPr>
      <w:r w:rsidRPr="005F7AB5">
        <w:rPr>
          <w:b/>
          <w:i/>
        </w:rPr>
        <w:t xml:space="preserve">Proposal 2: The BWPs belonging to the same </w:t>
      </w:r>
      <w:r>
        <w:rPr>
          <w:b/>
          <w:i/>
        </w:rPr>
        <w:t>UL component carrier</w:t>
      </w:r>
      <w:r w:rsidRPr="005F7AB5">
        <w:rPr>
          <w:b/>
          <w:i/>
        </w:rPr>
        <w:t xml:space="preserve"> are included in the same TAG</w:t>
      </w:r>
      <w:r>
        <w:rPr>
          <w:b/>
          <w:i/>
        </w:rPr>
        <w:t>.</w:t>
      </w:r>
    </w:p>
    <w:p w14:paraId="4FEF1A3B" w14:textId="77777777" w:rsidR="003B3061" w:rsidRDefault="003B3061" w:rsidP="003B3061">
      <w:pPr>
        <w:pStyle w:val="BodyText"/>
        <w:rPr>
          <w:b/>
          <w:i/>
        </w:rPr>
      </w:pPr>
      <w:r w:rsidRPr="005F7AB5">
        <w:rPr>
          <w:b/>
          <w:i/>
        </w:rPr>
        <w:t xml:space="preserve">Proposal 3: For numerologies with normal </w:t>
      </w:r>
      <w:r>
        <w:rPr>
          <w:b/>
          <w:i/>
        </w:rPr>
        <w:t>cyclic prefix</w:t>
      </w:r>
      <w:r w:rsidRPr="005F7AB5">
        <w:rPr>
          <w:b/>
          <w:i/>
        </w:rPr>
        <w:t>, scale TA command resolution with subcarrier spacing, from 16 Ts for 15 kHz subcarrier spacing.</w:t>
      </w:r>
    </w:p>
    <w:p w14:paraId="22CE1E7B" w14:textId="130C6A37" w:rsidR="003B3061" w:rsidRPr="005F7AB5" w:rsidRDefault="000F6FC0" w:rsidP="003B3061">
      <w:pPr>
        <w:pStyle w:val="BodyText"/>
        <w:rPr>
          <w:b/>
          <w:i/>
        </w:rPr>
      </w:pPr>
      <w:r>
        <w:rPr>
          <w:b/>
          <w:i/>
        </w:rPr>
        <w:t>Proposal 4: If a TAG contains configured UL component carriers and/or BWP with different numerologies, the numerology with shortest cyclic prefix determines the TA command resolution.</w:t>
      </w:r>
    </w:p>
    <w:p w14:paraId="717DBD18" w14:textId="13B149DF" w:rsidR="00EB4D27" w:rsidRDefault="00EB4D27" w:rsidP="00F10964">
      <w:pPr>
        <w:pStyle w:val="Heading1"/>
        <w:numPr>
          <w:ilvl w:val="0"/>
          <w:numId w:val="0"/>
        </w:numPr>
        <w:spacing w:before="180"/>
      </w:pPr>
      <w:r>
        <w:t>References</w:t>
      </w:r>
    </w:p>
    <w:p w14:paraId="64996F2F" w14:textId="5996B0B0" w:rsidR="005F7AB5" w:rsidRDefault="00804DA4" w:rsidP="005F7AB5">
      <w:pPr>
        <w:pStyle w:val="BodyText"/>
        <w:numPr>
          <w:ilvl w:val="0"/>
          <w:numId w:val="30"/>
        </w:numPr>
        <w:ind w:left="426" w:hanging="426"/>
      </w:pPr>
      <w:bookmarkStart w:id="3" w:name="_Ref490055603"/>
      <w:bookmarkStart w:id="4" w:name="_Ref490211300"/>
      <w:bookmarkStart w:id="5" w:name="_GoBack"/>
      <w:bookmarkEnd w:id="5"/>
      <w:r>
        <w:t>“RAN1 Chairman’s Notes”, 3GPP TSG RAN WG1 Meeting NR #2, June 2017.</w:t>
      </w:r>
      <w:bookmarkEnd w:id="3"/>
      <w:bookmarkEnd w:id="4"/>
    </w:p>
    <w:p w14:paraId="2F0640A6" w14:textId="268F5AC1" w:rsidR="005F7AB5" w:rsidRDefault="005F7AB5" w:rsidP="005F7AB5">
      <w:pPr>
        <w:pStyle w:val="BodyText"/>
        <w:numPr>
          <w:ilvl w:val="0"/>
          <w:numId w:val="30"/>
        </w:numPr>
        <w:ind w:left="426" w:hanging="426"/>
      </w:pPr>
      <w:r w:rsidRPr="005F7AB5">
        <w:t>R4-1706716</w:t>
      </w:r>
      <w:r>
        <w:t>, “</w:t>
      </w:r>
      <w:r w:rsidRPr="005F7AB5">
        <w:t>Requirements for NR UE timing advance</w:t>
      </w:r>
      <w:r>
        <w:t>”, Ericsson</w:t>
      </w:r>
    </w:p>
    <w:sectPr w:rsidR="005F7AB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30D9E" w14:textId="77777777" w:rsidR="00322F6D" w:rsidRDefault="00322F6D" w:rsidP="002C3DFA">
      <w:r>
        <w:separator/>
      </w:r>
    </w:p>
  </w:endnote>
  <w:endnote w:type="continuationSeparator" w:id="0">
    <w:p w14:paraId="6B478AD6" w14:textId="77777777" w:rsidR="00322F6D" w:rsidRDefault="00322F6D" w:rsidP="002C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684EA" w14:textId="77777777" w:rsidR="00322F6D" w:rsidRDefault="00322F6D" w:rsidP="002C3DFA">
      <w:r>
        <w:separator/>
      </w:r>
    </w:p>
  </w:footnote>
  <w:footnote w:type="continuationSeparator" w:id="0">
    <w:p w14:paraId="7C10AFB7" w14:textId="77777777" w:rsidR="00322F6D" w:rsidRDefault="00322F6D" w:rsidP="002C3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C1BCF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982814"/>
    <w:multiLevelType w:val="hybridMultilevel"/>
    <w:tmpl w:val="8B3A9EBC"/>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
  </w:num>
  <w:num w:numId="4">
    <w:abstractNumId w:val="28"/>
  </w:num>
  <w:num w:numId="5">
    <w:abstractNumId w:val="25"/>
  </w:num>
  <w:num w:numId="6">
    <w:abstractNumId w:val="22"/>
  </w:num>
  <w:num w:numId="7">
    <w:abstractNumId w:val="27"/>
  </w:num>
  <w:num w:numId="8">
    <w:abstractNumId w:val="26"/>
  </w:num>
  <w:num w:numId="9">
    <w:abstractNumId w:val="11"/>
  </w:num>
  <w:num w:numId="10">
    <w:abstractNumId w:val="4"/>
  </w:num>
  <w:num w:numId="11">
    <w:abstractNumId w:val="18"/>
  </w:num>
  <w:num w:numId="12">
    <w:abstractNumId w:val="29"/>
  </w:num>
  <w:num w:numId="13">
    <w:abstractNumId w:val="3"/>
  </w:num>
  <w:num w:numId="14">
    <w:abstractNumId w:val="5"/>
  </w:num>
  <w:num w:numId="15">
    <w:abstractNumId w:val="14"/>
  </w:num>
  <w:num w:numId="16">
    <w:abstractNumId w:val="6"/>
  </w:num>
  <w:num w:numId="17">
    <w:abstractNumId w:val="28"/>
  </w:num>
  <w:num w:numId="18">
    <w:abstractNumId w:val="17"/>
  </w:num>
  <w:num w:numId="19">
    <w:abstractNumId w:val="23"/>
  </w:num>
  <w:num w:numId="20">
    <w:abstractNumId w:val="10"/>
  </w:num>
  <w:num w:numId="21">
    <w:abstractNumId w:val="9"/>
  </w:num>
  <w:num w:numId="22">
    <w:abstractNumId w:val="24"/>
  </w:num>
  <w:num w:numId="23">
    <w:abstractNumId w:val="13"/>
  </w:num>
  <w:num w:numId="24">
    <w:abstractNumId w:val="12"/>
  </w:num>
  <w:num w:numId="25">
    <w:abstractNumId w:val="15"/>
  </w:num>
  <w:num w:numId="26">
    <w:abstractNumId w:val="21"/>
  </w:num>
  <w:num w:numId="27">
    <w:abstractNumId w:val="8"/>
  </w:num>
  <w:num w:numId="28">
    <w:abstractNumId w:val="0"/>
  </w:num>
  <w:num w:numId="29">
    <w:abstractNumId w:val="2"/>
  </w:num>
  <w:num w:numId="30">
    <w:abstractNumId w:val="20"/>
  </w:num>
  <w:num w:numId="31">
    <w:abstractNumId w:val="28"/>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B1690"/>
    <w:rsid w:val="000F6FC0"/>
    <w:rsid w:val="00106ABF"/>
    <w:rsid w:val="00113360"/>
    <w:rsid w:val="001326AF"/>
    <w:rsid w:val="00195B45"/>
    <w:rsid w:val="001A4A44"/>
    <w:rsid w:val="001B243C"/>
    <w:rsid w:val="001F0CAF"/>
    <w:rsid w:val="00213303"/>
    <w:rsid w:val="0022072F"/>
    <w:rsid w:val="00230310"/>
    <w:rsid w:val="0024256E"/>
    <w:rsid w:val="00244460"/>
    <w:rsid w:val="00247FAB"/>
    <w:rsid w:val="0028065B"/>
    <w:rsid w:val="00286B6D"/>
    <w:rsid w:val="002C3DFA"/>
    <w:rsid w:val="002E444B"/>
    <w:rsid w:val="002E7BAB"/>
    <w:rsid w:val="00322F6D"/>
    <w:rsid w:val="0034475B"/>
    <w:rsid w:val="003A064F"/>
    <w:rsid w:val="003B3061"/>
    <w:rsid w:val="003F33ED"/>
    <w:rsid w:val="003F3D06"/>
    <w:rsid w:val="003F410D"/>
    <w:rsid w:val="00407725"/>
    <w:rsid w:val="00434CD6"/>
    <w:rsid w:val="0048093F"/>
    <w:rsid w:val="0049799A"/>
    <w:rsid w:val="004B1C8B"/>
    <w:rsid w:val="0052140E"/>
    <w:rsid w:val="00546EB1"/>
    <w:rsid w:val="005514B5"/>
    <w:rsid w:val="005838EA"/>
    <w:rsid w:val="005A2927"/>
    <w:rsid w:val="005E1283"/>
    <w:rsid w:val="005F7AB5"/>
    <w:rsid w:val="00615549"/>
    <w:rsid w:val="00627565"/>
    <w:rsid w:val="0066502F"/>
    <w:rsid w:val="006A286A"/>
    <w:rsid w:val="006B1453"/>
    <w:rsid w:val="006B481E"/>
    <w:rsid w:val="006C78B4"/>
    <w:rsid w:val="006D4A4B"/>
    <w:rsid w:val="0073260D"/>
    <w:rsid w:val="007C7533"/>
    <w:rsid w:val="00804DA4"/>
    <w:rsid w:val="00813D98"/>
    <w:rsid w:val="008A0342"/>
    <w:rsid w:val="008D5332"/>
    <w:rsid w:val="00916E30"/>
    <w:rsid w:val="00920E04"/>
    <w:rsid w:val="00924E96"/>
    <w:rsid w:val="00942F98"/>
    <w:rsid w:val="00972C37"/>
    <w:rsid w:val="009867D7"/>
    <w:rsid w:val="009A0611"/>
    <w:rsid w:val="009E46CD"/>
    <w:rsid w:val="00A057EA"/>
    <w:rsid w:val="00A17B52"/>
    <w:rsid w:val="00A610A9"/>
    <w:rsid w:val="00A64B72"/>
    <w:rsid w:val="00AC1F7D"/>
    <w:rsid w:val="00AF3EC0"/>
    <w:rsid w:val="00B03ED8"/>
    <w:rsid w:val="00B264A1"/>
    <w:rsid w:val="00B368D9"/>
    <w:rsid w:val="00BA0842"/>
    <w:rsid w:val="00BA4CC0"/>
    <w:rsid w:val="00BB2430"/>
    <w:rsid w:val="00BB7B54"/>
    <w:rsid w:val="00BC0FFC"/>
    <w:rsid w:val="00BC6E67"/>
    <w:rsid w:val="00BC7147"/>
    <w:rsid w:val="00BE4063"/>
    <w:rsid w:val="00C1560A"/>
    <w:rsid w:val="00C22346"/>
    <w:rsid w:val="00C62894"/>
    <w:rsid w:val="00C63396"/>
    <w:rsid w:val="00C8496C"/>
    <w:rsid w:val="00CA5E5D"/>
    <w:rsid w:val="00CB5A40"/>
    <w:rsid w:val="00CC1CA7"/>
    <w:rsid w:val="00CC260C"/>
    <w:rsid w:val="00CC4152"/>
    <w:rsid w:val="00CE6CB0"/>
    <w:rsid w:val="00D03072"/>
    <w:rsid w:val="00D03E47"/>
    <w:rsid w:val="00D4047B"/>
    <w:rsid w:val="00D577BB"/>
    <w:rsid w:val="00D84D5E"/>
    <w:rsid w:val="00D84EE3"/>
    <w:rsid w:val="00DA7D33"/>
    <w:rsid w:val="00DB6F36"/>
    <w:rsid w:val="00DC6DE5"/>
    <w:rsid w:val="00DD11CB"/>
    <w:rsid w:val="00DE0D8A"/>
    <w:rsid w:val="00DE1BAA"/>
    <w:rsid w:val="00E035D0"/>
    <w:rsid w:val="00E10C1F"/>
    <w:rsid w:val="00E20E32"/>
    <w:rsid w:val="00E27B95"/>
    <w:rsid w:val="00EB26FB"/>
    <w:rsid w:val="00EB4D27"/>
    <w:rsid w:val="00EC06DD"/>
    <w:rsid w:val="00EF4B41"/>
    <w:rsid w:val="00F10964"/>
    <w:rsid w:val="00F346B4"/>
    <w:rsid w:val="00F5607B"/>
    <w:rsid w:val="00F618ED"/>
    <w:rsid w:val="00F67F38"/>
    <w:rsid w:val="00F758F1"/>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DB6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B16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character" w:customStyle="1" w:styleId="Heading5Char">
    <w:name w:val="Heading 5 Char"/>
    <w:basedOn w:val="DefaultParagraphFont"/>
    <w:link w:val="Heading5"/>
    <w:uiPriority w:val="9"/>
    <w:rsid w:val="000B1690"/>
    <w:rPr>
      <w:rFonts w:asciiTheme="majorHAnsi" w:eastAsiaTheme="majorEastAsia" w:hAnsiTheme="majorHAnsi" w:cstheme="majorBidi"/>
      <w:color w:val="365F91" w:themeColor="accent1" w:themeShade="BF"/>
      <w:sz w:val="20"/>
      <w:szCs w:val="24"/>
    </w:rPr>
  </w:style>
  <w:style w:type="paragraph" w:styleId="Footer">
    <w:name w:val="footer"/>
    <w:basedOn w:val="Normal"/>
    <w:link w:val="FooterChar"/>
    <w:uiPriority w:val="99"/>
    <w:unhideWhenUsed/>
    <w:rsid w:val="002C3DFA"/>
    <w:pPr>
      <w:tabs>
        <w:tab w:val="center" w:pos="4703"/>
        <w:tab w:val="right" w:pos="9406"/>
      </w:tabs>
    </w:pPr>
  </w:style>
  <w:style w:type="character" w:customStyle="1" w:styleId="FooterChar">
    <w:name w:val="Footer Char"/>
    <w:basedOn w:val="DefaultParagraphFont"/>
    <w:link w:val="Footer"/>
    <w:uiPriority w:val="99"/>
    <w:rsid w:val="002C3DFA"/>
    <w:rPr>
      <w:rFonts w:ascii="Times New Roman"/>
      <w:sz w:val="20"/>
      <w:szCs w:val="24"/>
    </w:rPr>
  </w:style>
  <w:style w:type="character" w:styleId="PlaceholderText">
    <w:name w:val="Placeholder Text"/>
    <w:basedOn w:val="DefaultParagraphFont"/>
    <w:uiPriority w:val="99"/>
    <w:semiHidden/>
    <w:rsid w:val="005F7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62980">
      <w:bodyDiv w:val="1"/>
      <w:marLeft w:val="0"/>
      <w:marRight w:val="0"/>
      <w:marTop w:val="0"/>
      <w:marBottom w:val="0"/>
      <w:divBdr>
        <w:top w:val="none" w:sz="0" w:space="0" w:color="auto"/>
        <w:left w:val="none" w:sz="0" w:space="0" w:color="auto"/>
        <w:bottom w:val="none" w:sz="0" w:space="0" w:color="auto"/>
        <w:right w:val="none" w:sz="0" w:space="0" w:color="auto"/>
      </w:divBdr>
    </w:div>
    <w:div w:id="937442964">
      <w:bodyDiv w:val="1"/>
      <w:marLeft w:val="0"/>
      <w:marRight w:val="0"/>
      <w:marTop w:val="0"/>
      <w:marBottom w:val="0"/>
      <w:divBdr>
        <w:top w:val="none" w:sz="0" w:space="0" w:color="auto"/>
        <w:left w:val="none" w:sz="0" w:space="0" w:color="auto"/>
        <w:bottom w:val="none" w:sz="0" w:space="0" w:color="auto"/>
        <w:right w:val="none" w:sz="0" w:space="0" w:color="auto"/>
      </w:divBdr>
    </w:div>
    <w:div w:id="206124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2017-08-12T02:15:00Z</dcterms:created>
  <dcterms:modified xsi:type="dcterms:W3CDTF">2017-08-12T02:15:00Z</dcterms:modified>
</cp:coreProperties>
</file>