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863E3" w14:textId="04275551" w:rsidR="00C07E87" w:rsidRDefault="00C07E87" w:rsidP="00C07E87">
      <w:pPr>
        <w:pStyle w:val="3GPPHeader"/>
      </w:pPr>
    </w:p>
    <w:p w14:paraId="0B93D20F" w14:textId="2DB6A4DC" w:rsidR="00961E01" w:rsidRPr="000F61BC" w:rsidRDefault="005B3DEC" w:rsidP="00961E01">
      <w:pPr>
        <w:pStyle w:val="3GPPHeader"/>
        <w:spacing w:after="60"/>
        <w:rPr>
          <w:bCs/>
        </w:rPr>
      </w:pPr>
      <w:r>
        <w:rPr>
          <w:bCs/>
        </w:rPr>
        <w:t>3GPP TSG RAN WG1 Meeting</w:t>
      </w:r>
      <w:r>
        <w:rPr>
          <w:rFonts w:hint="eastAsia"/>
          <w:bCs/>
        </w:rPr>
        <w:t>#90</w:t>
      </w:r>
      <w:r w:rsidR="00961E01" w:rsidRPr="00000AF1">
        <w:rPr>
          <w:rFonts w:hint="eastAsia"/>
          <w:bCs/>
        </w:rPr>
        <w:t xml:space="preserve">                                       </w:t>
      </w:r>
      <w:r w:rsidR="00961E01" w:rsidRPr="00000AF1">
        <w:rPr>
          <w:bCs/>
        </w:rPr>
        <w:tab/>
      </w:r>
      <w:r w:rsidR="00961E01" w:rsidRPr="000F61BC">
        <w:rPr>
          <w:bCs/>
        </w:rPr>
        <w:t>R1-1</w:t>
      </w:r>
      <w:r w:rsidR="00961E01" w:rsidRPr="000F61BC">
        <w:rPr>
          <w:rFonts w:hint="eastAsia"/>
          <w:bCs/>
        </w:rPr>
        <w:t>7</w:t>
      </w:r>
      <w:r>
        <w:rPr>
          <w:bCs/>
        </w:rPr>
        <w:t>14411</w:t>
      </w:r>
    </w:p>
    <w:p w14:paraId="40EE4EFC" w14:textId="6F6B4689" w:rsidR="00961E01" w:rsidRDefault="005B3DEC" w:rsidP="005B3DEC">
      <w:pPr>
        <w:tabs>
          <w:tab w:val="center" w:pos="4536"/>
          <w:tab w:val="right" w:pos="9072"/>
        </w:tabs>
        <w:rPr>
          <w:rFonts w:eastAsia="MS Mincho" w:cs="Arial"/>
          <w:b/>
          <w:bCs/>
          <w:sz w:val="24"/>
          <w:lang w:eastAsia="ja-JP"/>
        </w:rPr>
      </w:pPr>
      <w:bookmarkStart w:id="0" w:name="_Hlk488684731"/>
      <w:r w:rsidRPr="00582E0F">
        <w:rPr>
          <w:rFonts w:eastAsia="MS Mincho" w:cs="Arial" w:hint="eastAsia"/>
          <w:b/>
          <w:bCs/>
          <w:sz w:val="24"/>
          <w:lang w:eastAsia="ja-JP"/>
        </w:rPr>
        <w:t>Prague</w:t>
      </w:r>
      <w:r w:rsidRPr="00582E0F">
        <w:rPr>
          <w:rFonts w:cs="Arial"/>
          <w:b/>
          <w:bCs/>
          <w:sz w:val="24"/>
        </w:rPr>
        <w:t xml:space="preserve">, Czech Republic, </w:t>
      </w:r>
      <w:r w:rsidRPr="00582E0F">
        <w:rPr>
          <w:rFonts w:eastAsia="MS Mincho" w:cs="Arial" w:hint="eastAsia"/>
          <w:b/>
          <w:bCs/>
          <w:sz w:val="24"/>
          <w:lang w:eastAsia="ja-JP"/>
        </w:rPr>
        <w:t xml:space="preserve">21th </w:t>
      </w:r>
      <w:r w:rsidRPr="00582E0F">
        <w:rPr>
          <w:rFonts w:cs="Arial"/>
          <w:b/>
          <w:bCs/>
          <w:sz w:val="24"/>
        </w:rPr>
        <w:t xml:space="preserve">– </w:t>
      </w:r>
      <w:r w:rsidRPr="00582E0F">
        <w:rPr>
          <w:rFonts w:eastAsia="MS Mincho" w:cs="Arial" w:hint="eastAsia"/>
          <w:b/>
          <w:bCs/>
          <w:sz w:val="24"/>
          <w:lang w:eastAsia="ja-JP"/>
        </w:rPr>
        <w:t>25th</w:t>
      </w:r>
      <w:r w:rsidRPr="00582E0F">
        <w:rPr>
          <w:rFonts w:cs="Arial"/>
          <w:b/>
          <w:bCs/>
          <w:sz w:val="24"/>
        </w:rPr>
        <w:t xml:space="preserve"> </w:t>
      </w:r>
      <w:r w:rsidRPr="00582E0F">
        <w:rPr>
          <w:rFonts w:eastAsia="MS Mincho" w:cs="Arial" w:hint="eastAsia"/>
          <w:b/>
          <w:bCs/>
          <w:sz w:val="24"/>
          <w:lang w:eastAsia="ja-JP"/>
        </w:rPr>
        <w:t>August</w:t>
      </w:r>
      <w:r w:rsidRPr="00582E0F">
        <w:rPr>
          <w:rFonts w:cs="Arial"/>
          <w:b/>
          <w:bCs/>
          <w:sz w:val="24"/>
        </w:rPr>
        <w:t xml:space="preserve"> 201</w:t>
      </w:r>
      <w:r w:rsidRPr="00582E0F">
        <w:rPr>
          <w:rFonts w:eastAsia="MS Mincho" w:cs="Arial" w:hint="eastAsia"/>
          <w:b/>
          <w:bCs/>
          <w:sz w:val="24"/>
          <w:lang w:eastAsia="ja-JP"/>
        </w:rPr>
        <w:t>7</w:t>
      </w:r>
      <w:bookmarkEnd w:id="0"/>
    </w:p>
    <w:p w14:paraId="017DE9B0" w14:textId="77777777" w:rsidR="005B3DEC" w:rsidRPr="005B3DEC" w:rsidRDefault="005B3DEC" w:rsidP="005B3DEC">
      <w:pPr>
        <w:tabs>
          <w:tab w:val="center" w:pos="4536"/>
          <w:tab w:val="right" w:pos="9072"/>
        </w:tabs>
        <w:rPr>
          <w:rFonts w:eastAsia="MS Mincho" w:cs="Arial"/>
          <w:b/>
          <w:bCs/>
          <w:sz w:val="24"/>
          <w:lang w:eastAsia="ja-JP"/>
        </w:rPr>
      </w:pPr>
    </w:p>
    <w:p w14:paraId="293CC8DE" w14:textId="165E055D"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5B3DEC">
        <w:rPr>
          <w:sz w:val="22"/>
          <w:szCs w:val="22"/>
        </w:rPr>
        <w:t>6</w:t>
      </w:r>
      <w:r w:rsidR="00AE553B" w:rsidRPr="00AE553B">
        <w:rPr>
          <w:sz w:val="22"/>
          <w:szCs w:val="22"/>
        </w:rPr>
        <w:t>.1.3.1.</w:t>
      </w:r>
      <w:r w:rsidR="00A70493">
        <w:rPr>
          <w:sz w:val="22"/>
          <w:szCs w:val="22"/>
        </w:rPr>
        <w:t>2</w:t>
      </w:r>
      <w:r w:rsidR="00961E01">
        <w:rPr>
          <w:sz w:val="22"/>
          <w:szCs w:val="22"/>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24E7663" w:rsidR="00E90E49" w:rsidRPr="00CE0424" w:rsidRDefault="003D3C45" w:rsidP="00311702">
      <w:pPr>
        <w:pStyle w:val="3GPPHeader"/>
        <w:rPr>
          <w:sz w:val="22"/>
          <w:szCs w:val="22"/>
        </w:rPr>
      </w:pPr>
      <w:r>
        <w:rPr>
          <w:sz w:val="22"/>
          <w:szCs w:val="22"/>
        </w:rPr>
        <w:t>Title:</w:t>
      </w:r>
      <w:r w:rsidR="00E90E49" w:rsidRPr="00CE0424">
        <w:rPr>
          <w:sz w:val="22"/>
          <w:szCs w:val="22"/>
        </w:rPr>
        <w:tab/>
      </w:r>
      <w:r w:rsidR="00961E01">
        <w:rPr>
          <w:sz w:val="22"/>
          <w:szCs w:val="22"/>
        </w:rPr>
        <w:t>On Search Space and Blind Decoding Design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6DEDB78E" w14:textId="6EC94CB8" w:rsidR="00CD3861" w:rsidRDefault="005C0894" w:rsidP="006628A0">
      <w:pPr>
        <w:pStyle w:val="BodyText"/>
      </w:pPr>
      <w:r>
        <w:t>The following agreements related to the search space design and blind decoding were made in the previous meetings:</w:t>
      </w:r>
      <w:r w:rsidR="00961E01">
        <w:t xml:space="preserve"> </w:t>
      </w:r>
    </w:p>
    <w:p w14:paraId="43AFDF87" w14:textId="7E427F00" w:rsidR="00CD3861" w:rsidRPr="00A21D4B" w:rsidRDefault="00CD3861" w:rsidP="00CD3861">
      <w:pPr>
        <w:pStyle w:val="BodyText"/>
        <w:spacing w:after="0"/>
        <w:rPr>
          <w:rFonts w:eastAsia="MS Mincho"/>
          <w:b/>
          <w:lang w:eastAsia="ja-JP"/>
        </w:rPr>
      </w:pPr>
      <w:bookmarkStart w:id="1" w:name="_Hlk485129831"/>
      <w:r w:rsidRPr="00DF1B59">
        <w:rPr>
          <w:rFonts w:eastAsia="MS Mincho" w:hint="eastAsia"/>
          <w:b/>
          <w:highlight w:val="green"/>
          <w:u w:val="single"/>
          <w:lang w:eastAsia="ja-JP"/>
        </w:rPr>
        <w:t>Agreements</w:t>
      </w:r>
      <w:r w:rsidR="005C0894">
        <w:rPr>
          <w:rFonts w:eastAsia="MS Mincho"/>
          <w:b/>
          <w:highlight w:val="green"/>
          <w:u w:val="single"/>
          <w:lang w:eastAsia="ja-JP"/>
        </w:rPr>
        <w:t xml:space="preserve"> </w:t>
      </w:r>
      <w:r w:rsidR="005C0894">
        <w:rPr>
          <w:rFonts w:eastAsia="MS Mincho"/>
          <w:b/>
          <w:highlight w:val="green"/>
          <w:u w:val="single"/>
          <w:lang w:eastAsia="ja-JP"/>
        </w:rPr>
        <w:fldChar w:fldCharType="begin"/>
      </w:r>
      <w:r w:rsidR="005C0894">
        <w:rPr>
          <w:rFonts w:eastAsia="MS Mincho"/>
          <w:b/>
          <w:highlight w:val="green"/>
          <w:u w:val="single"/>
          <w:lang w:eastAsia="ja-JP"/>
        </w:rPr>
        <w:instrText xml:space="preserve"> REF _Ref485075368 \n \h </w:instrText>
      </w:r>
      <w:r w:rsidR="005C0894">
        <w:rPr>
          <w:rFonts w:eastAsia="MS Mincho"/>
          <w:b/>
          <w:highlight w:val="green"/>
          <w:u w:val="single"/>
          <w:lang w:eastAsia="ja-JP"/>
        </w:rPr>
      </w:r>
      <w:r w:rsidR="005C0894">
        <w:rPr>
          <w:rFonts w:eastAsia="MS Mincho"/>
          <w:b/>
          <w:highlight w:val="green"/>
          <w:u w:val="single"/>
          <w:lang w:eastAsia="ja-JP"/>
        </w:rPr>
        <w:fldChar w:fldCharType="separate"/>
      </w:r>
      <w:r w:rsidR="00BB0A79">
        <w:rPr>
          <w:rFonts w:eastAsia="MS Mincho"/>
          <w:b/>
          <w:highlight w:val="green"/>
          <w:u w:val="single"/>
          <w:lang w:eastAsia="ja-JP"/>
        </w:rPr>
        <w:t>[1]</w:t>
      </w:r>
      <w:r w:rsidR="005C0894">
        <w:rPr>
          <w:rFonts w:eastAsia="MS Mincho"/>
          <w:b/>
          <w:highlight w:val="green"/>
          <w:u w:val="single"/>
          <w:lang w:eastAsia="ja-JP"/>
        </w:rPr>
        <w:fldChar w:fldCharType="end"/>
      </w:r>
      <w:r w:rsidRPr="00DF1B59">
        <w:rPr>
          <w:rFonts w:eastAsia="MS Mincho" w:hint="eastAsia"/>
          <w:b/>
          <w:highlight w:val="green"/>
          <w:u w:val="single"/>
          <w:lang w:eastAsia="ja-JP"/>
        </w:rPr>
        <w:t>:</w:t>
      </w:r>
    </w:p>
    <w:bookmarkEnd w:id="1"/>
    <w:p w14:paraId="4D1F0CF1" w14:textId="77777777" w:rsidR="00CD3861" w:rsidRDefault="00CD3861" w:rsidP="00CD3861">
      <w:pPr>
        <w:pStyle w:val="BodyText"/>
        <w:numPr>
          <w:ilvl w:val="0"/>
          <w:numId w:val="12"/>
        </w:numPr>
        <w:overflowPunct/>
        <w:autoSpaceDE/>
        <w:autoSpaceDN/>
        <w:adjustRightInd/>
        <w:spacing w:after="0"/>
        <w:textAlignment w:val="auto"/>
      </w:pPr>
      <w:r>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14:paraId="3B405DA8" w14:textId="77777777" w:rsidR="00CD3861" w:rsidRPr="000707EC" w:rsidRDefault="00CD3861" w:rsidP="00CD3861">
      <w:pPr>
        <w:pStyle w:val="BodyText"/>
        <w:numPr>
          <w:ilvl w:val="0"/>
          <w:numId w:val="12"/>
        </w:numPr>
        <w:overflowPunct/>
        <w:autoSpaceDE/>
        <w:autoSpaceDN/>
        <w:adjustRightInd/>
        <w:spacing w:after="0"/>
        <w:textAlignment w:val="auto"/>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 can be configured using dedicated RRC signaling</w:t>
      </w:r>
    </w:p>
    <w:p w14:paraId="2F55C349" w14:textId="211E8A1C" w:rsidR="00CD3861" w:rsidRPr="006B1E7D" w:rsidRDefault="00CD3861" w:rsidP="00CD3861">
      <w:pPr>
        <w:pStyle w:val="BodyText"/>
        <w:numPr>
          <w:ilvl w:val="0"/>
          <w:numId w:val="12"/>
        </w:numPr>
        <w:overflowPunct/>
        <w:autoSpaceDE/>
        <w:autoSpaceDN/>
        <w:adjustRightInd/>
        <w:spacing w:after="0"/>
        <w:textAlignment w:val="auto"/>
      </w:pPr>
      <w:r w:rsidRPr="00A21D4B">
        <w:rPr>
          <w:rFonts w:eastAsia="MS Mincho" w:hint="eastAsia"/>
          <w:lang w:eastAsia="ja-JP"/>
        </w:rPr>
        <w:t>Other solution is not precluded</w:t>
      </w:r>
    </w:p>
    <w:p w14:paraId="2BA527DE" w14:textId="77777777" w:rsidR="006B1E7D" w:rsidRPr="00304498" w:rsidRDefault="006B1E7D" w:rsidP="006B1E7D">
      <w:pPr>
        <w:pStyle w:val="BodyText"/>
        <w:overflowPunct/>
        <w:autoSpaceDE/>
        <w:autoSpaceDN/>
        <w:adjustRightInd/>
        <w:spacing w:after="0"/>
        <w:ind w:left="720"/>
        <w:textAlignment w:val="auto"/>
      </w:pPr>
    </w:p>
    <w:p w14:paraId="03E9C75B" w14:textId="77B54299" w:rsidR="006B1E7D" w:rsidRPr="006B1E7D" w:rsidRDefault="006B1E7D" w:rsidP="006B1E7D">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w:instrText>
      </w:r>
      <w:r>
        <w:rPr>
          <w:rFonts w:eastAsia="MS Mincho" w:hint="eastAsia"/>
          <w:b/>
          <w:highlight w:val="green"/>
          <w:u w:val="single"/>
          <w:lang w:eastAsia="ja-JP"/>
        </w:rPr>
        <w:instrText>REF _Ref485075374 \n \h</w:instrText>
      </w:r>
      <w:r>
        <w:rPr>
          <w:rFonts w:eastAsia="MS Mincho"/>
          <w:b/>
          <w:highlight w:val="green"/>
          <w:u w:val="single"/>
          <w:lang w:eastAsia="ja-JP"/>
        </w:rPr>
        <w:instrText xml:space="preserve"> </w:instrText>
      </w:r>
      <w:r>
        <w:rPr>
          <w:rFonts w:eastAsia="MS Mincho"/>
          <w:b/>
          <w:highlight w:val="green"/>
          <w:u w:val="single"/>
          <w:lang w:eastAsia="ja-JP"/>
        </w:rPr>
      </w:r>
      <w:r>
        <w:rPr>
          <w:rFonts w:eastAsia="MS Mincho"/>
          <w:b/>
          <w:highlight w:val="green"/>
          <w:u w:val="single"/>
          <w:lang w:eastAsia="ja-JP"/>
        </w:rPr>
        <w:fldChar w:fldCharType="separate"/>
      </w:r>
      <w:r w:rsidR="00BB0A79">
        <w:rPr>
          <w:rFonts w:eastAsia="MS Mincho"/>
          <w:b/>
          <w:highlight w:val="green"/>
          <w:u w:val="single"/>
          <w:lang w:eastAsia="ja-JP"/>
        </w:rPr>
        <w:t>[2]</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091FF553" w14:textId="77777777" w:rsidR="00BA71F4" w:rsidRPr="00855AEB" w:rsidRDefault="00BA71F4" w:rsidP="00BA71F4">
      <w:pPr>
        <w:numPr>
          <w:ilvl w:val="0"/>
          <w:numId w:val="22"/>
        </w:numPr>
        <w:overflowPunct/>
        <w:autoSpaceDE/>
        <w:autoSpaceDN/>
        <w:adjustRightInd/>
        <w:spacing w:after="0"/>
        <w:jc w:val="left"/>
        <w:textAlignment w:val="auto"/>
        <w:rPr>
          <w:rFonts w:eastAsia="MS Mincho"/>
          <w:lang w:eastAsia="ja-JP"/>
        </w:rPr>
      </w:pPr>
      <w:r w:rsidRPr="00855AEB">
        <w:rPr>
          <w:rFonts w:eastAsia="MS Mincho"/>
          <w:lang w:eastAsia="ja-JP"/>
        </w:rPr>
        <w:t xml:space="preserve">Each candidate of NR DL Control channel search space is composed by </w:t>
      </w:r>
      <w:r w:rsidRPr="00855AEB">
        <w:rPr>
          <w:rFonts w:eastAsia="MS Mincho"/>
          <w:i/>
          <w:iCs/>
          <w:lang w:eastAsia="ja-JP"/>
        </w:rPr>
        <w:t>K</w:t>
      </w:r>
      <w:r>
        <w:rPr>
          <w:rFonts w:eastAsia="MS Mincho"/>
          <w:lang w:eastAsia="ja-JP"/>
        </w:rPr>
        <w:t xml:space="preserve"> NR-CCE(s)</w:t>
      </w:r>
    </w:p>
    <w:p w14:paraId="2A1321C8" w14:textId="77777777" w:rsidR="00BA71F4" w:rsidRPr="00855AEB" w:rsidRDefault="00BA71F4" w:rsidP="00BA71F4">
      <w:pPr>
        <w:numPr>
          <w:ilvl w:val="1"/>
          <w:numId w:val="22"/>
        </w:numPr>
        <w:overflowPunct/>
        <w:autoSpaceDE/>
        <w:autoSpaceDN/>
        <w:adjustRightInd/>
        <w:spacing w:after="0"/>
        <w:jc w:val="left"/>
        <w:textAlignment w:val="auto"/>
        <w:rPr>
          <w:rFonts w:eastAsia="MS Mincho"/>
          <w:lang w:eastAsia="ja-JP"/>
        </w:rPr>
      </w:pPr>
      <w:r w:rsidRPr="00855AEB">
        <w:rPr>
          <w:rFonts w:eastAsia="MS Mincho"/>
          <w:lang w:eastAsia="ja-JP"/>
        </w:rPr>
        <w:t>A NR-CCE i</w:t>
      </w:r>
      <w:r>
        <w:rPr>
          <w:rFonts w:eastAsia="MS Mincho"/>
          <w:lang w:eastAsia="ja-JP"/>
        </w:rPr>
        <w:t xml:space="preserve">s defined in fixed number of </w:t>
      </w:r>
      <w:r>
        <w:rPr>
          <w:rFonts w:eastAsia="MS Mincho" w:hint="eastAsia"/>
          <w:lang w:eastAsia="ja-JP"/>
        </w:rPr>
        <w:t>REG</w:t>
      </w:r>
      <w:r w:rsidRPr="00855AEB">
        <w:rPr>
          <w:rFonts w:eastAsia="MS Mincho"/>
          <w:lang w:eastAsia="ja-JP"/>
        </w:rPr>
        <w:t>s</w:t>
      </w:r>
    </w:p>
    <w:p w14:paraId="3B03CB13" w14:textId="77777777" w:rsidR="00BA71F4" w:rsidRPr="00855AEB" w:rsidRDefault="00BA71F4" w:rsidP="00BA71F4">
      <w:pPr>
        <w:numPr>
          <w:ilvl w:val="2"/>
          <w:numId w:val="22"/>
        </w:numPr>
        <w:overflowPunct/>
        <w:autoSpaceDE/>
        <w:autoSpaceDN/>
        <w:adjustRightInd/>
        <w:spacing w:after="0"/>
        <w:jc w:val="left"/>
        <w:textAlignment w:val="auto"/>
        <w:rPr>
          <w:rFonts w:eastAsia="MS Mincho"/>
          <w:lang w:eastAsia="ja-JP"/>
        </w:rPr>
      </w:pPr>
      <w:r>
        <w:rPr>
          <w:rFonts w:eastAsia="MS Mincho" w:hint="eastAsia"/>
          <w:lang w:eastAsia="ja-JP"/>
        </w:rPr>
        <w:t xml:space="preserve">FFS: </w:t>
      </w:r>
      <w:r>
        <w:rPr>
          <w:rFonts w:eastAsia="MS Mincho"/>
          <w:lang w:eastAsia="ja-JP"/>
        </w:rPr>
        <w:t xml:space="preserve">Different </w:t>
      </w:r>
      <w:r>
        <w:rPr>
          <w:rFonts w:eastAsia="MS Mincho" w:hint="eastAsia"/>
          <w:lang w:eastAsia="ja-JP"/>
        </w:rPr>
        <w:t>REG</w:t>
      </w:r>
      <w:r w:rsidRPr="00855AEB">
        <w:rPr>
          <w:rFonts w:eastAsia="MS Mincho"/>
          <w:lang w:eastAsia="ja-JP"/>
        </w:rPr>
        <w:t xml:space="preserve">s can be in </w:t>
      </w:r>
      <w:r>
        <w:rPr>
          <w:rFonts w:eastAsia="MS Mincho" w:hint="eastAsia"/>
          <w:lang w:eastAsia="ja-JP"/>
        </w:rPr>
        <w:t xml:space="preserve">the same or </w:t>
      </w:r>
      <w:r w:rsidRPr="00855AEB">
        <w:rPr>
          <w:rFonts w:eastAsia="MS Mincho"/>
          <w:lang w:eastAsia="ja-JP"/>
        </w:rPr>
        <w:t>di</w:t>
      </w:r>
      <w:r>
        <w:rPr>
          <w:rFonts w:eastAsia="MS Mincho"/>
          <w:lang w:eastAsia="ja-JP"/>
        </w:rPr>
        <w:t xml:space="preserve">fferent symbols depending on </w:t>
      </w:r>
      <w:r>
        <w:rPr>
          <w:rFonts w:eastAsia="MS Mincho" w:hint="eastAsia"/>
          <w:lang w:eastAsia="ja-JP"/>
        </w:rPr>
        <w:t>REG</w:t>
      </w:r>
      <w:r w:rsidRPr="00855AEB">
        <w:rPr>
          <w:rFonts w:eastAsia="MS Mincho"/>
          <w:lang w:eastAsia="ja-JP"/>
        </w:rPr>
        <w:t xml:space="preserve"> to NR-CCE mapping</w:t>
      </w:r>
    </w:p>
    <w:p w14:paraId="1B927471" w14:textId="77777777" w:rsidR="00BA71F4" w:rsidRPr="00855AEB" w:rsidRDefault="00BA71F4" w:rsidP="00BA71F4">
      <w:pPr>
        <w:numPr>
          <w:ilvl w:val="2"/>
          <w:numId w:val="22"/>
        </w:numPr>
        <w:overflowPunct/>
        <w:autoSpaceDE/>
        <w:autoSpaceDN/>
        <w:adjustRightInd/>
        <w:spacing w:after="0"/>
        <w:jc w:val="left"/>
        <w:textAlignment w:val="auto"/>
        <w:rPr>
          <w:rFonts w:eastAsia="MS Mincho"/>
          <w:lang w:eastAsia="ja-JP"/>
        </w:rPr>
      </w:pPr>
      <w:r>
        <w:rPr>
          <w:rFonts w:eastAsia="MS Mincho" w:hint="eastAsia"/>
          <w:lang w:eastAsia="ja-JP"/>
        </w:rPr>
        <w:t xml:space="preserve">FFS: </w:t>
      </w:r>
      <w:r>
        <w:rPr>
          <w:rFonts w:eastAsia="MS Mincho"/>
          <w:lang w:eastAsia="ja-JP"/>
        </w:rPr>
        <w:t xml:space="preserve">NR-CCE includes the REs </w:t>
      </w:r>
      <w:r>
        <w:rPr>
          <w:rFonts w:eastAsia="MS Mincho" w:hint="eastAsia"/>
          <w:lang w:eastAsia="ja-JP"/>
        </w:rPr>
        <w:t>assumed for</w:t>
      </w:r>
      <w:r w:rsidRPr="00855AEB">
        <w:rPr>
          <w:rFonts w:eastAsia="MS Mincho"/>
          <w:lang w:eastAsia="ja-JP"/>
        </w:rPr>
        <w:t xml:space="preserve"> </w:t>
      </w:r>
      <w:r>
        <w:rPr>
          <w:rFonts w:eastAsia="MS Mincho"/>
          <w:lang w:eastAsia="ja-JP"/>
        </w:rPr>
        <w:t>UE-specific DM</w:t>
      </w:r>
      <w:r w:rsidRPr="00855AEB">
        <w:rPr>
          <w:rFonts w:eastAsia="MS Mincho"/>
          <w:lang w:eastAsia="ja-JP"/>
        </w:rPr>
        <w:t>RS to demodulate that NR-CCE</w:t>
      </w:r>
    </w:p>
    <w:p w14:paraId="5C89D30A" w14:textId="77777777" w:rsidR="00BA71F4" w:rsidRDefault="00BA71F4" w:rsidP="00BA71F4">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FFS:</w:t>
      </w:r>
      <w:r>
        <w:rPr>
          <w:rFonts w:eastAsia="MS Mincho" w:hint="eastAsia"/>
          <w:lang w:eastAsia="ja-JP"/>
        </w:rPr>
        <w:t xml:space="preserve"> REG</w:t>
      </w:r>
      <w:r w:rsidRPr="00855AEB">
        <w:rPr>
          <w:rFonts w:eastAsia="MS Mincho"/>
          <w:lang w:eastAsia="ja-JP"/>
        </w:rPr>
        <w:t xml:space="preserve"> to NR-CCE mapping within a control resource set is frequency first, time first or gNB configurable</w:t>
      </w:r>
    </w:p>
    <w:p w14:paraId="2E72051E" w14:textId="77777777" w:rsidR="00BA71F4" w:rsidRPr="00855AEB" w:rsidRDefault="00BA71F4" w:rsidP="00BA71F4">
      <w:pPr>
        <w:numPr>
          <w:ilvl w:val="1"/>
          <w:numId w:val="22"/>
        </w:numPr>
        <w:overflowPunct/>
        <w:autoSpaceDE/>
        <w:autoSpaceDN/>
        <w:adjustRightInd/>
        <w:spacing w:after="0"/>
        <w:jc w:val="left"/>
        <w:textAlignment w:val="auto"/>
        <w:rPr>
          <w:rFonts w:eastAsia="MS Mincho"/>
          <w:lang w:eastAsia="ja-JP"/>
        </w:rPr>
      </w:pPr>
      <w:r>
        <w:rPr>
          <w:rFonts w:eastAsia="MS Mincho" w:hint="eastAsia"/>
          <w:lang w:eastAsia="ja-JP"/>
        </w:rPr>
        <w:t>FFS: Down selection of REG to NR-CCE mapping</w:t>
      </w:r>
    </w:p>
    <w:p w14:paraId="673B2B9C" w14:textId="77777777" w:rsidR="00BA71F4" w:rsidRPr="00855AEB" w:rsidRDefault="00BA71F4" w:rsidP="00BA71F4">
      <w:pPr>
        <w:numPr>
          <w:ilvl w:val="1"/>
          <w:numId w:val="22"/>
        </w:numPr>
        <w:overflowPunct/>
        <w:autoSpaceDE/>
        <w:autoSpaceDN/>
        <w:adjustRightInd/>
        <w:spacing w:after="0"/>
        <w:jc w:val="left"/>
        <w:textAlignment w:val="auto"/>
        <w:rPr>
          <w:rFonts w:eastAsia="MS Mincho"/>
          <w:lang w:eastAsia="ja-JP"/>
        </w:rPr>
      </w:pPr>
      <w:r w:rsidRPr="00855AEB">
        <w:rPr>
          <w:rFonts w:eastAsia="MS Mincho"/>
          <w:lang w:eastAsia="ja-JP"/>
        </w:rPr>
        <w:t>E.g. </w:t>
      </w:r>
      <w:r w:rsidRPr="00855AEB">
        <w:rPr>
          <w:rFonts w:eastAsia="MS Mincho"/>
          <w:i/>
          <w:iCs/>
          <w:lang w:eastAsia="ja-JP"/>
        </w:rPr>
        <w:t>K</w:t>
      </w:r>
      <w:r w:rsidRPr="00855AEB">
        <w:rPr>
          <w:rFonts w:eastAsia="MS Mincho"/>
          <w:lang w:eastAsia="ja-JP"/>
        </w:rPr>
        <w:t> can be 1, 2, 4, or 8, etc</w:t>
      </w:r>
    </w:p>
    <w:p w14:paraId="2881F78C" w14:textId="77777777" w:rsidR="00CD3861" w:rsidRDefault="00CD3861" w:rsidP="00CD3861">
      <w:pPr>
        <w:pStyle w:val="BodyText"/>
      </w:pPr>
    </w:p>
    <w:p w14:paraId="28A328EA" w14:textId="57A210A9" w:rsidR="006B1E7D" w:rsidRPr="00A21D4B" w:rsidRDefault="006B1E7D" w:rsidP="006B1E7D">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w:instrText>
      </w:r>
      <w:r>
        <w:rPr>
          <w:rFonts w:eastAsia="MS Mincho" w:hint="eastAsia"/>
          <w:b/>
          <w:highlight w:val="green"/>
          <w:u w:val="single"/>
          <w:lang w:eastAsia="ja-JP"/>
        </w:rPr>
        <w:instrText>REF _Ref485075381 \n \h</w:instrText>
      </w:r>
      <w:r>
        <w:rPr>
          <w:rFonts w:eastAsia="MS Mincho"/>
          <w:b/>
          <w:highlight w:val="green"/>
          <w:u w:val="single"/>
          <w:lang w:eastAsia="ja-JP"/>
        </w:rPr>
        <w:instrText xml:space="preserve"> </w:instrText>
      </w:r>
      <w:r>
        <w:rPr>
          <w:rFonts w:eastAsia="MS Mincho"/>
          <w:b/>
          <w:highlight w:val="green"/>
          <w:u w:val="single"/>
          <w:lang w:eastAsia="ja-JP"/>
        </w:rPr>
      </w:r>
      <w:r>
        <w:rPr>
          <w:rFonts w:eastAsia="MS Mincho"/>
          <w:b/>
          <w:highlight w:val="green"/>
          <w:u w:val="single"/>
          <w:lang w:eastAsia="ja-JP"/>
        </w:rPr>
        <w:fldChar w:fldCharType="separate"/>
      </w:r>
      <w:r w:rsidR="00BB0A79">
        <w:rPr>
          <w:rFonts w:eastAsia="MS Mincho"/>
          <w:b/>
          <w:highlight w:val="green"/>
          <w:u w:val="single"/>
          <w:lang w:eastAsia="ja-JP"/>
        </w:rPr>
        <w:t>[3]</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795FD6A4" w14:textId="77777777" w:rsidR="006B1E7D" w:rsidRPr="006B1E7D" w:rsidRDefault="006B1E7D" w:rsidP="006B1E7D">
      <w:pPr>
        <w:jc w:val="left"/>
        <w:rPr>
          <w:rFonts w:eastAsia="MS Mincho" w:cs="Arial"/>
          <w:b/>
          <w:u w:val="single"/>
          <w:lang w:eastAsia="ja-JP"/>
        </w:rPr>
      </w:pPr>
    </w:p>
    <w:p w14:paraId="17DA0077" w14:textId="77777777" w:rsidR="00CD3861" w:rsidRPr="00451587" w:rsidRDefault="00CD3861" w:rsidP="00CD3861">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2150A422" w14:textId="77777777" w:rsidR="00CD3861" w:rsidRPr="00451587" w:rsidRDefault="00CD3861" w:rsidP="00CD3861">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2DB56A18" w14:textId="77777777" w:rsidR="00CD3861" w:rsidRPr="00451587" w:rsidRDefault="00CD3861" w:rsidP="00CD3861">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72DB746A" w14:textId="7DE20E9E" w:rsidR="00961E01" w:rsidRDefault="00CD3861" w:rsidP="006B1E7D">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372AE00B" w14:textId="0A6B0D89" w:rsidR="00D47EF3" w:rsidRPr="00244F37" w:rsidRDefault="00D47EF3" w:rsidP="00D47EF3">
      <w:pPr>
        <w:rPr>
          <w:rFonts w:eastAsia="Yu Mincho"/>
          <w:b/>
          <w:iCs/>
          <w:highlight w:val="yellow"/>
          <w:u w:val="single"/>
          <w:lang w:eastAsia="ja-JP"/>
        </w:rPr>
      </w:pPr>
      <w:r w:rsidRPr="00244F37">
        <w:rPr>
          <w:rFonts w:eastAsia="Yu Mincho" w:hint="eastAsia"/>
          <w:b/>
          <w:iCs/>
          <w:highlight w:val="green"/>
          <w:u w:val="single"/>
          <w:lang w:eastAsia="ja-JP"/>
        </w:rPr>
        <w:t>Agreements</w:t>
      </w:r>
      <w:r>
        <w:rPr>
          <w:rFonts w:eastAsia="Yu Mincho"/>
          <w:b/>
          <w:iCs/>
          <w:highlight w:val="green"/>
          <w:u w:val="single"/>
          <w:lang w:eastAsia="ja-JP"/>
        </w:rPr>
        <w:t xml:space="preserve"> </w:t>
      </w:r>
      <w:r w:rsidR="00254F49">
        <w:rPr>
          <w:rFonts w:eastAsia="Yu Mincho"/>
          <w:b/>
          <w:iCs/>
          <w:highlight w:val="green"/>
          <w:u w:val="single"/>
          <w:lang w:eastAsia="ja-JP"/>
        </w:rPr>
        <w:fldChar w:fldCharType="begin"/>
      </w:r>
      <w:r w:rsidR="00254F49">
        <w:rPr>
          <w:rFonts w:eastAsia="Yu Mincho"/>
          <w:b/>
          <w:iCs/>
          <w:highlight w:val="green"/>
          <w:u w:val="single"/>
          <w:lang w:eastAsia="ja-JP"/>
        </w:rPr>
        <w:instrText xml:space="preserve"> REF _Ref490214994 \r \h </w:instrText>
      </w:r>
      <w:r w:rsidR="00254F49">
        <w:rPr>
          <w:rFonts w:eastAsia="Yu Mincho"/>
          <w:b/>
          <w:iCs/>
          <w:highlight w:val="green"/>
          <w:u w:val="single"/>
          <w:lang w:eastAsia="ja-JP"/>
        </w:rPr>
      </w:r>
      <w:r w:rsidR="00254F49">
        <w:rPr>
          <w:rFonts w:eastAsia="Yu Mincho"/>
          <w:b/>
          <w:iCs/>
          <w:highlight w:val="green"/>
          <w:u w:val="single"/>
          <w:lang w:eastAsia="ja-JP"/>
        </w:rPr>
        <w:fldChar w:fldCharType="separate"/>
      </w:r>
      <w:r w:rsidR="00BB0A79">
        <w:rPr>
          <w:rFonts w:eastAsia="Yu Mincho"/>
          <w:b/>
          <w:iCs/>
          <w:highlight w:val="green"/>
          <w:u w:val="single"/>
          <w:lang w:eastAsia="ja-JP"/>
        </w:rPr>
        <w:t>[4]</w:t>
      </w:r>
      <w:r w:rsidR="00254F49">
        <w:rPr>
          <w:rFonts w:eastAsia="Yu Mincho"/>
          <w:b/>
          <w:iCs/>
          <w:highlight w:val="green"/>
          <w:u w:val="single"/>
          <w:lang w:eastAsia="ja-JP"/>
        </w:rPr>
        <w:fldChar w:fldCharType="end"/>
      </w:r>
      <w:r w:rsidRPr="00244F37">
        <w:rPr>
          <w:rFonts w:eastAsia="Yu Mincho" w:hint="eastAsia"/>
          <w:b/>
          <w:iCs/>
          <w:highlight w:val="green"/>
          <w:u w:val="single"/>
          <w:lang w:eastAsia="ja-JP"/>
        </w:rPr>
        <w:t>:</w:t>
      </w:r>
    </w:p>
    <w:p w14:paraId="02E1E562" w14:textId="77777777" w:rsidR="00D47EF3" w:rsidRPr="00244F37" w:rsidRDefault="00D47EF3" w:rsidP="00D47EF3">
      <w:pPr>
        <w:numPr>
          <w:ilvl w:val="0"/>
          <w:numId w:val="43"/>
        </w:numPr>
        <w:overflowPunct/>
        <w:autoSpaceDE/>
        <w:autoSpaceDN/>
        <w:adjustRightInd/>
        <w:spacing w:after="0"/>
        <w:jc w:val="left"/>
        <w:textAlignment w:val="auto"/>
        <w:rPr>
          <w:rFonts w:eastAsia="Yu Mincho"/>
          <w:iCs/>
          <w:lang w:eastAsia="ja-JP"/>
        </w:rPr>
      </w:pPr>
      <w:r w:rsidRPr="00244F37">
        <w:rPr>
          <w:rFonts w:eastAsia="Yu Mincho"/>
          <w:iCs/>
          <w:lang w:eastAsia="ja-JP"/>
        </w:rPr>
        <w:t xml:space="preserve">For PDCCH blind decoding, </w:t>
      </w:r>
      <w:r w:rsidRPr="00244F37">
        <w:rPr>
          <w:rFonts w:eastAsia="Yu Mincho" w:hint="eastAsia"/>
          <w:iCs/>
          <w:lang w:eastAsia="ja-JP"/>
        </w:rPr>
        <w:t xml:space="preserve">at least for the non-initial access, at least </w:t>
      </w:r>
      <w:r w:rsidRPr="00244F37">
        <w:rPr>
          <w:rFonts w:eastAsia="Yu Mincho"/>
          <w:iCs/>
          <w:lang w:eastAsia="ja-JP"/>
        </w:rPr>
        <w:t>the following can be configured:</w:t>
      </w:r>
    </w:p>
    <w:p w14:paraId="2F299CD8"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iCs/>
          <w:lang w:eastAsia="ja-JP"/>
        </w:rPr>
        <w:t xml:space="preserve">Number of </w:t>
      </w:r>
      <w:r w:rsidRPr="00244F37">
        <w:rPr>
          <w:rFonts w:eastAsia="Yu Mincho" w:hint="eastAsia"/>
          <w:iCs/>
          <w:lang w:eastAsia="ja-JP"/>
        </w:rPr>
        <w:t>PDCCH</w:t>
      </w:r>
      <w:r w:rsidRPr="00244F37">
        <w:rPr>
          <w:rFonts w:eastAsia="Yu Mincho"/>
          <w:iCs/>
          <w:lang w:eastAsia="ja-JP"/>
        </w:rPr>
        <w:t xml:space="preserve"> candidates per CCE aggregation level, per DCI format size that the UE monitors</w:t>
      </w:r>
    </w:p>
    <w:p w14:paraId="6A72E5CE"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iCs/>
          <w:lang w:eastAsia="ja-JP"/>
        </w:rPr>
        <w:t>Set of aggregation levels</w:t>
      </w:r>
    </w:p>
    <w:p w14:paraId="54E710C9" w14:textId="77777777" w:rsidR="00D47EF3" w:rsidRPr="00244F37" w:rsidRDefault="00D47EF3" w:rsidP="00D47EF3">
      <w:pPr>
        <w:numPr>
          <w:ilvl w:val="2"/>
          <w:numId w:val="43"/>
        </w:numPr>
        <w:tabs>
          <w:tab w:val="num" w:pos="2160"/>
        </w:tabs>
        <w:overflowPunct/>
        <w:autoSpaceDE/>
        <w:autoSpaceDN/>
        <w:adjustRightInd/>
        <w:spacing w:after="0"/>
        <w:jc w:val="left"/>
        <w:textAlignment w:val="auto"/>
        <w:rPr>
          <w:rFonts w:eastAsia="Yu Mincho"/>
          <w:iCs/>
          <w:lang w:eastAsia="ja-JP"/>
        </w:rPr>
      </w:pPr>
      <w:r w:rsidRPr="00244F37">
        <w:rPr>
          <w:rFonts w:eastAsia="Yu Mincho"/>
          <w:iCs/>
          <w:lang w:eastAsia="ja-JP"/>
        </w:rPr>
        <w:t>FFS explicit or implicit configuration</w:t>
      </w:r>
    </w:p>
    <w:p w14:paraId="3F7BE003"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iCs/>
          <w:lang w:eastAsia="ja-JP"/>
        </w:rPr>
        <w:t>Set of DCI format sizes</w:t>
      </w:r>
    </w:p>
    <w:p w14:paraId="0E4DA9A3" w14:textId="77777777" w:rsidR="00D47EF3" w:rsidRPr="00244F37" w:rsidRDefault="00D47EF3" w:rsidP="00D47EF3">
      <w:pPr>
        <w:numPr>
          <w:ilvl w:val="2"/>
          <w:numId w:val="43"/>
        </w:numPr>
        <w:tabs>
          <w:tab w:val="num" w:pos="2160"/>
        </w:tabs>
        <w:overflowPunct/>
        <w:autoSpaceDE/>
        <w:autoSpaceDN/>
        <w:adjustRightInd/>
        <w:spacing w:after="0"/>
        <w:jc w:val="left"/>
        <w:textAlignment w:val="auto"/>
        <w:rPr>
          <w:rFonts w:eastAsia="Yu Mincho"/>
          <w:iCs/>
          <w:lang w:eastAsia="ja-JP"/>
        </w:rPr>
      </w:pPr>
      <w:r w:rsidRPr="00244F37">
        <w:rPr>
          <w:rFonts w:eastAsia="Yu Mincho"/>
          <w:iCs/>
          <w:lang w:eastAsia="ja-JP"/>
        </w:rPr>
        <w:t>FFS explicit or implicit configuration</w:t>
      </w:r>
    </w:p>
    <w:p w14:paraId="54717DD2"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hint="eastAsia"/>
          <w:iCs/>
          <w:lang w:eastAsia="ja-JP"/>
        </w:rPr>
        <w:t>FFS: per CORESET not used for initial access or search space</w:t>
      </w:r>
    </w:p>
    <w:p w14:paraId="20F4D68E"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hint="eastAsia"/>
          <w:iCs/>
          <w:lang w:eastAsia="ja-JP"/>
        </w:rPr>
        <w:t>FFS: Signalling details</w:t>
      </w:r>
    </w:p>
    <w:p w14:paraId="6BD7C353"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hint="eastAsia"/>
          <w:iCs/>
          <w:lang w:eastAsia="ja-JP"/>
        </w:rPr>
        <w:lastRenderedPageBreak/>
        <w:t>Note that the number of candidates can be zero</w:t>
      </w:r>
    </w:p>
    <w:p w14:paraId="4F6D3AC4" w14:textId="77777777" w:rsidR="00D47EF3" w:rsidRPr="00244F37" w:rsidRDefault="00D47EF3" w:rsidP="00D47EF3">
      <w:pPr>
        <w:numPr>
          <w:ilvl w:val="0"/>
          <w:numId w:val="43"/>
        </w:numPr>
        <w:overflowPunct/>
        <w:autoSpaceDE/>
        <w:autoSpaceDN/>
        <w:adjustRightInd/>
        <w:spacing w:after="0"/>
        <w:jc w:val="left"/>
        <w:textAlignment w:val="auto"/>
        <w:rPr>
          <w:rFonts w:eastAsia="Yu Mincho"/>
          <w:iCs/>
          <w:lang w:eastAsia="ja-JP"/>
        </w:rPr>
      </w:pPr>
      <w:r w:rsidRPr="00244F37">
        <w:rPr>
          <w:rFonts w:eastAsia="Yu Mincho" w:hint="eastAsia"/>
          <w:iCs/>
          <w:lang w:eastAsia="ja-JP"/>
        </w:rPr>
        <w:t>UE blind decoding capability is known by NW</w:t>
      </w:r>
    </w:p>
    <w:p w14:paraId="2C745589"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hint="eastAsia"/>
          <w:iCs/>
          <w:lang w:eastAsia="ja-JP"/>
        </w:rPr>
        <w:t>FFS: How the capability is derived</w:t>
      </w:r>
    </w:p>
    <w:p w14:paraId="06022491" w14:textId="77777777" w:rsidR="00D47EF3" w:rsidRPr="00244F37" w:rsidRDefault="00D47EF3" w:rsidP="00D47EF3">
      <w:pPr>
        <w:rPr>
          <w:rFonts w:eastAsia="MS Mincho"/>
          <w:lang w:eastAsia="ja-JP"/>
        </w:rPr>
      </w:pPr>
      <w:r w:rsidRPr="00244F37">
        <w:rPr>
          <w:rFonts w:eastAsia="Yu Mincho" w:hint="eastAsia"/>
          <w:b/>
          <w:iCs/>
          <w:u w:val="single"/>
          <w:lang w:eastAsia="ja-JP"/>
        </w:rPr>
        <w:t>Possible proposals from offline:</w:t>
      </w:r>
    </w:p>
    <w:p w14:paraId="1B418035" w14:textId="77777777" w:rsidR="00D47EF3" w:rsidRPr="00244F37" w:rsidRDefault="00D47EF3" w:rsidP="00D47EF3">
      <w:pPr>
        <w:numPr>
          <w:ilvl w:val="0"/>
          <w:numId w:val="43"/>
        </w:numPr>
        <w:overflowPunct/>
        <w:autoSpaceDE/>
        <w:autoSpaceDN/>
        <w:adjustRightInd/>
        <w:spacing w:after="0"/>
        <w:jc w:val="left"/>
        <w:textAlignment w:val="auto"/>
        <w:rPr>
          <w:rFonts w:eastAsia="Yu Mincho"/>
          <w:iCs/>
          <w:lang w:eastAsia="ja-JP"/>
        </w:rPr>
      </w:pPr>
      <w:r w:rsidRPr="00244F37">
        <w:rPr>
          <w:rFonts w:eastAsia="Yu Mincho" w:hint="eastAsia"/>
          <w:iCs/>
          <w:lang w:eastAsia="ja-JP"/>
        </w:rPr>
        <w:t xml:space="preserve">FFS: </w:t>
      </w:r>
      <w:r w:rsidRPr="00244F37">
        <w:rPr>
          <w:rFonts w:eastAsia="Yu Mincho"/>
          <w:iCs/>
          <w:lang w:eastAsia="ja-JP"/>
        </w:rPr>
        <w:t>UE PDCCH blind decoding capability is defined in NR</w:t>
      </w:r>
    </w:p>
    <w:p w14:paraId="3AE02734"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hint="eastAsia"/>
          <w:iCs/>
          <w:lang w:eastAsia="ja-JP"/>
        </w:rPr>
        <w:t xml:space="preserve">FFS: </w:t>
      </w:r>
      <w:r w:rsidRPr="00244F37">
        <w:rPr>
          <w:rFonts w:eastAsia="Yu Mincho"/>
          <w:iCs/>
          <w:lang w:eastAsia="ja-JP"/>
        </w:rPr>
        <w:t xml:space="preserve">The capability can be defined as the maximum number of blind decodes that a UE can support within a time unit. </w:t>
      </w:r>
    </w:p>
    <w:p w14:paraId="444CC756" w14:textId="77777777" w:rsidR="00D47EF3" w:rsidRPr="00244F37" w:rsidRDefault="00D47EF3" w:rsidP="00D47EF3">
      <w:pPr>
        <w:numPr>
          <w:ilvl w:val="1"/>
          <w:numId w:val="43"/>
        </w:numPr>
        <w:overflowPunct/>
        <w:autoSpaceDE/>
        <w:autoSpaceDN/>
        <w:adjustRightInd/>
        <w:spacing w:after="0"/>
        <w:jc w:val="left"/>
        <w:textAlignment w:val="auto"/>
        <w:rPr>
          <w:rFonts w:eastAsia="Yu Mincho"/>
          <w:iCs/>
          <w:lang w:eastAsia="ja-JP"/>
        </w:rPr>
      </w:pPr>
      <w:r w:rsidRPr="00244F37">
        <w:rPr>
          <w:rFonts w:eastAsia="Yu Mincho"/>
          <w:iCs/>
          <w:lang w:eastAsia="ja-JP"/>
        </w:rPr>
        <w:t>FFS</w:t>
      </w:r>
      <w:r w:rsidRPr="00244F37">
        <w:rPr>
          <w:rFonts w:eastAsia="Yu Mincho" w:hint="eastAsia"/>
          <w:iCs/>
          <w:lang w:eastAsia="ja-JP"/>
        </w:rPr>
        <w:t>:</w:t>
      </w:r>
      <w:r w:rsidRPr="00244F37">
        <w:rPr>
          <w:rFonts w:eastAsia="Yu Mincho"/>
          <w:iCs/>
          <w:lang w:eastAsia="ja-JP"/>
        </w:rPr>
        <w:t xml:space="preserve"> the value of the time unit </w:t>
      </w:r>
    </w:p>
    <w:p w14:paraId="6457C373" w14:textId="77777777" w:rsidR="00D47EF3" w:rsidRPr="00D47EF3" w:rsidRDefault="00D47EF3" w:rsidP="0090471A">
      <w:pPr>
        <w:spacing w:after="200" w:line="276" w:lineRule="auto"/>
        <w:contextualSpacing/>
        <w:rPr>
          <w:rFonts w:cs="Arial"/>
        </w:rPr>
      </w:pPr>
    </w:p>
    <w:p w14:paraId="22560DAE" w14:textId="37D37A50" w:rsidR="0009560B" w:rsidRPr="0009560B" w:rsidRDefault="008B458D" w:rsidP="006628A0">
      <w:pPr>
        <w:pStyle w:val="BodyText"/>
      </w:pPr>
      <w:r>
        <w:t>In this con</w:t>
      </w:r>
      <w:r w:rsidR="00AE5C65">
        <w:t>tribution</w:t>
      </w:r>
      <w:r w:rsidR="006278D5">
        <w:t>,</w:t>
      </w:r>
      <w:r w:rsidR="00AE5C65">
        <w:t xml:space="preserve"> </w:t>
      </w:r>
      <w:r w:rsidR="006278D5">
        <w:t>we discuss the mapping of search space candidates at different aggregation levels to the resources in a control resource set as well as the</w:t>
      </w:r>
      <w:r w:rsidR="00DB0354">
        <w:t xml:space="preserve"> aspects related to the blind decoding of the NR-PDCCH</w:t>
      </w:r>
      <w:r w:rsidR="006278D5">
        <w:t>.</w:t>
      </w:r>
    </w:p>
    <w:p w14:paraId="434ED296" w14:textId="73F9D7EA" w:rsidR="006278D5" w:rsidRPr="006278D5" w:rsidRDefault="005261FA" w:rsidP="006278D5">
      <w:pPr>
        <w:pStyle w:val="Heading1"/>
      </w:pPr>
      <w:r>
        <w:t>Discussion</w:t>
      </w:r>
    </w:p>
    <w:p w14:paraId="072CF529" w14:textId="79EEC3F9" w:rsidR="003E6B1F" w:rsidRDefault="003E6B1F" w:rsidP="006278D5">
      <w:pPr>
        <w:pStyle w:val="BodyText"/>
      </w:pPr>
      <w:r>
        <w:t>As in LTE, PDCCH candidates at each aggregation level can be part of a separate search space. This is simpler than trying to handle multiple aggregation levels within a single search space.</w:t>
      </w:r>
      <w:r w:rsidR="00DC3964">
        <w:t xml:space="preserve"> </w:t>
      </w:r>
      <w:r w:rsidR="00695044">
        <w:t xml:space="preserve">It is beneficial for NR to adopt this approach as well. This also implies that a single CORESET should be capable of supporting multiple search spaces. </w:t>
      </w:r>
    </w:p>
    <w:p w14:paraId="4FDEEF26" w14:textId="77777777" w:rsidR="003E6B1F" w:rsidRDefault="003E6B1F" w:rsidP="003E6B1F">
      <w:pPr>
        <w:rPr>
          <w:b/>
        </w:rPr>
      </w:pPr>
      <w:r>
        <w:rPr>
          <w:b/>
        </w:rPr>
        <w:t xml:space="preserve">Proposal: </w:t>
      </w:r>
    </w:p>
    <w:p w14:paraId="368958BA" w14:textId="2FA211CF" w:rsidR="003E6B1F" w:rsidRPr="0090471A" w:rsidRDefault="003E6B1F" w:rsidP="003E6B1F">
      <w:pPr>
        <w:pStyle w:val="ListParagraph"/>
        <w:numPr>
          <w:ilvl w:val="0"/>
          <w:numId w:val="41"/>
        </w:numPr>
        <w:rPr>
          <w:lang w:val="en-GB"/>
        </w:rPr>
      </w:pPr>
      <w:r w:rsidRPr="0090471A">
        <w:rPr>
          <w:rFonts w:ascii="Arial" w:eastAsia="Times New Roman" w:hAnsi="Arial"/>
          <w:sz w:val="20"/>
          <w:szCs w:val="20"/>
          <w:lang w:val="en-US" w:eastAsia="zh-CN"/>
        </w:rPr>
        <w:t>Each search space only contains PDCCH candidates of a single aggregation level.</w:t>
      </w:r>
    </w:p>
    <w:p w14:paraId="77920DC2" w14:textId="19740BB2" w:rsidR="00695044" w:rsidRPr="006278D5" w:rsidRDefault="00695044" w:rsidP="003E6B1F">
      <w:pPr>
        <w:pStyle w:val="ListParagraph"/>
        <w:numPr>
          <w:ilvl w:val="0"/>
          <w:numId w:val="41"/>
        </w:numPr>
        <w:rPr>
          <w:lang w:val="en-GB"/>
        </w:rPr>
      </w:pPr>
      <w:r>
        <w:rPr>
          <w:rFonts w:ascii="Arial" w:eastAsia="Times New Roman" w:hAnsi="Arial"/>
          <w:sz w:val="20"/>
          <w:szCs w:val="20"/>
          <w:lang w:val="en-US" w:eastAsia="zh-CN"/>
        </w:rPr>
        <w:t>A CORESET can contain multiple search spaces.</w:t>
      </w:r>
    </w:p>
    <w:p w14:paraId="01F601E3" w14:textId="6DC68A9A" w:rsidR="00695044" w:rsidRDefault="00695044" w:rsidP="006278D5">
      <w:pPr>
        <w:pStyle w:val="BodyText"/>
      </w:pPr>
    </w:p>
    <w:p w14:paraId="56221C66" w14:textId="3715A65C" w:rsidR="006278D5" w:rsidRDefault="006278D5" w:rsidP="006278D5">
      <w:pPr>
        <w:pStyle w:val="BodyText"/>
      </w:pPr>
      <w:r>
        <w:t xml:space="preserve">The aggregation level of a downlink control channel indicates the amount of physical resources spent on transmitting the coded DCI,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at the top of </w:t>
      </w:r>
      <w:r>
        <w:fldChar w:fldCharType="begin"/>
      </w:r>
      <w:r>
        <w:instrText xml:space="preserve"> REF _Ref465772198 \h </w:instrText>
      </w:r>
      <w:r>
        <w:fldChar w:fldCharType="separate"/>
      </w:r>
      <w:r w:rsidR="00BB0A79">
        <w:t xml:space="preserve">Figure </w:t>
      </w:r>
      <w:r w:rsidR="00BB0A79">
        <w:rPr>
          <w:noProof/>
        </w:rPr>
        <w:t>1</w:t>
      </w:r>
      <w:r>
        <w:fldChar w:fldCharType="end"/>
      </w:r>
      <w:r>
        <w:t xml:space="preserve">. This way, the channel estimate for aggregation level </w:t>
      </w:r>
      <w:r w:rsidRPr="00533F0E">
        <w:rPr>
          <w:i/>
        </w:rPr>
        <w:t>n</w:t>
      </w:r>
      <w:r>
        <w:t xml:space="preserve">+1 can be obtained from the channel estimated for the two underlying control channel candidates for aggregation level </w:t>
      </w:r>
      <w:r>
        <w:rPr>
          <w:i/>
        </w:rPr>
        <w:t>n</w:t>
      </w:r>
      <w:r>
        <w:t>, thereby possibly simplifying the UE implementation. That is in-line with the agreement already made as follows:</w:t>
      </w:r>
    </w:p>
    <w:p w14:paraId="75A8643F" w14:textId="77777777" w:rsidR="006278D5" w:rsidRPr="00F24B1D" w:rsidRDefault="006278D5" w:rsidP="006278D5">
      <w:pPr>
        <w:pStyle w:val="BodyText"/>
        <w:numPr>
          <w:ilvl w:val="0"/>
          <w:numId w:val="21"/>
        </w:numPr>
        <w:overflowPunct/>
        <w:autoSpaceDE/>
        <w:autoSpaceDN/>
        <w:adjustRightInd/>
        <w:spacing w:after="0"/>
        <w:ind w:left="360"/>
        <w:textAlignment w:val="auto"/>
      </w:pPr>
      <w:r w:rsidRPr="00F24B1D">
        <w:t>For one UE, the channel estimate obtained for one R</w:t>
      </w:r>
      <w:r w:rsidRPr="00F24B1D">
        <w:rPr>
          <w:rFonts w:hint="eastAsia"/>
          <w:lang w:eastAsia="ja-JP"/>
        </w:rPr>
        <w:t>E</w:t>
      </w:r>
      <w:r w:rsidRPr="00F24B1D">
        <w:t xml:space="preserve"> </w:t>
      </w:r>
      <w:r w:rsidRPr="00F24B1D">
        <w:rPr>
          <w:lang w:eastAsia="ja-JP"/>
        </w:rPr>
        <w:t>should be</w:t>
      </w:r>
      <w:r w:rsidRPr="00F24B1D">
        <w:t xml:space="preserve"> reusable across multiple blind decodings involving that R</w:t>
      </w:r>
      <w:r w:rsidRPr="00F24B1D">
        <w:rPr>
          <w:rFonts w:hint="eastAsia"/>
          <w:lang w:eastAsia="ja-JP"/>
        </w:rPr>
        <w:t>E</w:t>
      </w:r>
      <w:r w:rsidRPr="00F24B1D">
        <w:rPr>
          <w:lang w:eastAsia="ja-JP"/>
        </w:rPr>
        <w:t xml:space="preserve"> in at least the same control resource set and type of search space (common or UE-specific).</w:t>
      </w:r>
    </w:p>
    <w:p w14:paraId="581AB401" w14:textId="77777777" w:rsidR="006278D5" w:rsidRDefault="006278D5" w:rsidP="006278D5">
      <w:pPr>
        <w:pStyle w:val="BodyText"/>
      </w:pPr>
    </w:p>
    <w:p w14:paraId="13787297" w14:textId="77777777" w:rsidR="006278D5" w:rsidRPr="00737D53" w:rsidRDefault="006278D5" w:rsidP="006278D5">
      <w:pPr>
        <w:pStyle w:val="BodyText"/>
        <w:rPr>
          <w:b/>
        </w:rPr>
      </w:pPr>
    </w:p>
    <w:p w14:paraId="0ED0D7BC" w14:textId="77777777" w:rsidR="006278D5" w:rsidRDefault="006278D5" w:rsidP="006278D5">
      <w:pPr>
        <w:pStyle w:val="BodyText"/>
        <w:keepNext/>
      </w:pPr>
      <w:r w:rsidRPr="00533F0E">
        <w:rPr>
          <w:noProof/>
          <w:lang w:val="sv-SE" w:eastAsia="sv-SE"/>
        </w:rPr>
        <w:drawing>
          <wp:inline distT="0" distB="0" distL="0" distR="0" wp14:anchorId="059AD619" wp14:editId="20141DC1">
            <wp:extent cx="5791357" cy="1074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101909"/>
                    </a:xfrm>
                    <a:prstGeom prst="rect">
                      <a:avLst/>
                    </a:prstGeom>
                    <a:noFill/>
                    <a:ln>
                      <a:noFill/>
                    </a:ln>
                  </pic:spPr>
                </pic:pic>
              </a:graphicData>
            </a:graphic>
          </wp:inline>
        </w:drawing>
      </w:r>
    </w:p>
    <w:p w14:paraId="7CF108B5" w14:textId="7ABEDAE4" w:rsidR="006278D5" w:rsidRDefault="006278D5" w:rsidP="006278D5">
      <w:pPr>
        <w:pStyle w:val="Caption"/>
        <w:jc w:val="both"/>
      </w:pPr>
      <w:bookmarkStart w:id="2" w:name="_Ref465772198"/>
      <w:r>
        <w:t xml:space="preserve">Figure </w:t>
      </w:r>
      <w:r w:rsidR="002F5A39">
        <w:fldChar w:fldCharType="begin"/>
      </w:r>
      <w:r w:rsidR="002F5A39">
        <w:instrText xml:space="preserve"> SEQ Figure \* ARABIC </w:instrText>
      </w:r>
      <w:r w:rsidR="002F5A39">
        <w:fldChar w:fldCharType="separate"/>
      </w:r>
      <w:r w:rsidR="00BB0A79">
        <w:rPr>
          <w:noProof/>
        </w:rPr>
        <w:t>1</w:t>
      </w:r>
      <w:r w:rsidR="002F5A39">
        <w:rPr>
          <w:noProof/>
        </w:rPr>
        <w:fldChar w:fldCharType="end"/>
      </w:r>
      <w:bookmarkEnd w:id="2"/>
      <w:r>
        <w:t>: Hierarchical structure of aggregation levels (top), random structure of aggregation levels (bottom).</w:t>
      </w:r>
    </w:p>
    <w:p w14:paraId="45E7F78C" w14:textId="77777777" w:rsidR="006278D5" w:rsidRDefault="006278D5" w:rsidP="006278D5">
      <w:pPr>
        <w:pStyle w:val="BodyText"/>
      </w:pPr>
    </w:p>
    <w:p w14:paraId="6F108FFF" w14:textId="77777777" w:rsidR="006278D5" w:rsidRDefault="006278D5" w:rsidP="006278D5">
      <w:pPr>
        <w:pStyle w:val="BodyText"/>
      </w:pPr>
      <w:r>
        <w:t>At the same time concerns have been raised about the possibility that a PDCCH for one UE at a high aggregation level may block PDCCH candidates at all aggregation levels for another UE. This could be a problem if the REGs containing search spaces for both UEs at all aggregation levels fully or largely overlap. In LTE, this kind of hierarchical structure is not imposed and a more random structure as shown in the bottom of the figure is used. Therefore, there is a lower probability of this kind of blocking occurring.</w:t>
      </w:r>
    </w:p>
    <w:p w14:paraId="6971172E" w14:textId="77777777" w:rsidR="006278D5" w:rsidRDefault="006278D5" w:rsidP="006278D5">
      <w:pPr>
        <w:pStyle w:val="BodyText"/>
      </w:pPr>
      <w:r>
        <w:t xml:space="preserve">It is clear that blocking probability depends on many factors including the number of UEs in the cell, the size of the control resource sets, the need for higher aggregation levels and so on. Hence, it is useful for there to </w:t>
      </w:r>
      <w:r>
        <w:lastRenderedPageBreak/>
        <w:t>be some flexibility in the way search spaces for multiple aggregation levels are defined so that a hierarchical structure can be used where blocking is not expected to be a problem, but a more random structure like used in LTE can be employed otherwise. It is also possible for a given design of search spaces to have a more hierarchical structure or not depending on the size of the control resource set.</w:t>
      </w:r>
    </w:p>
    <w:p w14:paraId="32932F21" w14:textId="77777777" w:rsidR="006278D5" w:rsidRDefault="006278D5" w:rsidP="006278D5">
      <w:pPr>
        <w:pStyle w:val="BodyText"/>
      </w:pPr>
      <w:r>
        <w:t>In any case, whenever a REG is used across multiple PDCCH candidates, the channel estimate can be reused and the design should allow for this. Therefore, we propose the following:</w:t>
      </w:r>
    </w:p>
    <w:p w14:paraId="0C345C9A" w14:textId="77777777" w:rsidR="006278D5" w:rsidRDefault="006278D5" w:rsidP="006278D5">
      <w:pPr>
        <w:rPr>
          <w:b/>
        </w:rPr>
      </w:pPr>
      <w:r>
        <w:rPr>
          <w:b/>
        </w:rPr>
        <w:t xml:space="preserve">Proposal: </w:t>
      </w:r>
    </w:p>
    <w:p w14:paraId="5383E2A6" w14:textId="400627DC" w:rsidR="006278D5" w:rsidRPr="006278D5" w:rsidRDefault="006278D5" w:rsidP="006278D5">
      <w:pPr>
        <w:pStyle w:val="ListParagraph"/>
        <w:numPr>
          <w:ilvl w:val="0"/>
          <w:numId w:val="41"/>
        </w:numPr>
        <w:rPr>
          <w:lang w:val="en-GB"/>
        </w:rPr>
      </w:pPr>
      <w:r w:rsidRPr="00335871">
        <w:rPr>
          <w:rFonts w:ascii="Arial" w:hAnsi="Arial" w:cs="Arial"/>
          <w:color w:val="000000"/>
          <w:sz w:val="20"/>
          <w:szCs w:val="20"/>
          <w:lang w:val="en-US"/>
        </w:rPr>
        <w:t>A single channel estimate can be used for all search space candidates which share a common REG.</w:t>
      </w:r>
    </w:p>
    <w:p w14:paraId="450FA9A5" w14:textId="77777777" w:rsidR="006278D5" w:rsidRPr="006278D5" w:rsidRDefault="006278D5" w:rsidP="006278D5">
      <w:pPr>
        <w:rPr>
          <w:lang w:val="en-GB"/>
        </w:rPr>
      </w:pPr>
    </w:p>
    <w:p w14:paraId="4DE410BD" w14:textId="33F3E4BC" w:rsidR="003245DE" w:rsidRDefault="0059719A" w:rsidP="003245DE">
      <w:pPr>
        <w:rPr>
          <w:color w:val="000000"/>
        </w:rPr>
      </w:pPr>
      <w:r>
        <w:rPr>
          <w:color w:val="000000"/>
        </w:rPr>
        <w:t xml:space="preserve">Blind decoding complexity is a key design aspect that needs to be considered in the design of the control channel framework for NR. To manage blind decoding complexity the </w:t>
      </w:r>
      <w:r w:rsidR="003245DE">
        <w:rPr>
          <w:color w:val="000000"/>
        </w:rPr>
        <w:t xml:space="preserve">number of blind decoding candidates </w:t>
      </w:r>
      <w:r>
        <w:rPr>
          <w:color w:val="000000"/>
        </w:rPr>
        <w:t>should</w:t>
      </w:r>
      <w:r w:rsidR="003245DE">
        <w:rPr>
          <w:color w:val="000000"/>
        </w:rPr>
        <w:t xml:space="preserve"> not </w:t>
      </w:r>
      <w:r>
        <w:rPr>
          <w:color w:val="000000"/>
        </w:rPr>
        <w:t xml:space="preserve">be </w:t>
      </w:r>
      <w:r w:rsidR="003245DE">
        <w:rPr>
          <w:color w:val="000000"/>
        </w:rPr>
        <w:t xml:space="preserve">impacted by the number of OFDM symbols in the control resource set and </w:t>
      </w:r>
      <w:r>
        <w:rPr>
          <w:color w:val="000000"/>
        </w:rPr>
        <w:t xml:space="preserve">should be </w:t>
      </w:r>
      <w:r w:rsidR="003245DE">
        <w:rPr>
          <w:color w:val="000000"/>
        </w:rPr>
        <w:t xml:space="preserve">distributed across all the configured control </w:t>
      </w:r>
      <w:r w:rsidR="00E842A6">
        <w:rPr>
          <w:color w:val="000000"/>
        </w:rPr>
        <w:t>resource</w:t>
      </w:r>
      <w:r w:rsidR="003245DE">
        <w:rPr>
          <w:color w:val="000000"/>
        </w:rPr>
        <w:t xml:space="preserve"> sets.</w:t>
      </w:r>
    </w:p>
    <w:p w14:paraId="03011686" w14:textId="07F05147" w:rsidR="0059719A" w:rsidRDefault="0059719A" w:rsidP="003245DE">
      <w:pPr>
        <w:rPr>
          <w:color w:val="000000"/>
        </w:rPr>
      </w:pPr>
      <w:r>
        <w:rPr>
          <w:color w:val="000000"/>
        </w:rPr>
        <w:t xml:space="preserve">A proposed structure of PDCCH candidates was described in </w:t>
      </w:r>
      <w:r w:rsidR="00DD5F40">
        <w:rPr>
          <w:color w:val="000000"/>
        </w:rPr>
        <w:fldChar w:fldCharType="begin"/>
      </w:r>
      <w:r w:rsidR="00DD5F40">
        <w:rPr>
          <w:color w:val="000000"/>
        </w:rPr>
        <w:instrText xml:space="preserve"> REF _Ref485112866 \n \h </w:instrText>
      </w:r>
      <w:r w:rsidR="00DD5F40">
        <w:rPr>
          <w:color w:val="000000"/>
        </w:rPr>
      </w:r>
      <w:r w:rsidR="00DD5F40">
        <w:rPr>
          <w:color w:val="000000"/>
        </w:rPr>
        <w:fldChar w:fldCharType="separate"/>
      </w:r>
      <w:r w:rsidR="00BB0A79">
        <w:rPr>
          <w:color w:val="000000"/>
        </w:rPr>
        <w:t>[5]</w:t>
      </w:r>
      <w:r w:rsidR="00DD5F40">
        <w:rPr>
          <w:color w:val="000000"/>
        </w:rPr>
        <w:fldChar w:fldCharType="end"/>
      </w:r>
      <w:r w:rsidR="00DD5F40">
        <w:rPr>
          <w:color w:val="000000"/>
        </w:rPr>
        <w:t xml:space="preserve"> </w:t>
      </w:r>
      <w:r w:rsidR="00313882">
        <w:rPr>
          <w:color w:val="000000"/>
        </w:rPr>
        <w:t>where how CCEs inside a CORESET should be numbered was shown. In this structure</w:t>
      </w:r>
      <w:r w:rsidR="00DD5F40">
        <w:rPr>
          <w:color w:val="000000"/>
        </w:rPr>
        <w:t>,</w:t>
      </w:r>
      <w:r w:rsidR="00313882">
        <w:rPr>
          <w:color w:val="000000"/>
        </w:rPr>
        <w:t xml:space="preserve"> a CCE can be distributed across the CORESET depending on the particular interleaver defined for the CORESET. Search spaces can simply be defined as in LTE on the set of CCEs that belong to the search space</w:t>
      </w:r>
      <w:r w:rsidR="00EA5018">
        <w:rPr>
          <w:color w:val="000000"/>
        </w:rPr>
        <w:t>,</w:t>
      </w:r>
      <w:r w:rsidR="00313882">
        <w:rPr>
          <w:color w:val="000000"/>
        </w:rPr>
        <w:t xml:space="preserve"> with the CCEs corresponding to PDCCH candidate </w:t>
      </w:r>
      <w:r w:rsidR="00313882" w:rsidRPr="00E9040D">
        <w:rPr>
          <w:rFonts w:hint="eastAsia"/>
          <w:i/>
        </w:rPr>
        <w:t>m</w:t>
      </w:r>
      <w:r w:rsidR="00313882" w:rsidRPr="00E9040D">
        <w:rPr>
          <w:rFonts w:hint="eastAsia"/>
        </w:rPr>
        <w:t xml:space="preserve"> of the search space </w:t>
      </w:r>
      <w:r w:rsidR="00313882">
        <w:rPr>
          <w:noProof/>
          <w:position w:val="-12"/>
          <w:lang w:val="sv-SE" w:eastAsia="sv-SE"/>
        </w:rPr>
        <w:drawing>
          <wp:inline distT="0" distB="0" distL="0" distR="0" wp14:anchorId="6A9E1F17" wp14:editId="1E27EB92">
            <wp:extent cx="25273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00EA5018">
        <w:rPr>
          <w:rFonts w:hint="eastAsia"/>
        </w:rPr>
        <w:t xml:space="preserve"> being </w:t>
      </w:r>
      <w:r w:rsidR="00313882" w:rsidRPr="00E9040D">
        <w:t>given by</w:t>
      </w:r>
      <w:r w:rsidR="00313882">
        <w:rPr>
          <w:color w:val="000000"/>
        </w:rPr>
        <w:t xml:space="preserve"> </w:t>
      </w:r>
    </w:p>
    <w:p w14:paraId="532570F9" w14:textId="73E12473" w:rsidR="00313882" w:rsidRDefault="00313882" w:rsidP="00313882">
      <w:pPr>
        <w:jc w:val="center"/>
        <w:rPr>
          <w:color w:val="000000"/>
        </w:rPr>
      </w:pPr>
      <w:r>
        <w:rPr>
          <w:noProof/>
          <w:position w:val="-18"/>
          <w:lang w:val="sv-SE" w:eastAsia="sv-SE"/>
        </w:rPr>
        <w:drawing>
          <wp:inline distT="0" distB="0" distL="0" distR="0" wp14:anchorId="7CB19C2A" wp14:editId="2548C603">
            <wp:extent cx="1815465" cy="27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p>
    <w:p w14:paraId="4162F3A8" w14:textId="642AE793" w:rsidR="003245DE" w:rsidRDefault="00313882" w:rsidP="003245DE">
      <w:pPr>
        <w:rPr>
          <w:color w:val="000000"/>
        </w:rPr>
      </w:pPr>
      <w:r>
        <w:rPr>
          <w:color w:val="000000"/>
        </w:rPr>
        <w:t>where the definitions of the various parameters are defined as for LTE</w:t>
      </w:r>
      <w:r w:rsidR="00EA5018">
        <w:rPr>
          <w:color w:val="000000"/>
        </w:rPr>
        <w:t xml:space="preserve"> for the PDCCH. Another option is to define the candidates as is done for the EPDCCH. This can be discussed further. However, the general principle of following the same approach as in LTE with the set of CCEs defined in a CORESET is a reasonable way to define the PDCCH candidates that the UE must perform blind decoding on. </w:t>
      </w:r>
      <w:r w:rsidR="003245DE">
        <w:rPr>
          <w:color w:val="000000"/>
        </w:rPr>
        <w:t xml:space="preserve"> </w:t>
      </w:r>
    </w:p>
    <w:p w14:paraId="7FAF33F7" w14:textId="152D59D3" w:rsidR="00DC41E4" w:rsidRDefault="00A12469" w:rsidP="003245DE">
      <w:pPr>
        <w:rPr>
          <w:color w:val="000000"/>
        </w:rPr>
      </w:pPr>
      <w:r>
        <w:rPr>
          <w:color w:val="000000"/>
        </w:rPr>
        <w:t xml:space="preserve">The blind decoding rule can ensure some degree of randomization of the search space resources for different UEs to reduce blocking and interference. It is beneficial for the randomization to not include </w:t>
      </w:r>
      <w:r w:rsidR="00B12C24">
        <w:rPr>
          <w:color w:val="000000"/>
        </w:rPr>
        <w:t xml:space="preserve">physical </w:t>
      </w:r>
      <w:r>
        <w:rPr>
          <w:color w:val="000000"/>
        </w:rPr>
        <w:t>cell IDs to allow maximum flexibility for seamless operation in a variety of deployments.</w:t>
      </w:r>
      <w:r w:rsidR="00B12C24">
        <w:rPr>
          <w:color w:val="000000"/>
        </w:rPr>
        <w:t xml:space="preserve"> Virtual cell IDs could be used instead to maximize flexibility.</w:t>
      </w:r>
      <w:r>
        <w:rPr>
          <w:color w:val="000000"/>
        </w:rPr>
        <w:t xml:space="preserve"> </w:t>
      </w:r>
      <w:r w:rsidR="00B12C24">
        <w:rPr>
          <w:color w:val="000000"/>
        </w:rPr>
        <w:t xml:space="preserve">Furthermore, it is beneficial not to base the randomization </w:t>
      </w:r>
      <w:r w:rsidR="003242AA">
        <w:rPr>
          <w:color w:val="000000"/>
        </w:rPr>
        <w:t>on slot numbers but rather rely on UE IDs to reduce</w:t>
      </w:r>
      <w:r>
        <w:rPr>
          <w:color w:val="000000"/>
        </w:rPr>
        <w:t xml:space="preserve"> </w:t>
      </w:r>
      <w:r w:rsidR="003242AA">
        <w:rPr>
          <w:color w:val="000000"/>
        </w:rPr>
        <w:t xml:space="preserve">the probability of static </w:t>
      </w:r>
      <w:r>
        <w:rPr>
          <w:color w:val="000000"/>
        </w:rPr>
        <w:t xml:space="preserve">blocking </w:t>
      </w:r>
      <w:r w:rsidR="003242AA">
        <w:rPr>
          <w:color w:val="000000"/>
        </w:rPr>
        <w:t>and interference patterns</w:t>
      </w:r>
      <w:r>
        <w:rPr>
          <w:color w:val="000000"/>
        </w:rPr>
        <w:t xml:space="preserve">. </w:t>
      </w:r>
      <w:r w:rsidR="00FA2518">
        <w:rPr>
          <w:color w:val="000000"/>
        </w:rPr>
        <w:t>The use of slot numbers creates significant implementation complexities for operation in unlicensed spectrum where the time at which the channel may be available is not known. Without the dependence of the randomization on slot numbers, a transmission can be prepared and transmitted at a different slot without having to prepare the transmission again.</w:t>
      </w:r>
      <w:r w:rsidR="0020129F">
        <w:rPr>
          <w:color w:val="000000"/>
        </w:rPr>
        <w:t xml:space="preserve"> </w:t>
      </w:r>
    </w:p>
    <w:p w14:paraId="07DBB7D7" w14:textId="6CBE3ABA" w:rsidR="0020129F" w:rsidRDefault="0020129F" w:rsidP="003245DE">
      <w:pPr>
        <w:rPr>
          <w:color w:val="000000"/>
        </w:rPr>
      </w:pPr>
      <w:r>
        <w:rPr>
          <w:color w:val="000000"/>
        </w:rPr>
        <w:t>If the number of blind decodes per aggregation level and DCI format needs to be configured, this can be done per search space in the CORESET as part of the CORESET configuration.</w:t>
      </w:r>
    </w:p>
    <w:p w14:paraId="500FFFE8" w14:textId="302D8969" w:rsidR="00ED1657" w:rsidRDefault="00ED1657" w:rsidP="003245DE">
      <w:pPr>
        <w:rPr>
          <w:color w:val="000000"/>
        </w:rPr>
      </w:pPr>
      <w:r>
        <w:rPr>
          <w:color w:val="000000"/>
        </w:rPr>
        <w:t>For reception of the PDCCH scheduling information during initial access such as the RMSI or RAR, specific PDCCH candidates can be defined in the specification.</w:t>
      </w:r>
    </w:p>
    <w:p w14:paraId="50027E46" w14:textId="28163635" w:rsidR="003245DE" w:rsidRDefault="003245DE" w:rsidP="003245DE">
      <w:pPr>
        <w:rPr>
          <w:b/>
          <w:color w:val="000000"/>
        </w:rPr>
      </w:pPr>
      <w:r>
        <w:rPr>
          <w:color w:val="000000"/>
        </w:rPr>
        <w:t>Based on the above discussion, we propose the following:</w:t>
      </w:r>
    </w:p>
    <w:p w14:paraId="0AB3322D" w14:textId="77777777" w:rsidR="003245DE" w:rsidRPr="00047697" w:rsidRDefault="003245DE" w:rsidP="003245DE">
      <w:pPr>
        <w:rPr>
          <w:b/>
          <w:i/>
          <w:color w:val="000000"/>
        </w:rPr>
      </w:pPr>
      <w:r w:rsidRPr="00047697">
        <w:rPr>
          <w:b/>
          <w:i/>
          <w:color w:val="000000"/>
        </w:rPr>
        <w:t>Proposals:</w:t>
      </w:r>
    </w:p>
    <w:p w14:paraId="6E951E84" w14:textId="0E02CCC1" w:rsidR="003245DE" w:rsidRPr="003242AA" w:rsidRDefault="003245DE" w:rsidP="003242AA">
      <w:pPr>
        <w:pStyle w:val="ListParagraph"/>
        <w:numPr>
          <w:ilvl w:val="0"/>
          <w:numId w:val="27"/>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p>
    <w:p w14:paraId="69C0AEFA" w14:textId="00BC4E97" w:rsidR="003245DE" w:rsidRDefault="003245DE" w:rsidP="003245DE">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r w:rsidR="00A66C42">
        <w:rPr>
          <w:rFonts w:ascii="Arial" w:hAnsi="Arial" w:cs="Arial"/>
          <w:color w:val="000000"/>
          <w:sz w:val="20"/>
          <w:szCs w:val="20"/>
          <w:lang w:val="en-US"/>
        </w:rPr>
        <w:t xml:space="preserve"> similar to the one used for the PDCCH in LTE</w:t>
      </w:r>
      <w:r w:rsidRPr="006628A0">
        <w:rPr>
          <w:rFonts w:ascii="Arial" w:hAnsi="Arial" w:cs="Arial"/>
          <w:color w:val="000000"/>
          <w:sz w:val="20"/>
          <w:szCs w:val="20"/>
          <w:lang w:val="en-US"/>
        </w:rPr>
        <w:t>.</w:t>
      </w:r>
    </w:p>
    <w:p w14:paraId="531FAF93" w14:textId="443C5F5C" w:rsidR="0020129F" w:rsidRPr="006628A0" w:rsidRDefault="0020129F" w:rsidP="003245DE">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The number of blind decodes candidates for each aggregation level and DCI format can be configured per search space in a CORESET as part of the CORESET configuration.</w:t>
      </w:r>
    </w:p>
    <w:p w14:paraId="0F45871E" w14:textId="7B352715" w:rsidR="0009560B" w:rsidRDefault="00A12469" w:rsidP="00DB0354">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 xml:space="preserve">The </w:t>
      </w:r>
      <w:r w:rsidR="0041557D">
        <w:rPr>
          <w:rFonts w:ascii="Arial" w:hAnsi="Arial" w:cs="Arial"/>
          <w:color w:val="000000"/>
          <w:sz w:val="20"/>
          <w:szCs w:val="20"/>
          <w:lang w:val="en-US"/>
        </w:rPr>
        <w:t xml:space="preserve">automatic rule determining blind decode candidates </w:t>
      </w:r>
      <w:r>
        <w:rPr>
          <w:rFonts w:ascii="Arial" w:hAnsi="Arial" w:cs="Arial"/>
          <w:color w:val="000000"/>
          <w:sz w:val="20"/>
          <w:szCs w:val="20"/>
          <w:lang w:val="en-US"/>
        </w:rPr>
        <w:t xml:space="preserve">should not use </w:t>
      </w:r>
      <w:r w:rsidR="00280AD8">
        <w:rPr>
          <w:rFonts w:ascii="Arial" w:hAnsi="Arial" w:cs="Arial"/>
          <w:color w:val="000000"/>
          <w:sz w:val="20"/>
          <w:szCs w:val="20"/>
          <w:lang w:val="en-US"/>
        </w:rPr>
        <w:t xml:space="preserve">the </w:t>
      </w:r>
      <w:r>
        <w:rPr>
          <w:rFonts w:ascii="Arial" w:hAnsi="Arial" w:cs="Arial"/>
          <w:color w:val="000000"/>
          <w:sz w:val="20"/>
          <w:szCs w:val="20"/>
          <w:lang w:val="en-US"/>
        </w:rPr>
        <w:t xml:space="preserve">cell ID for randomization of </w:t>
      </w:r>
      <w:r w:rsidR="0041557D">
        <w:rPr>
          <w:rFonts w:ascii="Arial" w:hAnsi="Arial" w:cs="Arial"/>
          <w:color w:val="000000"/>
          <w:sz w:val="20"/>
          <w:szCs w:val="20"/>
          <w:lang w:val="en-US"/>
        </w:rPr>
        <w:t xml:space="preserve">the CCEs used for </w:t>
      </w:r>
      <w:r>
        <w:rPr>
          <w:rFonts w:ascii="Arial" w:hAnsi="Arial" w:cs="Arial"/>
          <w:color w:val="000000"/>
          <w:sz w:val="20"/>
          <w:szCs w:val="20"/>
          <w:lang w:val="en-US"/>
        </w:rPr>
        <w:t>candidates for different UEs.</w:t>
      </w:r>
    </w:p>
    <w:p w14:paraId="41293C27" w14:textId="73399D06" w:rsidR="00ED1657" w:rsidRPr="00DB0354" w:rsidRDefault="00ED1657" w:rsidP="00DB0354">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Specific PDCCH candidates can be defined in the specification for receiving the RMSI and RAR</w:t>
      </w:r>
    </w:p>
    <w:p w14:paraId="7987F701" w14:textId="756512C4" w:rsidR="00620462" w:rsidRDefault="00620462" w:rsidP="006628A0">
      <w:pPr>
        <w:pStyle w:val="BodyText"/>
        <w:overflowPunct/>
        <w:autoSpaceDE/>
        <w:autoSpaceDN/>
        <w:adjustRightInd/>
        <w:textAlignment w:val="auto"/>
      </w:pPr>
      <w:bookmarkStart w:id="3" w:name="_GoBack"/>
      <w:bookmarkEnd w:id="3"/>
    </w:p>
    <w:p w14:paraId="7FE71577" w14:textId="296ACCF6" w:rsidR="007654E5" w:rsidRDefault="00620462" w:rsidP="006628A0">
      <w:pPr>
        <w:pStyle w:val="BodyText"/>
        <w:overflowPunct/>
        <w:autoSpaceDE/>
        <w:autoSpaceDN/>
        <w:adjustRightInd/>
        <w:textAlignment w:val="auto"/>
        <w:rPr>
          <w:rFonts w:cs="Arial"/>
          <w:color w:val="000000"/>
        </w:rPr>
      </w:pPr>
      <w:r>
        <w:t>Another aspect that is important to consider regarding blind decoding complexity is carrier aggregation. It is beneficial to define a number of blind decodes that the UE must perform on a per carrier basis</w:t>
      </w:r>
      <w:r w:rsidR="00561511">
        <w:t xml:space="preserve"> within a given time period. A slot is a convenient unit for this time period</w:t>
      </w:r>
      <w:r>
        <w:t xml:space="preserve">. </w:t>
      </w:r>
      <w:r w:rsidR="00561511">
        <w:t>Having a per carrier limit</w:t>
      </w:r>
      <w:r>
        <w:t xml:space="preserve"> allows the operation on a single carrier to not vary too much based on the number of carriers that may be configured to the UE at any </w:t>
      </w:r>
      <w:r>
        <w:lastRenderedPageBreak/>
        <w:t xml:space="preserve">given time. </w:t>
      </w:r>
      <w:r w:rsidR="00C033A7">
        <w:t xml:space="preserve">However, within a carrier, the blind decodes can be independent of the number of CORESETs as has already been agreed. </w:t>
      </w:r>
      <w:r w:rsidR="00413560" w:rsidRPr="00620462">
        <w:rPr>
          <w:rFonts w:cs="Arial"/>
          <w:color w:val="000000"/>
        </w:rPr>
        <w:t xml:space="preserve">The total number of blind </w:t>
      </w:r>
      <w:r w:rsidR="00413560">
        <w:rPr>
          <w:rFonts w:cs="Arial"/>
          <w:color w:val="000000"/>
        </w:rPr>
        <w:t>decodes across all the carriers can be</w:t>
      </w:r>
      <w:r w:rsidR="00413560" w:rsidRPr="00620462">
        <w:rPr>
          <w:rFonts w:cs="Arial"/>
          <w:color w:val="000000"/>
        </w:rPr>
        <w:t xml:space="preserve"> limited based on UE capability</w:t>
      </w:r>
      <w:r w:rsidR="00413560">
        <w:rPr>
          <w:rFonts w:cs="Arial"/>
          <w:color w:val="000000"/>
        </w:rPr>
        <w:t xml:space="preserve">. </w:t>
      </w:r>
    </w:p>
    <w:p w14:paraId="244EDA82" w14:textId="5DB76C63" w:rsidR="007654E5" w:rsidRDefault="007654E5" w:rsidP="006628A0">
      <w:pPr>
        <w:pStyle w:val="BodyText"/>
        <w:overflowPunct/>
        <w:autoSpaceDE/>
        <w:autoSpaceDN/>
        <w:adjustRightInd/>
        <w:textAlignment w:val="auto"/>
        <w:rPr>
          <w:rFonts w:cs="Arial"/>
          <w:color w:val="000000"/>
        </w:rPr>
      </w:pPr>
      <w:r>
        <w:rPr>
          <w:rFonts w:cs="Arial"/>
          <w:color w:val="000000"/>
        </w:rPr>
        <w:t>It may be noted that considering the exponential increase in processing power and memory capacity since LTE was designed, the number of blind decode candidates for NR could be substantially increased as compared to LTE. However, this could also increase the false alarm rate and hence the ability to increase blind decodes also depends on the code design and the CRC length.</w:t>
      </w:r>
    </w:p>
    <w:p w14:paraId="1A17BA83" w14:textId="0D3B7B73" w:rsidR="00413560" w:rsidRDefault="00413560" w:rsidP="006628A0">
      <w:pPr>
        <w:pStyle w:val="BodyText"/>
        <w:overflowPunct/>
        <w:autoSpaceDE/>
        <w:autoSpaceDN/>
        <w:adjustRightInd/>
        <w:textAlignment w:val="auto"/>
        <w:rPr>
          <w:rFonts w:cs="Arial"/>
          <w:color w:val="000000"/>
        </w:rPr>
      </w:pPr>
      <w:r>
        <w:rPr>
          <w:rFonts w:cs="Arial"/>
          <w:color w:val="000000"/>
        </w:rPr>
        <w:t>Th</w:t>
      </w:r>
      <w:r w:rsidR="007654E5">
        <w:rPr>
          <w:rFonts w:cs="Arial"/>
          <w:color w:val="000000"/>
        </w:rPr>
        <w:t>e discussion above</w:t>
      </w:r>
      <w:r>
        <w:rPr>
          <w:rFonts w:cs="Arial"/>
          <w:color w:val="000000"/>
        </w:rPr>
        <w:t xml:space="preserve"> may be summarized in the following proposals.</w:t>
      </w:r>
    </w:p>
    <w:p w14:paraId="658807F6" w14:textId="77777777" w:rsidR="00413560" w:rsidRPr="00047697" w:rsidRDefault="00413560" w:rsidP="00413560">
      <w:pPr>
        <w:rPr>
          <w:b/>
          <w:i/>
          <w:color w:val="000000"/>
        </w:rPr>
      </w:pPr>
      <w:r w:rsidRPr="00047697">
        <w:rPr>
          <w:b/>
          <w:i/>
          <w:color w:val="000000"/>
        </w:rPr>
        <w:t>Proposals:</w:t>
      </w:r>
    </w:p>
    <w:p w14:paraId="6D7B5973" w14:textId="7BE9D324" w:rsidR="007654E5" w:rsidRPr="0090471A" w:rsidRDefault="00561511">
      <w:pPr>
        <w:pStyle w:val="ListParagraph"/>
        <w:numPr>
          <w:ilvl w:val="0"/>
          <w:numId w:val="27"/>
        </w:numPr>
        <w:contextualSpacing/>
        <w:rPr>
          <w:rFonts w:ascii="Arial" w:hAnsi="Arial" w:cs="Arial"/>
          <w:color w:val="000000"/>
          <w:sz w:val="20"/>
          <w:szCs w:val="20"/>
          <w:lang w:val="en-US"/>
        </w:rPr>
      </w:pPr>
      <w:r>
        <w:rPr>
          <w:rFonts w:ascii="Arial" w:hAnsi="Arial" w:cs="Arial"/>
          <w:color w:val="000000"/>
          <w:sz w:val="20"/>
          <w:szCs w:val="20"/>
          <w:lang w:val="en-US"/>
        </w:rPr>
        <w:t>The n</w:t>
      </w:r>
      <w:r w:rsidR="00B457D3" w:rsidRPr="00620462">
        <w:rPr>
          <w:rFonts w:ascii="Arial" w:hAnsi="Arial" w:cs="Arial"/>
          <w:color w:val="000000"/>
          <w:sz w:val="20"/>
          <w:szCs w:val="20"/>
          <w:lang w:val="en-US"/>
        </w:rPr>
        <w:t>umber of blind decodes</w:t>
      </w:r>
      <w:r>
        <w:rPr>
          <w:rFonts w:ascii="Arial" w:hAnsi="Arial" w:cs="Arial"/>
          <w:color w:val="000000"/>
          <w:sz w:val="20"/>
          <w:szCs w:val="20"/>
          <w:lang w:val="en-US"/>
        </w:rPr>
        <w:t xml:space="preserve"> within a slot</w:t>
      </w:r>
      <w:r w:rsidR="00B457D3" w:rsidRPr="00620462">
        <w:rPr>
          <w:rFonts w:ascii="Arial" w:hAnsi="Arial" w:cs="Arial"/>
          <w:color w:val="000000"/>
          <w:sz w:val="20"/>
          <w:szCs w:val="20"/>
          <w:lang w:val="en-US"/>
        </w:rPr>
        <w:t xml:space="preserve"> </w:t>
      </w:r>
      <w:r>
        <w:rPr>
          <w:rFonts w:ascii="Arial" w:hAnsi="Arial" w:cs="Arial"/>
          <w:color w:val="000000"/>
          <w:sz w:val="20"/>
          <w:szCs w:val="20"/>
          <w:lang w:val="en-US"/>
        </w:rPr>
        <w:t>for a UE is</w:t>
      </w:r>
      <w:r w:rsidR="00B457D3">
        <w:rPr>
          <w:rFonts w:ascii="Arial" w:hAnsi="Arial" w:cs="Arial"/>
          <w:color w:val="000000"/>
          <w:sz w:val="20"/>
          <w:szCs w:val="20"/>
          <w:lang w:val="en-US"/>
        </w:rPr>
        <w:t xml:space="preserve"> </w:t>
      </w:r>
      <w:r w:rsidR="00B457D3" w:rsidRPr="00620462">
        <w:rPr>
          <w:rFonts w:ascii="Arial" w:hAnsi="Arial" w:cs="Arial"/>
          <w:color w:val="000000"/>
          <w:sz w:val="20"/>
          <w:szCs w:val="20"/>
          <w:lang w:val="en-US"/>
        </w:rPr>
        <w:t>defined on a per carrier basis</w:t>
      </w:r>
    </w:p>
    <w:p w14:paraId="77AD737E" w14:textId="77777777" w:rsidR="00413560" w:rsidRPr="00413560" w:rsidRDefault="00413560" w:rsidP="0090471A"/>
    <w:p w14:paraId="52194F8F" w14:textId="5F2EDD0E" w:rsidR="00AE553B" w:rsidRDefault="00AE553B" w:rsidP="00AE553B">
      <w:pPr>
        <w:pStyle w:val="Heading1"/>
      </w:pPr>
      <w:r>
        <w:t>Conclusion</w:t>
      </w:r>
    </w:p>
    <w:p w14:paraId="4F2C767F" w14:textId="410D5D45" w:rsidR="00DD5F40" w:rsidRPr="0009560B" w:rsidRDefault="00DD5F40" w:rsidP="00DD5F40">
      <w:pPr>
        <w:pStyle w:val="BodyText"/>
      </w:pPr>
      <w:r>
        <w:t>In this contribution, we discussed the mapping of search space candidates at different aggregation levels to the resources in a control resource set as well as the aspects related to the blind decoding of the NR-PDCCH. Based on the discussion, we proposed the following:</w:t>
      </w:r>
    </w:p>
    <w:p w14:paraId="1779456B" w14:textId="77777777" w:rsidR="00DD5F40" w:rsidRPr="006B1E7D" w:rsidRDefault="00DD5F40" w:rsidP="00DD5F40">
      <w:pPr>
        <w:rPr>
          <w:b/>
          <w:i/>
        </w:rPr>
      </w:pPr>
      <w:r w:rsidRPr="006B1E7D">
        <w:rPr>
          <w:b/>
          <w:i/>
        </w:rPr>
        <w:t xml:space="preserve">Proposal: </w:t>
      </w:r>
    </w:p>
    <w:p w14:paraId="56F8EF63" w14:textId="4ABF0280" w:rsidR="003E6B1F" w:rsidRDefault="003E6B1F" w:rsidP="00E56C31">
      <w:pPr>
        <w:pStyle w:val="ListParagraph"/>
        <w:numPr>
          <w:ilvl w:val="0"/>
          <w:numId w:val="27"/>
        </w:numPr>
        <w:autoSpaceDE w:val="0"/>
        <w:autoSpaceDN w:val="0"/>
        <w:contextualSpacing/>
        <w:rPr>
          <w:rFonts w:ascii="Arial" w:hAnsi="Arial" w:cs="Arial"/>
          <w:color w:val="000000"/>
          <w:sz w:val="20"/>
          <w:szCs w:val="20"/>
          <w:lang w:val="en-US"/>
        </w:rPr>
      </w:pPr>
      <w:r w:rsidRPr="00E56C31">
        <w:rPr>
          <w:rFonts w:ascii="Arial" w:hAnsi="Arial" w:cs="Arial"/>
          <w:color w:val="000000"/>
          <w:sz w:val="20"/>
          <w:szCs w:val="20"/>
          <w:lang w:val="en-US"/>
        </w:rPr>
        <w:t>Each search space only contains PDCCH candidates of a single aggregation level</w:t>
      </w:r>
    </w:p>
    <w:p w14:paraId="1CCFCF87" w14:textId="4A510FCA" w:rsidR="00381FD4" w:rsidRPr="00E56C31" w:rsidRDefault="00381FD4" w:rsidP="00E56C31">
      <w:pPr>
        <w:pStyle w:val="ListParagraph"/>
        <w:numPr>
          <w:ilvl w:val="0"/>
          <w:numId w:val="27"/>
        </w:numPr>
        <w:autoSpaceDE w:val="0"/>
        <w:autoSpaceDN w:val="0"/>
        <w:contextualSpacing/>
        <w:rPr>
          <w:rFonts w:ascii="Arial" w:hAnsi="Arial" w:cs="Arial"/>
          <w:color w:val="000000"/>
          <w:sz w:val="20"/>
          <w:szCs w:val="20"/>
          <w:lang w:val="en-US"/>
        </w:rPr>
      </w:pPr>
      <w:r>
        <w:rPr>
          <w:rFonts w:ascii="Arial" w:eastAsia="Times New Roman" w:hAnsi="Arial"/>
          <w:sz w:val="20"/>
          <w:szCs w:val="20"/>
          <w:lang w:val="en-US" w:eastAsia="zh-CN"/>
        </w:rPr>
        <w:t>A CORESET can contain multiple search spaces.</w:t>
      </w:r>
    </w:p>
    <w:p w14:paraId="2268C8DA" w14:textId="4882A4CC" w:rsidR="00DD5F40" w:rsidRPr="00E56C31" w:rsidRDefault="00DD5F40" w:rsidP="00E56C31">
      <w:pPr>
        <w:pStyle w:val="ListParagraph"/>
        <w:numPr>
          <w:ilvl w:val="0"/>
          <w:numId w:val="27"/>
        </w:numPr>
        <w:autoSpaceDE w:val="0"/>
        <w:autoSpaceDN w:val="0"/>
        <w:contextualSpacing/>
        <w:rPr>
          <w:rFonts w:ascii="Arial" w:hAnsi="Arial" w:cs="Arial"/>
          <w:color w:val="000000"/>
          <w:sz w:val="20"/>
          <w:szCs w:val="20"/>
          <w:lang w:val="en-US"/>
        </w:rPr>
      </w:pPr>
      <w:r w:rsidRPr="00E56C31">
        <w:rPr>
          <w:rFonts w:ascii="Arial" w:hAnsi="Arial" w:cs="Arial"/>
          <w:color w:val="000000"/>
          <w:sz w:val="20"/>
          <w:szCs w:val="20"/>
          <w:lang w:val="en-US"/>
        </w:rPr>
        <w:t>A single channel estimate can be used for all search space candidates which share a common REG.</w:t>
      </w:r>
    </w:p>
    <w:p w14:paraId="28EE28C4" w14:textId="77777777" w:rsidR="00DD5F40" w:rsidRPr="006278D5" w:rsidRDefault="00DD5F40" w:rsidP="00DD5F40">
      <w:pPr>
        <w:rPr>
          <w:lang w:val="en-GB"/>
        </w:rPr>
      </w:pPr>
    </w:p>
    <w:p w14:paraId="2CF78C65" w14:textId="77777777" w:rsidR="00DB0354" w:rsidRDefault="006B6397" w:rsidP="00DB0354">
      <w:pPr>
        <w:contextualSpacing/>
        <w:rPr>
          <w:b/>
          <w:i/>
        </w:rPr>
      </w:pPr>
      <w:r w:rsidRPr="00DB0354">
        <w:rPr>
          <w:b/>
          <w:i/>
        </w:rPr>
        <w:t xml:space="preserve">Proposals: </w:t>
      </w:r>
    </w:p>
    <w:p w14:paraId="213C35C5" w14:textId="77777777" w:rsidR="00A66C42" w:rsidRPr="003242AA"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sidRPr="003242AA">
        <w:rPr>
          <w:rFonts w:ascii="Arial" w:hAnsi="Arial" w:cs="Arial"/>
          <w:color w:val="000000"/>
          <w:sz w:val="20"/>
          <w:szCs w:val="20"/>
          <w:lang w:val="en-US"/>
        </w:rPr>
        <w:t>The number of OFDM symbols in the control resource set does not impact the number of blind decodes.</w:t>
      </w:r>
    </w:p>
    <w:p w14:paraId="1DE78702" w14:textId="32BE0C05" w:rsidR="00A66C42"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r>
        <w:rPr>
          <w:rFonts w:ascii="Arial" w:hAnsi="Arial" w:cs="Arial"/>
          <w:color w:val="000000"/>
          <w:sz w:val="20"/>
          <w:szCs w:val="20"/>
          <w:lang w:val="en-US"/>
        </w:rPr>
        <w:t xml:space="preserve"> similar to the one used for the PDCCH in LTE</w:t>
      </w:r>
      <w:r w:rsidRPr="006628A0">
        <w:rPr>
          <w:rFonts w:ascii="Arial" w:hAnsi="Arial" w:cs="Arial"/>
          <w:color w:val="000000"/>
          <w:sz w:val="20"/>
          <w:szCs w:val="20"/>
          <w:lang w:val="en-US"/>
        </w:rPr>
        <w:t>.</w:t>
      </w:r>
    </w:p>
    <w:p w14:paraId="3FDFD908" w14:textId="70EF9ABC" w:rsidR="0020129F" w:rsidRPr="0090471A" w:rsidRDefault="0020129F">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The number of blind decodes candidates for each aggregation level and DCI format can be configured per search space in a CORESET as part of the CORESET configuration.</w:t>
      </w:r>
    </w:p>
    <w:p w14:paraId="5633134B" w14:textId="5E270FE8" w:rsidR="00A66C42" w:rsidRDefault="00A66C42" w:rsidP="00A66C42">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The automatic rule determining blind decode candidates should not use the cell ID for randomization of the CCEs used for candidates for different UEs.</w:t>
      </w:r>
    </w:p>
    <w:p w14:paraId="1B9A3144" w14:textId="700B70BE" w:rsidR="002540D1" w:rsidRPr="0090471A" w:rsidRDefault="002540D1">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Specific PDCCH candidates can be defined in the specification for receiving the RMSI and RAR</w:t>
      </w:r>
    </w:p>
    <w:p w14:paraId="589B2E4B" w14:textId="388CA353" w:rsidR="00620462" w:rsidRPr="00620462" w:rsidRDefault="00561511" w:rsidP="00620462">
      <w:pPr>
        <w:pStyle w:val="ListParagraph"/>
        <w:numPr>
          <w:ilvl w:val="0"/>
          <w:numId w:val="27"/>
        </w:numPr>
        <w:contextualSpacing/>
        <w:rPr>
          <w:rFonts w:ascii="Arial" w:hAnsi="Arial" w:cs="Arial"/>
          <w:color w:val="000000"/>
          <w:sz w:val="20"/>
          <w:szCs w:val="20"/>
          <w:lang w:val="en-US"/>
        </w:rPr>
      </w:pPr>
      <w:r>
        <w:rPr>
          <w:rFonts w:ascii="Arial" w:hAnsi="Arial" w:cs="Arial"/>
          <w:color w:val="000000"/>
          <w:sz w:val="20"/>
          <w:szCs w:val="20"/>
          <w:lang w:val="en-US"/>
        </w:rPr>
        <w:t>The n</w:t>
      </w:r>
      <w:r w:rsidR="00620462" w:rsidRPr="00620462">
        <w:rPr>
          <w:rFonts w:ascii="Arial" w:hAnsi="Arial" w:cs="Arial"/>
          <w:color w:val="000000"/>
          <w:sz w:val="20"/>
          <w:szCs w:val="20"/>
          <w:lang w:val="en-US"/>
        </w:rPr>
        <w:t xml:space="preserve">umber of blind decodes </w:t>
      </w:r>
      <w:r w:rsidR="000D3333">
        <w:rPr>
          <w:rFonts w:ascii="Arial" w:hAnsi="Arial" w:cs="Arial"/>
          <w:color w:val="000000"/>
          <w:sz w:val="20"/>
          <w:szCs w:val="20"/>
          <w:lang w:val="en-US"/>
        </w:rPr>
        <w:t xml:space="preserve">within a slot </w:t>
      </w:r>
      <w:r>
        <w:rPr>
          <w:rFonts w:ascii="Arial" w:hAnsi="Arial" w:cs="Arial"/>
          <w:color w:val="000000"/>
          <w:sz w:val="20"/>
          <w:szCs w:val="20"/>
          <w:lang w:val="en-US"/>
        </w:rPr>
        <w:t>for a UE is</w:t>
      </w:r>
      <w:r w:rsidR="00620462">
        <w:rPr>
          <w:rFonts w:ascii="Arial" w:hAnsi="Arial" w:cs="Arial"/>
          <w:color w:val="000000"/>
          <w:sz w:val="20"/>
          <w:szCs w:val="20"/>
          <w:lang w:val="en-US"/>
        </w:rPr>
        <w:t xml:space="preserve"> </w:t>
      </w:r>
      <w:r w:rsidR="00620462" w:rsidRPr="00620462">
        <w:rPr>
          <w:rFonts w:ascii="Arial" w:hAnsi="Arial" w:cs="Arial"/>
          <w:color w:val="000000"/>
          <w:sz w:val="20"/>
          <w:szCs w:val="20"/>
          <w:lang w:val="en-US"/>
        </w:rPr>
        <w:t>defined on a per carrier basis</w:t>
      </w:r>
    </w:p>
    <w:p w14:paraId="1807A744" w14:textId="77777777" w:rsidR="00A66C42" w:rsidRPr="00A66C42" w:rsidRDefault="00A66C42" w:rsidP="00A66C42">
      <w:pPr>
        <w:pStyle w:val="ListParagraph"/>
        <w:autoSpaceDE w:val="0"/>
        <w:autoSpaceDN w:val="0"/>
        <w:contextualSpacing/>
        <w:rPr>
          <w:rFonts w:ascii="Arial" w:hAnsi="Arial" w:cs="Arial"/>
          <w:color w:val="000000"/>
          <w:sz w:val="20"/>
          <w:szCs w:val="20"/>
          <w:lang w:val="en-US"/>
        </w:rPr>
      </w:pPr>
    </w:p>
    <w:p w14:paraId="3CA25FCB" w14:textId="041390C9" w:rsidR="00F507D1" w:rsidRDefault="00F507D1" w:rsidP="0009033B">
      <w:pPr>
        <w:pStyle w:val="Heading1"/>
      </w:pPr>
      <w:bookmarkStart w:id="4" w:name="_In-sequence_SDU_delivery"/>
      <w:bookmarkEnd w:id="4"/>
      <w:r w:rsidRPr="00CE0424">
        <w:t>References</w:t>
      </w:r>
    </w:p>
    <w:p w14:paraId="50E43424" w14:textId="77777777" w:rsidR="005C0894" w:rsidRPr="000F61BC" w:rsidRDefault="00961E01" w:rsidP="00961E01">
      <w:pPr>
        <w:pStyle w:val="Reference"/>
      </w:pPr>
      <w:bookmarkStart w:id="5" w:name="_Ref485075368"/>
      <w:bookmarkStart w:id="6" w:name="_Ref484868330"/>
      <w:bookmarkStart w:id="7" w:name="_Ref473934775"/>
      <w:bookmarkStart w:id="8" w:name="_Ref473637092"/>
      <w:bookmarkStart w:id="9" w:name="_Ref470613638"/>
      <w:bookmarkStart w:id="10" w:name="_Ref465931227"/>
      <w:bookmarkStart w:id="11" w:name="_Ref458515583"/>
      <w:bookmarkStart w:id="12" w:name="_Ref174151459"/>
      <w:bookmarkStart w:id="13" w:name="_Ref189809556"/>
      <w:bookmarkStart w:id="14" w:name="_Ref458165837"/>
      <w:bookmarkStart w:id="15" w:name="_Ref473896381"/>
      <w:r w:rsidRPr="000F61BC">
        <w:t>Chairman’s Notes, 3GPP TSG RAN WG1 Meeting #8</w:t>
      </w:r>
      <w:r w:rsidR="005C0894" w:rsidRPr="000F61BC">
        <w:t>7</w:t>
      </w:r>
      <w:bookmarkEnd w:id="5"/>
    </w:p>
    <w:p w14:paraId="3AE0ADD7" w14:textId="39B42B81" w:rsidR="00961E01" w:rsidRPr="000F61BC" w:rsidRDefault="005C0894" w:rsidP="00961E01">
      <w:pPr>
        <w:pStyle w:val="Reference"/>
      </w:pPr>
      <w:bookmarkStart w:id="16" w:name="_Ref485075374"/>
      <w:r w:rsidRPr="000F61BC">
        <w:t>Chairman’s Notes, 3GPP TSG RAN WG1 NR Ad-Hoc Meeting #1</w:t>
      </w:r>
      <w:bookmarkEnd w:id="6"/>
      <w:bookmarkEnd w:id="16"/>
    </w:p>
    <w:p w14:paraId="697D6AF5" w14:textId="46D7E62B" w:rsidR="00FE6FAB" w:rsidRDefault="00FE6FAB" w:rsidP="00FE6FAB">
      <w:pPr>
        <w:pStyle w:val="Reference"/>
      </w:pPr>
      <w:bookmarkStart w:id="17" w:name="_Ref485075381"/>
      <w:r w:rsidRPr="000F61BC">
        <w:t>Chairman’s Notes, 3GPP TSG RAN WG1 Meeting #88</w:t>
      </w:r>
      <w:bookmarkEnd w:id="17"/>
    </w:p>
    <w:p w14:paraId="63A5CAEC" w14:textId="03F1728A" w:rsidR="00D47EF3" w:rsidRPr="000F61BC" w:rsidRDefault="00D47EF3" w:rsidP="00FE6FAB">
      <w:pPr>
        <w:pStyle w:val="Reference"/>
      </w:pPr>
      <w:bookmarkStart w:id="18" w:name="_Ref490214994"/>
      <w:r>
        <w:t>Chairman’s Notes, 3GPP TSG RAN WG1 NR Ad-Hoc Meeting #2</w:t>
      </w:r>
      <w:bookmarkEnd w:id="18"/>
    </w:p>
    <w:p w14:paraId="08A4BBF6" w14:textId="5778A3E0" w:rsidR="00FE6FAB" w:rsidRPr="000F61BC" w:rsidRDefault="005B3DEC" w:rsidP="00961E01">
      <w:pPr>
        <w:pStyle w:val="Reference"/>
      </w:pPr>
      <w:bookmarkStart w:id="19" w:name="_Ref485112866"/>
      <w:r>
        <w:t>R1-1714408</w:t>
      </w:r>
      <w:r>
        <w:tab/>
      </w:r>
      <w:r w:rsidR="00FE6FAB" w:rsidRPr="000F61BC">
        <w:tab/>
        <w:t>On NR-PDCCH Structure; Ericsson</w:t>
      </w:r>
      <w:bookmarkEnd w:id="19"/>
    </w:p>
    <w:bookmarkEnd w:id="7"/>
    <w:bookmarkEnd w:id="8"/>
    <w:bookmarkEnd w:id="9"/>
    <w:bookmarkEnd w:id="10"/>
    <w:bookmarkEnd w:id="11"/>
    <w:bookmarkEnd w:id="12"/>
    <w:bookmarkEnd w:id="13"/>
    <w:bookmarkEnd w:id="14"/>
    <w:bookmarkEnd w:id="15"/>
    <w:p w14:paraId="7BD1958E" w14:textId="7986C986" w:rsidR="002F43C5" w:rsidRPr="00BE3726" w:rsidRDefault="002F43C5" w:rsidP="0009560B">
      <w:pPr>
        <w:pStyle w:val="Reference"/>
        <w:numPr>
          <w:ilvl w:val="0"/>
          <w:numId w:val="0"/>
        </w:numPr>
        <w:ind w:left="567"/>
      </w:pPr>
    </w:p>
    <w:sectPr w:rsidR="002F43C5" w:rsidRPr="00BE372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E49B8" w14:textId="77777777" w:rsidR="002F5A39" w:rsidRDefault="002F5A39">
      <w:r>
        <w:separator/>
      </w:r>
    </w:p>
  </w:endnote>
  <w:endnote w:type="continuationSeparator" w:id="0">
    <w:p w14:paraId="7EA2961E" w14:textId="77777777" w:rsidR="002F5A39" w:rsidRDefault="002F5A39">
      <w:r>
        <w:continuationSeparator/>
      </w:r>
    </w:p>
  </w:endnote>
  <w:endnote w:type="continuationNotice" w:id="1">
    <w:p w14:paraId="688C2D1F" w14:textId="77777777" w:rsidR="002F5A39" w:rsidRDefault="002F5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EAD5D" w14:textId="77777777" w:rsidR="00B962D9" w:rsidRDefault="00B96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87D14DD" w:rsidR="00944308" w:rsidRPr="00B962D9" w:rsidRDefault="00944308" w:rsidP="00B96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E34D1" w14:textId="77777777" w:rsidR="00B962D9" w:rsidRDefault="00B96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018F0" w14:textId="77777777" w:rsidR="002F5A39" w:rsidRDefault="002F5A39">
      <w:r>
        <w:separator/>
      </w:r>
    </w:p>
  </w:footnote>
  <w:footnote w:type="continuationSeparator" w:id="0">
    <w:p w14:paraId="6FE972CB" w14:textId="77777777" w:rsidR="002F5A39" w:rsidRDefault="002F5A39">
      <w:r>
        <w:continuationSeparator/>
      </w:r>
    </w:p>
  </w:footnote>
  <w:footnote w:type="continuationNotice" w:id="1">
    <w:p w14:paraId="2E0362FE" w14:textId="77777777" w:rsidR="002F5A39" w:rsidRDefault="002F5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1961B15" w:rsidR="00944308" w:rsidRPr="00B962D9" w:rsidRDefault="00944308" w:rsidP="00B96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7C76E" w14:textId="77777777" w:rsidR="00B962D9" w:rsidRDefault="00B96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4C6E8" w14:textId="77777777" w:rsidR="00B962D9" w:rsidRDefault="00B96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1A28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6" w15:restartNumberingAfterBreak="0">
    <w:nsid w:val="2F4D4796"/>
    <w:multiLevelType w:val="hybridMultilevel"/>
    <w:tmpl w:val="0FE87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BD80EB4"/>
    <w:multiLevelType w:val="hybridMultilevel"/>
    <w:tmpl w:val="8E827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3107E44"/>
    <w:multiLevelType w:val="hybridMultilevel"/>
    <w:tmpl w:val="742E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4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2"/>
  </w:num>
  <w:num w:numId="3">
    <w:abstractNumId w:val="21"/>
  </w:num>
  <w:num w:numId="4">
    <w:abstractNumId w:val="24"/>
  </w:num>
  <w:num w:numId="5">
    <w:abstractNumId w:val="18"/>
  </w:num>
  <w:num w:numId="6">
    <w:abstractNumId w:val="28"/>
  </w:num>
  <w:num w:numId="7">
    <w:abstractNumId w:val="35"/>
  </w:num>
  <w:num w:numId="8">
    <w:abstractNumId w:val="19"/>
  </w:num>
  <w:num w:numId="9">
    <w:abstractNumId w:val="34"/>
  </w:num>
  <w:num w:numId="10">
    <w:abstractNumId w:val="8"/>
  </w:num>
  <w:num w:numId="11">
    <w:abstractNumId w:val="2"/>
  </w:num>
  <w:num w:numId="12">
    <w:abstractNumId w:val="6"/>
  </w:num>
  <w:num w:numId="13">
    <w:abstractNumId w:val="37"/>
  </w:num>
  <w:num w:numId="14">
    <w:abstractNumId w:val="22"/>
  </w:num>
  <w:num w:numId="15">
    <w:abstractNumId w:val="10"/>
  </w:num>
  <w:num w:numId="16">
    <w:abstractNumId w:val="36"/>
  </w:num>
  <w:num w:numId="17">
    <w:abstractNumId w:val="26"/>
  </w:num>
  <w:num w:numId="18">
    <w:abstractNumId w:val="15"/>
  </w:num>
  <w:num w:numId="19">
    <w:abstractNumId w:val="31"/>
  </w:num>
  <w:num w:numId="20">
    <w:abstractNumId w:val="38"/>
  </w:num>
  <w:num w:numId="21">
    <w:abstractNumId w:val="12"/>
  </w:num>
  <w:num w:numId="22">
    <w:abstractNumId w:val="41"/>
  </w:num>
  <w:num w:numId="23">
    <w:abstractNumId w:val="4"/>
  </w:num>
  <w:num w:numId="24">
    <w:abstractNumId w:val="29"/>
  </w:num>
  <w:num w:numId="25">
    <w:abstractNumId w:val="11"/>
  </w:num>
  <w:num w:numId="26">
    <w:abstractNumId w:val="30"/>
  </w:num>
  <w:num w:numId="27">
    <w:abstractNumId w:val="0"/>
  </w:num>
  <w:num w:numId="28">
    <w:abstractNumId w:val="17"/>
  </w:num>
  <w:num w:numId="29">
    <w:abstractNumId w:val="23"/>
  </w:num>
  <w:num w:numId="30">
    <w:abstractNumId w:val="33"/>
  </w:num>
  <w:num w:numId="31">
    <w:abstractNumId w:val="42"/>
  </w:num>
  <w:num w:numId="32">
    <w:abstractNumId w:val="40"/>
  </w:num>
  <w:num w:numId="33">
    <w:abstractNumId w:val="14"/>
  </w:num>
  <w:num w:numId="34">
    <w:abstractNumId w:val="5"/>
  </w:num>
  <w:num w:numId="35">
    <w:abstractNumId w:val="13"/>
  </w:num>
  <w:num w:numId="36">
    <w:abstractNumId w:val="20"/>
  </w:num>
  <w:num w:numId="37">
    <w:abstractNumId w:val="7"/>
  </w:num>
  <w:num w:numId="38">
    <w:abstractNumId w:val="9"/>
  </w:num>
  <w:num w:numId="39">
    <w:abstractNumId w:val="39"/>
  </w:num>
  <w:num w:numId="40">
    <w:abstractNumId w:val="27"/>
  </w:num>
  <w:num w:numId="41">
    <w:abstractNumId w:val="25"/>
  </w:num>
  <w:num w:numId="42">
    <w:abstractNumId w:val="16"/>
  </w:num>
  <w:num w:numId="4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234"/>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6BD"/>
    <w:rsid w:val="00076115"/>
    <w:rsid w:val="00076453"/>
    <w:rsid w:val="00076C39"/>
    <w:rsid w:val="000773CC"/>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3333"/>
    <w:rsid w:val="000D4797"/>
    <w:rsid w:val="000E0527"/>
    <w:rsid w:val="000E17AD"/>
    <w:rsid w:val="000E1A1F"/>
    <w:rsid w:val="000E1E92"/>
    <w:rsid w:val="000F06D6"/>
    <w:rsid w:val="000F0839"/>
    <w:rsid w:val="000F0EB1"/>
    <w:rsid w:val="000F1106"/>
    <w:rsid w:val="000F3BE9"/>
    <w:rsid w:val="000F3F6C"/>
    <w:rsid w:val="000F4CE5"/>
    <w:rsid w:val="000F61BC"/>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125F"/>
    <w:rsid w:val="00132FD0"/>
    <w:rsid w:val="001344C0"/>
    <w:rsid w:val="001346FA"/>
    <w:rsid w:val="00135252"/>
    <w:rsid w:val="00136F34"/>
    <w:rsid w:val="00137AB5"/>
    <w:rsid w:val="00137F0B"/>
    <w:rsid w:val="00140964"/>
    <w:rsid w:val="00142332"/>
    <w:rsid w:val="00142AA9"/>
    <w:rsid w:val="00142EC3"/>
    <w:rsid w:val="001434BA"/>
    <w:rsid w:val="0014596D"/>
    <w:rsid w:val="00145CF2"/>
    <w:rsid w:val="00147B9C"/>
    <w:rsid w:val="001507D7"/>
    <w:rsid w:val="00151E23"/>
    <w:rsid w:val="001526E0"/>
    <w:rsid w:val="001551B5"/>
    <w:rsid w:val="00156F68"/>
    <w:rsid w:val="0016360E"/>
    <w:rsid w:val="00164505"/>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8E8"/>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29F"/>
    <w:rsid w:val="00201F3A"/>
    <w:rsid w:val="00202C20"/>
    <w:rsid w:val="00203F96"/>
    <w:rsid w:val="00205E74"/>
    <w:rsid w:val="002069B2"/>
    <w:rsid w:val="00206B13"/>
    <w:rsid w:val="00207FA3"/>
    <w:rsid w:val="002123EE"/>
    <w:rsid w:val="00214DA8"/>
    <w:rsid w:val="00215423"/>
    <w:rsid w:val="002158FA"/>
    <w:rsid w:val="00217C2F"/>
    <w:rsid w:val="00220600"/>
    <w:rsid w:val="00220DD7"/>
    <w:rsid w:val="0022138B"/>
    <w:rsid w:val="002224DB"/>
    <w:rsid w:val="002232CC"/>
    <w:rsid w:val="00223847"/>
    <w:rsid w:val="00223FCB"/>
    <w:rsid w:val="002252C3"/>
    <w:rsid w:val="00225C54"/>
    <w:rsid w:val="00230765"/>
    <w:rsid w:val="002319E4"/>
    <w:rsid w:val="00231A9A"/>
    <w:rsid w:val="00232D4C"/>
    <w:rsid w:val="0023309C"/>
    <w:rsid w:val="002336F8"/>
    <w:rsid w:val="002342CA"/>
    <w:rsid w:val="00235632"/>
    <w:rsid w:val="00235872"/>
    <w:rsid w:val="00240B51"/>
    <w:rsid w:val="00241559"/>
    <w:rsid w:val="002432E4"/>
    <w:rsid w:val="002435B3"/>
    <w:rsid w:val="002458EB"/>
    <w:rsid w:val="002500C8"/>
    <w:rsid w:val="002512D7"/>
    <w:rsid w:val="002540D1"/>
    <w:rsid w:val="002543E9"/>
    <w:rsid w:val="00254F49"/>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0CD3"/>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3DE0"/>
    <w:rsid w:val="002A42F1"/>
    <w:rsid w:val="002A7A8C"/>
    <w:rsid w:val="002B0227"/>
    <w:rsid w:val="002B0907"/>
    <w:rsid w:val="002B24D6"/>
    <w:rsid w:val="002B4CE9"/>
    <w:rsid w:val="002B5943"/>
    <w:rsid w:val="002C406E"/>
    <w:rsid w:val="002C41E6"/>
    <w:rsid w:val="002C6788"/>
    <w:rsid w:val="002D071A"/>
    <w:rsid w:val="002D1464"/>
    <w:rsid w:val="002D31DD"/>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A39"/>
    <w:rsid w:val="002F5BBD"/>
    <w:rsid w:val="002F73DD"/>
    <w:rsid w:val="00301CE6"/>
    <w:rsid w:val="0030256B"/>
    <w:rsid w:val="00302CA2"/>
    <w:rsid w:val="00303563"/>
    <w:rsid w:val="003042A8"/>
    <w:rsid w:val="0030501F"/>
    <w:rsid w:val="0030638C"/>
    <w:rsid w:val="00307BA1"/>
    <w:rsid w:val="00310A30"/>
    <w:rsid w:val="00310DA1"/>
    <w:rsid w:val="003110D0"/>
    <w:rsid w:val="00311702"/>
    <w:rsid w:val="00311CC7"/>
    <w:rsid w:val="00311E82"/>
    <w:rsid w:val="00313882"/>
    <w:rsid w:val="00313FD6"/>
    <w:rsid w:val="003143BD"/>
    <w:rsid w:val="00314D7C"/>
    <w:rsid w:val="003203ED"/>
    <w:rsid w:val="00322C9F"/>
    <w:rsid w:val="003242AA"/>
    <w:rsid w:val="003244F4"/>
    <w:rsid w:val="003245DE"/>
    <w:rsid w:val="00324D23"/>
    <w:rsid w:val="003268E0"/>
    <w:rsid w:val="00331751"/>
    <w:rsid w:val="00334579"/>
    <w:rsid w:val="00335858"/>
    <w:rsid w:val="00335871"/>
    <w:rsid w:val="0033662A"/>
    <w:rsid w:val="00336BDA"/>
    <w:rsid w:val="00337334"/>
    <w:rsid w:val="00337F45"/>
    <w:rsid w:val="0034246D"/>
    <w:rsid w:val="00342BD7"/>
    <w:rsid w:val="00343A07"/>
    <w:rsid w:val="00344243"/>
    <w:rsid w:val="00344600"/>
    <w:rsid w:val="00346DB5"/>
    <w:rsid w:val="003477B1"/>
    <w:rsid w:val="00351F8C"/>
    <w:rsid w:val="00357380"/>
    <w:rsid w:val="003579EB"/>
    <w:rsid w:val="003602D9"/>
    <w:rsid w:val="003604CE"/>
    <w:rsid w:val="00363106"/>
    <w:rsid w:val="003639EA"/>
    <w:rsid w:val="00365F79"/>
    <w:rsid w:val="00370E47"/>
    <w:rsid w:val="003742AC"/>
    <w:rsid w:val="00374679"/>
    <w:rsid w:val="003766F3"/>
    <w:rsid w:val="00377CE1"/>
    <w:rsid w:val="00381FD4"/>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6B1F"/>
    <w:rsid w:val="003E74E3"/>
    <w:rsid w:val="003F0058"/>
    <w:rsid w:val="003F05C7"/>
    <w:rsid w:val="003F26FA"/>
    <w:rsid w:val="003F2CD4"/>
    <w:rsid w:val="003F6BBE"/>
    <w:rsid w:val="003F6F52"/>
    <w:rsid w:val="004000E8"/>
    <w:rsid w:val="00400F1F"/>
    <w:rsid w:val="00402E2B"/>
    <w:rsid w:val="0040512B"/>
    <w:rsid w:val="00405CA5"/>
    <w:rsid w:val="00407CD3"/>
    <w:rsid w:val="00410134"/>
    <w:rsid w:val="00410B72"/>
    <w:rsid w:val="00410F18"/>
    <w:rsid w:val="0041263E"/>
    <w:rsid w:val="00413560"/>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8E8"/>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821"/>
    <w:rsid w:val="004F4DA3"/>
    <w:rsid w:val="004F7D42"/>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5244"/>
    <w:rsid w:val="00535998"/>
    <w:rsid w:val="00536759"/>
    <w:rsid w:val="00537C62"/>
    <w:rsid w:val="00543986"/>
    <w:rsid w:val="00544D5B"/>
    <w:rsid w:val="00545E72"/>
    <w:rsid w:val="00546970"/>
    <w:rsid w:val="00546C74"/>
    <w:rsid w:val="0055245F"/>
    <w:rsid w:val="00554E19"/>
    <w:rsid w:val="00554E73"/>
    <w:rsid w:val="00555435"/>
    <w:rsid w:val="00557D7C"/>
    <w:rsid w:val="0056121F"/>
    <w:rsid w:val="00561511"/>
    <w:rsid w:val="00562566"/>
    <w:rsid w:val="00563D40"/>
    <w:rsid w:val="00565C08"/>
    <w:rsid w:val="00566E2B"/>
    <w:rsid w:val="0057036A"/>
    <w:rsid w:val="00572505"/>
    <w:rsid w:val="005827E6"/>
    <w:rsid w:val="00582809"/>
    <w:rsid w:val="00585F85"/>
    <w:rsid w:val="0058798C"/>
    <w:rsid w:val="005900FA"/>
    <w:rsid w:val="005935A4"/>
    <w:rsid w:val="005948C2"/>
    <w:rsid w:val="00595DCA"/>
    <w:rsid w:val="00595EC8"/>
    <w:rsid w:val="0059719A"/>
    <w:rsid w:val="0059726F"/>
    <w:rsid w:val="0059779B"/>
    <w:rsid w:val="005A0A5B"/>
    <w:rsid w:val="005A209A"/>
    <w:rsid w:val="005A2E25"/>
    <w:rsid w:val="005A4122"/>
    <w:rsid w:val="005A61E5"/>
    <w:rsid w:val="005A662D"/>
    <w:rsid w:val="005B35D7"/>
    <w:rsid w:val="005B392A"/>
    <w:rsid w:val="005B3AA3"/>
    <w:rsid w:val="005B3DEC"/>
    <w:rsid w:val="005B3E20"/>
    <w:rsid w:val="005B3F59"/>
    <w:rsid w:val="005B6F83"/>
    <w:rsid w:val="005C0894"/>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11444"/>
    <w:rsid w:val="00611B83"/>
    <w:rsid w:val="00613257"/>
    <w:rsid w:val="00617C2C"/>
    <w:rsid w:val="00620462"/>
    <w:rsid w:val="00620A71"/>
    <w:rsid w:val="00620D80"/>
    <w:rsid w:val="00621B29"/>
    <w:rsid w:val="006234A6"/>
    <w:rsid w:val="006238D8"/>
    <w:rsid w:val="00623B0C"/>
    <w:rsid w:val="0062431E"/>
    <w:rsid w:val="00624B66"/>
    <w:rsid w:val="006278D5"/>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3758"/>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D3F"/>
    <w:rsid w:val="00683ECE"/>
    <w:rsid w:val="00685147"/>
    <w:rsid w:val="006876D5"/>
    <w:rsid w:val="00691E97"/>
    <w:rsid w:val="00692480"/>
    <w:rsid w:val="0069360B"/>
    <w:rsid w:val="00695044"/>
    <w:rsid w:val="00695FC2"/>
    <w:rsid w:val="00696949"/>
    <w:rsid w:val="00697052"/>
    <w:rsid w:val="0069729E"/>
    <w:rsid w:val="006A46FB"/>
    <w:rsid w:val="006A5717"/>
    <w:rsid w:val="006A5E28"/>
    <w:rsid w:val="006A697B"/>
    <w:rsid w:val="006A7AFF"/>
    <w:rsid w:val="006B1816"/>
    <w:rsid w:val="006B1E7D"/>
    <w:rsid w:val="006B2099"/>
    <w:rsid w:val="006B32FA"/>
    <w:rsid w:val="006B4B81"/>
    <w:rsid w:val="006B50CF"/>
    <w:rsid w:val="006B5BE6"/>
    <w:rsid w:val="006B6278"/>
    <w:rsid w:val="006B6397"/>
    <w:rsid w:val="006B6614"/>
    <w:rsid w:val="006C03B8"/>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54E5"/>
    <w:rsid w:val="00766BAD"/>
    <w:rsid w:val="007705B8"/>
    <w:rsid w:val="007730BD"/>
    <w:rsid w:val="007755F2"/>
    <w:rsid w:val="0077585D"/>
    <w:rsid w:val="00776971"/>
    <w:rsid w:val="00777130"/>
    <w:rsid w:val="0078177E"/>
    <w:rsid w:val="0078304C"/>
    <w:rsid w:val="00783673"/>
    <w:rsid w:val="00785490"/>
    <w:rsid w:val="007870D5"/>
    <w:rsid w:val="0079075E"/>
    <w:rsid w:val="00791306"/>
    <w:rsid w:val="007925EA"/>
    <w:rsid w:val="00793CD8"/>
    <w:rsid w:val="00795C92"/>
    <w:rsid w:val="00796231"/>
    <w:rsid w:val="00797D7F"/>
    <w:rsid w:val="007A1846"/>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E73A7"/>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4FDA"/>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3F8"/>
    <w:rsid w:val="00883405"/>
    <w:rsid w:val="00886871"/>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102"/>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471A"/>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4E2B"/>
    <w:rsid w:val="0095681E"/>
    <w:rsid w:val="009572D4"/>
    <w:rsid w:val="009615CB"/>
    <w:rsid w:val="00961921"/>
    <w:rsid w:val="00961E01"/>
    <w:rsid w:val="00963728"/>
    <w:rsid w:val="0096430A"/>
    <w:rsid w:val="0096518D"/>
    <w:rsid w:val="0096554B"/>
    <w:rsid w:val="0096584A"/>
    <w:rsid w:val="00971DFC"/>
    <w:rsid w:val="00971F08"/>
    <w:rsid w:val="00975A0C"/>
    <w:rsid w:val="00975A11"/>
    <w:rsid w:val="0097603D"/>
    <w:rsid w:val="00976426"/>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121"/>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9F56EC"/>
    <w:rsid w:val="00A02E75"/>
    <w:rsid w:val="00A0362C"/>
    <w:rsid w:val="00A048A8"/>
    <w:rsid w:val="00A04F49"/>
    <w:rsid w:val="00A12469"/>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5B74"/>
    <w:rsid w:val="00A46567"/>
    <w:rsid w:val="00A52E1D"/>
    <w:rsid w:val="00A53AC1"/>
    <w:rsid w:val="00A54210"/>
    <w:rsid w:val="00A54B08"/>
    <w:rsid w:val="00A570F2"/>
    <w:rsid w:val="00A5758B"/>
    <w:rsid w:val="00A61499"/>
    <w:rsid w:val="00A62A77"/>
    <w:rsid w:val="00A63483"/>
    <w:rsid w:val="00A635A6"/>
    <w:rsid w:val="00A653DB"/>
    <w:rsid w:val="00A657D7"/>
    <w:rsid w:val="00A660AC"/>
    <w:rsid w:val="00A66C42"/>
    <w:rsid w:val="00A67E6C"/>
    <w:rsid w:val="00A70493"/>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5305"/>
    <w:rsid w:val="00B2763F"/>
    <w:rsid w:val="00B27AAC"/>
    <w:rsid w:val="00B30929"/>
    <w:rsid w:val="00B372AA"/>
    <w:rsid w:val="00B40445"/>
    <w:rsid w:val="00B41888"/>
    <w:rsid w:val="00B4408D"/>
    <w:rsid w:val="00B44CDC"/>
    <w:rsid w:val="00B457D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962D9"/>
    <w:rsid w:val="00BA2280"/>
    <w:rsid w:val="00BA2A08"/>
    <w:rsid w:val="00BA520C"/>
    <w:rsid w:val="00BA56D2"/>
    <w:rsid w:val="00BA62FA"/>
    <w:rsid w:val="00BA6C49"/>
    <w:rsid w:val="00BA71F4"/>
    <w:rsid w:val="00BA76E0"/>
    <w:rsid w:val="00BB0976"/>
    <w:rsid w:val="00BB0A79"/>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33A7"/>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50B3"/>
    <w:rsid w:val="00C45F26"/>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3E63"/>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B7242"/>
    <w:rsid w:val="00CC040E"/>
    <w:rsid w:val="00CC111F"/>
    <w:rsid w:val="00CC2011"/>
    <w:rsid w:val="00CC3EA0"/>
    <w:rsid w:val="00CC5215"/>
    <w:rsid w:val="00CC5691"/>
    <w:rsid w:val="00CC6F59"/>
    <w:rsid w:val="00CC7B45"/>
    <w:rsid w:val="00CD0321"/>
    <w:rsid w:val="00CD1188"/>
    <w:rsid w:val="00CD2ED1"/>
    <w:rsid w:val="00CD337B"/>
    <w:rsid w:val="00CD3861"/>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2DC1"/>
    <w:rsid w:val="00CF3B1F"/>
    <w:rsid w:val="00CF3BF6"/>
    <w:rsid w:val="00CF3E3D"/>
    <w:rsid w:val="00CF625B"/>
    <w:rsid w:val="00CF687E"/>
    <w:rsid w:val="00D00035"/>
    <w:rsid w:val="00D0349B"/>
    <w:rsid w:val="00D03FB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47EF3"/>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354"/>
    <w:rsid w:val="00DB0A9F"/>
    <w:rsid w:val="00DB2E53"/>
    <w:rsid w:val="00DB377D"/>
    <w:rsid w:val="00DB6E61"/>
    <w:rsid w:val="00DC015E"/>
    <w:rsid w:val="00DC2D36"/>
    <w:rsid w:val="00DC2D80"/>
    <w:rsid w:val="00DC3716"/>
    <w:rsid w:val="00DC3964"/>
    <w:rsid w:val="00DC41E4"/>
    <w:rsid w:val="00DC53EF"/>
    <w:rsid w:val="00DC5DD1"/>
    <w:rsid w:val="00DD5680"/>
    <w:rsid w:val="00DD5F40"/>
    <w:rsid w:val="00DD6CB5"/>
    <w:rsid w:val="00DE306E"/>
    <w:rsid w:val="00DE5608"/>
    <w:rsid w:val="00DE58D0"/>
    <w:rsid w:val="00DE654F"/>
    <w:rsid w:val="00DF0B6E"/>
    <w:rsid w:val="00DF15E0"/>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CFE"/>
    <w:rsid w:val="00E446F1"/>
    <w:rsid w:val="00E45919"/>
    <w:rsid w:val="00E46886"/>
    <w:rsid w:val="00E47AEF"/>
    <w:rsid w:val="00E53B75"/>
    <w:rsid w:val="00E54A3A"/>
    <w:rsid w:val="00E54E3B"/>
    <w:rsid w:val="00E55DFA"/>
    <w:rsid w:val="00E56C31"/>
    <w:rsid w:val="00E57565"/>
    <w:rsid w:val="00E61AA3"/>
    <w:rsid w:val="00E62CF0"/>
    <w:rsid w:val="00E63838"/>
    <w:rsid w:val="00E64434"/>
    <w:rsid w:val="00E67C51"/>
    <w:rsid w:val="00E70855"/>
    <w:rsid w:val="00E71CF8"/>
    <w:rsid w:val="00E71E34"/>
    <w:rsid w:val="00E72EFC"/>
    <w:rsid w:val="00E758EC"/>
    <w:rsid w:val="00E768B2"/>
    <w:rsid w:val="00E76E18"/>
    <w:rsid w:val="00E80385"/>
    <w:rsid w:val="00E8234C"/>
    <w:rsid w:val="00E82C4D"/>
    <w:rsid w:val="00E83AA9"/>
    <w:rsid w:val="00E842A6"/>
    <w:rsid w:val="00E85928"/>
    <w:rsid w:val="00E87822"/>
    <w:rsid w:val="00E90395"/>
    <w:rsid w:val="00E90E49"/>
    <w:rsid w:val="00E917F9"/>
    <w:rsid w:val="00E9291C"/>
    <w:rsid w:val="00E93FFE"/>
    <w:rsid w:val="00E94F8A"/>
    <w:rsid w:val="00E95A90"/>
    <w:rsid w:val="00EA313F"/>
    <w:rsid w:val="00EA38BD"/>
    <w:rsid w:val="00EA41B8"/>
    <w:rsid w:val="00EA4A9E"/>
    <w:rsid w:val="00EA5018"/>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657"/>
    <w:rsid w:val="00ED1C67"/>
    <w:rsid w:val="00ED3527"/>
    <w:rsid w:val="00ED3BA3"/>
    <w:rsid w:val="00ED4531"/>
    <w:rsid w:val="00EE66C7"/>
    <w:rsid w:val="00EE7DBF"/>
    <w:rsid w:val="00EF18FE"/>
    <w:rsid w:val="00EF191A"/>
    <w:rsid w:val="00EF1EA9"/>
    <w:rsid w:val="00EF2010"/>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2E3B"/>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518"/>
    <w:rsid w:val="00FA2BB3"/>
    <w:rsid w:val="00FA46B8"/>
    <w:rsid w:val="00FA5448"/>
    <w:rsid w:val="00FA6F0B"/>
    <w:rsid w:val="00FB014D"/>
    <w:rsid w:val="00FB0938"/>
    <w:rsid w:val="00FB40B5"/>
    <w:rsid w:val="00FB4C80"/>
    <w:rsid w:val="00FB6A6A"/>
    <w:rsid w:val="00FB705D"/>
    <w:rsid w:val="00FC038A"/>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6FAB"/>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79185994">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8696E-E790-455E-B51E-A24FE30D3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2017-08-12T00:31:00Z</dcterms:created>
  <dcterms:modified xsi:type="dcterms:W3CDTF">2017-08-12T00:32:00Z</dcterms:modified>
</cp:coreProperties>
</file>