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3D5CB696" w:rsidR="00AB16D3" w:rsidRPr="008D2088" w:rsidRDefault="00AB16D3" w:rsidP="00AB16D3">
      <w:pPr>
        <w:pStyle w:val="Header"/>
        <w:rPr>
          <w:bCs/>
          <w:noProof w:val="0"/>
          <w:sz w:val="24"/>
          <w:lang w:val="en-GB"/>
        </w:rPr>
      </w:pPr>
      <w:r w:rsidRPr="008D2088">
        <w:rPr>
          <w:bCs/>
          <w:noProof w:val="0"/>
          <w:sz w:val="24"/>
          <w:lang w:val="en-GB"/>
        </w:rPr>
        <w:t>3GPP TSG RAN WG1</w:t>
      </w:r>
      <w:r w:rsidR="00B325A0">
        <w:rPr>
          <w:bCs/>
          <w:noProof w:val="0"/>
          <w:sz w:val="24"/>
          <w:lang w:val="en-GB"/>
        </w:rPr>
        <w:t xml:space="preserve"> </w:t>
      </w:r>
      <w:r w:rsidR="00CC65F0">
        <w:rPr>
          <w:bCs/>
          <w:noProof w:val="0"/>
          <w:sz w:val="24"/>
          <w:lang w:val="en-GB"/>
        </w:rPr>
        <w:t>#</w:t>
      </w:r>
      <w:r w:rsidR="0087756B">
        <w:rPr>
          <w:bCs/>
          <w:noProof w:val="0"/>
          <w:sz w:val="24"/>
          <w:lang w:val="en-GB"/>
        </w:rPr>
        <w:t>90</w:t>
      </w:r>
      <w:r w:rsidR="00A10AD8">
        <w:rPr>
          <w:bCs/>
          <w:noProof w:val="0"/>
          <w:color w:val="FF0000"/>
          <w:sz w:val="24"/>
          <w:lang w:val="en-GB"/>
        </w:rPr>
        <w:tab/>
      </w:r>
      <w:r w:rsidR="00A10AD8">
        <w:rPr>
          <w:bCs/>
          <w:noProof w:val="0"/>
          <w:color w:val="FF0000"/>
          <w:sz w:val="24"/>
          <w:lang w:val="en-GB"/>
        </w:rPr>
        <w:tab/>
      </w:r>
      <w:r w:rsidR="00A10AD8">
        <w:rPr>
          <w:bCs/>
          <w:noProof w:val="0"/>
          <w:color w:val="FF0000"/>
          <w:sz w:val="24"/>
          <w:lang w:val="en-GB"/>
        </w:rPr>
        <w:tab/>
      </w:r>
      <w:r w:rsidRPr="000C6EE7">
        <w:rPr>
          <w:bCs/>
          <w:noProof w:val="0"/>
          <w:color w:val="FF0000"/>
          <w:sz w:val="24"/>
          <w:lang w:val="en-GB"/>
        </w:rPr>
        <w:tab/>
      </w:r>
      <w:r w:rsidRPr="008D2088">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B325A0">
        <w:rPr>
          <w:bCs/>
          <w:noProof w:val="0"/>
          <w:sz w:val="24"/>
          <w:lang w:val="en-GB"/>
        </w:rPr>
        <w:tab/>
      </w:r>
      <w:r w:rsidR="00B325A0">
        <w:rPr>
          <w:bCs/>
          <w:noProof w:val="0"/>
          <w:sz w:val="24"/>
          <w:lang w:val="en-GB"/>
        </w:rPr>
        <w:tab/>
      </w:r>
      <w:r w:rsidR="00B325A0">
        <w:rPr>
          <w:bCs/>
          <w:noProof w:val="0"/>
          <w:sz w:val="24"/>
          <w:lang w:val="en-GB"/>
        </w:rPr>
        <w:tab/>
      </w:r>
      <w:r w:rsidR="003B60BE" w:rsidRPr="003B60BE">
        <w:rPr>
          <w:bCs/>
          <w:noProof w:val="0"/>
          <w:sz w:val="24"/>
          <w:lang w:val="en-GB"/>
        </w:rPr>
        <w:t>R1-171</w:t>
      </w:r>
      <w:r w:rsidR="00A7616D">
        <w:rPr>
          <w:bCs/>
          <w:noProof w:val="0"/>
          <w:sz w:val="24"/>
          <w:lang w:val="en-GB"/>
        </w:rPr>
        <w:t>4096</w:t>
      </w:r>
      <w:r w:rsidR="003B60BE" w:rsidRPr="003B60BE" w:rsidDel="003B60BE">
        <w:rPr>
          <w:bCs/>
          <w:noProof w:val="0"/>
          <w:sz w:val="24"/>
          <w:lang w:val="en-GB"/>
        </w:rPr>
        <w:t xml:space="preserve"> </w:t>
      </w:r>
    </w:p>
    <w:p w14:paraId="12EAE951" w14:textId="77777777" w:rsidR="0087756B" w:rsidRDefault="0087756B" w:rsidP="0087756B">
      <w:pPr>
        <w:pStyle w:val="Header"/>
        <w:rPr>
          <w:bCs/>
          <w:noProof w:val="0"/>
          <w:sz w:val="24"/>
          <w:lang w:val="en-GB"/>
        </w:rPr>
      </w:pPr>
      <w:r>
        <w:rPr>
          <w:noProof w:val="0"/>
          <w:sz w:val="24"/>
          <w:lang w:val="en-GB"/>
        </w:rPr>
        <w:t>Prague, Czech Republic, 21</w:t>
      </w:r>
      <w:r w:rsidRPr="001C7041">
        <w:rPr>
          <w:noProof w:val="0"/>
          <w:sz w:val="24"/>
          <w:vertAlign w:val="superscript"/>
          <w:lang w:val="en-GB"/>
        </w:rPr>
        <w:t>st</w:t>
      </w:r>
      <w:r>
        <w:rPr>
          <w:noProof w:val="0"/>
          <w:sz w:val="24"/>
          <w:lang w:val="en-GB"/>
        </w:rPr>
        <w:t xml:space="preserve"> – 25</w:t>
      </w:r>
      <w:r w:rsidRPr="001C7041">
        <w:rPr>
          <w:noProof w:val="0"/>
          <w:sz w:val="24"/>
          <w:vertAlign w:val="superscript"/>
          <w:lang w:val="en-GB"/>
        </w:rPr>
        <w:t>th</w:t>
      </w:r>
      <w:r>
        <w:rPr>
          <w:noProof w:val="0"/>
          <w:sz w:val="24"/>
          <w:lang w:val="en-GB"/>
        </w:rPr>
        <w:t xml:space="preserve"> August</w:t>
      </w:r>
      <w:r w:rsidDel="00BD7F66">
        <w:rPr>
          <w:noProof w:val="0"/>
          <w:sz w:val="24"/>
          <w:lang w:val="en-GB"/>
        </w:rPr>
        <w:t xml:space="preserve"> </w:t>
      </w:r>
      <w:r w:rsidRPr="00B71F09">
        <w:rPr>
          <w:bCs/>
          <w:noProof w:val="0"/>
          <w:sz w:val="24"/>
          <w:lang w:val="en-GB"/>
        </w:rPr>
        <w:t>2017</w:t>
      </w:r>
    </w:p>
    <w:p w14:paraId="48E1CB0D" w14:textId="77777777" w:rsidR="00CA26CE" w:rsidRPr="0016316A" w:rsidRDefault="00CA26CE" w:rsidP="00CA26CE">
      <w:pPr>
        <w:pStyle w:val="Header"/>
        <w:rPr>
          <w:bCs/>
          <w:noProof w:val="0"/>
          <w:sz w:val="24"/>
          <w:lang w:val="en-GB" w:eastAsia="ja-JP"/>
        </w:rPr>
      </w:pPr>
    </w:p>
    <w:p w14:paraId="48E1CB0E" w14:textId="50CA2019"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87756B">
        <w:rPr>
          <w:rFonts w:cs="Arial"/>
          <w:b/>
          <w:bCs/>
          <w:sz w:val="24"/>
        </w:rPr>
        <w:t>6</w:t>
      </w:r>
      <w:r w:rsidR="00625A4E">
        <w:rPr>
          <w:rFonts w:cs="Arial"/>
          <w:b/>
          <w:bCs/>
          <w:sz w:val="24"/>
        </w:rPr>
        <w:t>.1.3.</w:t>
      </w:r>
      <w:r w:rsidR="0003116C">
        <w:rPr>
          <w:rFonts w:cs="Arial"/>
          <w:b/>
          <w:bCs/>
          <w:sz w:val="24"/>
        </w:rPr>
        <w:t>4</w:t>
      </w:r>
    </w:p>
    <w:p w14:paraId="48E1CB0F" w14:textId="753E2CDB"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87756B">
        <w:rPr>
          <w:rFonts w:ascii="Arial" w:hAnsi="Arial" w:cs="Arial"/>
          <w:b/>
          <w:bCs/>
          <w:sz w:val="24"/>
        </w:rPr>
        <w:t>Nokia</w:t>
      </w:r>
      <w:r w:rsidR="00013455" w:rsidRPr="00013455">
        <w:rPr>
          <w:rFonts w:ascii="Arial" w:hAnsi="Arial" w:cs="Arial"/>
          <w:b/>
          <w:bCs/>
          <w:sz w:val="24"/>
        </w:rPr>
        <w:t xml:space="preserve"> Shanghai Bell</w:t>
      </w:r>
    </w:p>
    <w:p w14:paraId="48E1CB10" w14:textId="0D80E1D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3353BC">
        <w:rPr>
          <w:rFonts w:ascii="Arial" w:hAnsi="Arial" w:cs="Arial"/>
          <w:b/>
          <w:bCs/>
          <w:sz w:val="24"/>
        </w:rPr>
        <w:t>On joint UCI</w:t>
      </w:r>
      <w:r w:rsidR="0087756B">
        <w:rPr>
          <w:rFonts w:ascii="Arial" w:hAnsi="Arial" w:cs="Arial"/>
          <w:b/>
          <w:bCs/>
          <w:sz w:val="24"/>
        </w:rPr>
        <w:t xml:space="preserve"> for CA</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4C01BC38" w:rsidR="0034111C" w:rsidRPr="0016316A" w:rsidRDefault="0034111C" w:rsidP="00CF0B1C">
      <w:pPr>
        <w:pStyle w:val="Heading1"/>
        <w:ind w:left="0" w:firstLine="0"/>
      </w:pPr>
      <w:r w:rsidRPr="0016316A">
        <w:t>1</w:t>
      </w:r>
      <w:r w:rsidR="00CF0B1C">
        <w:t>.</w:t>
      </w:r>
      <w:r w:rsidRPr="0016316A">
        <w:tab/>
      </w:r>
      <w:r w:rsidR="00EE7FA7" w:rsidRPr="0016316A">
        <w:t>Introduction</w:t>
      </w:r>
    </w:p>
    <w:p w14:paraId="48E1CB1D" w14:textId="6616D145" w:rsidR="0078539D" w:rsidRDefault="0087756B" w:rsidP="009C0F3D">
      <w:pPr>
        <w:spacing w:after="120"/>
        <w:jc w:val="both"/>
        <w:rPr>
          <w:szCs w:val="22"/>
          <w:lang w:val="en-US"/>
        </w:rPr>
      </w:pPr>
      <w:r w:rsidRPr="008A6BFA">
        <w:rPr>
          <w:lang w:val="en-US"/>
        </w:rPr>
        <w:t xml:space="preserve">In RAN plenary #75, WID on NR has been approved in </w:t>
      </w:r>
      <w:r>
        <w:fldChar w:fldCharType="begin"/>
      </w:r>
      <w:r w:rsidRPr="008A6BFA">
        <w:rPr>
          <w:lang w:val="en-US"/>
        </w:rPr>
        <w:instrText xml:space="preserve"> REF _Ref477708358 \r \h </w:instrText>
      </w:r>
      <w:r>
        <w:fldChar w:fldCharType="separate"/>
      </w:r>
      <w:r w:rsidRPr="008A6BFA">
        <w:rPr>
          <w:lang w:val="en-US"/>
        </w:rPr>
        <w:t>[1]</w:t>
      </w:r>
      <w:r>
        <w:fldChar w:fldCharType="end"/>
      </w:r>
      <w:r w:rsidRPr="008A6BFA">
        <w:rPr>
          <w:lang w:val="en-US"/>
        </w:rPr>
        <w:t xml:space="preserve">. </w:t>
      </w:r>
      <w:r w:rsidR="003353BC">
        <w:rPr>
          <w:szCs w:val="22"/>
          <w:lang w:val="en-US"/>
        </w:rPr>
        <w:t>In RAN1#89, companies agreed the support of joint UCI</w:t>
      </w:r>
      <w:r w:rsidR="00EF0F24">
        <w:rPr>
          <w:szCs w:val="22"/>
          <w:lang w:val="en-US"/>
        </w:rPr>
        <w:t xml:space="preserve"> also</w:t>
      </w:r>
      <w:r w:rsidR="003353BC">
        <w:rPr>
          <w:szCs w:val="22"/>
          <w:lang w:val="en-US"/>
        </w:rPr>
        <w:t xml:space="preserve"> across different numerologies</w:t>
      </w:r>
      <w:r>
        <w:rPr>
          <w:szCs w:val="22"/>
          <w:lang w:val="en-US"/>
        </w:rPr>
        <w:t>:</w:t>
      </w:r>
    </w:p>
    <w:p w14:paraId="60C0589A" w14:textId="77777777" w:rsidR="00CE724E" w:rsidRPr="003353BC" w:rsidRDefault="00096ED1" w:rsidP="003353BC">
      <w:pPr>
        <w:spacing w:after="120"/>
        <w:jc w:val="both"/>
        <w:rPr>
          <w:i/>
          <w:szCs w:val="22"/>
          <w:lang w:val="fi-FI"/>
        </w:rPr>
      </w:pPr>
      <w:r w:rsidRPr="003353BC">
        <w:rPr>
          <w:b/>
          <w:bCs/>
          <w:i/>
          <w:szCs w:val="22"/>
          <w:highlight w:val="green"/>
          <w:u w:val="single"/>
        </w:rPr>
        <w:t>Agreements:</w:t>
      </w:r>
    </w:p>
    <w:p w14:paraId="4E13F658"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 xml:space="preserve">Support cross-carrier scheduling for aggregated carriers with the same and different numerology. </w:t>
      </w:r>
    </w:p>
    <w:p w14:paraId="6EDE651C"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FFS: the timing relationship between DCI and the corresponding PDSCH/PUSCH</w:t>
      </w:r>
    </w:p>
    <w:p w14:paraId="64D9C686"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impact on the maximum number of HARQ processes</w:t>
      </w:r>
    </w:p>
    <w:p w14:paraId="11A1FD7E"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w:t>
      </w:r>
    </w:p>
    <w:p w14:paraId="0E867317"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 xml:space="preserve">Support joint UCI feedback for aggregated carriers with the same or different numerology. </w:t>
      </w:r>
    </w:p>
    <w:p w14:paraId="56F9E231"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 xml:space="preserve">FFS: the timing relationship between PDSCH and the corresponding HARQ-ACK </w:t>
      </w:r>
    </w:p>
    <w:p w14:paraId="4B674B6A"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 xml:space="preserve">FFS: impact on maximum number of HARQ process </w:t>
      </w:r>
    </w:p>
    <w:p w14:paraId="54C504A3"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w:t>
      </w:r>
    </w:p>
    <w:p w14:paraId="254FC6F8"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Support SRS fast switching among N uplink carriers</w:t>
      </w:r>
    </w:p>
    <w:p w14:paraId="0090E533"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rPr>
        <w:t>The number of M uplink carriers supported by the UE for simultaneous transmission can be smaller than N</w:t>
      </w:r>
    </w:p>
    <w:p w14:paraId="51B5857B" w14:textId="77777777" w:rsidR="00CE724E" w:rsidRPr="003353BC" w:rsidRDefault="00096ED1" w:rsidP="003353BC">
      <w:pPr>
        <w:numPr>
          <w:ilvl w:val="2"/>
          <w:numId w:val="22"/>
        </w:numPr>
        <w:tabs>
          <w:tab w:val="clear" w:pos="2160"/>
        </w:tabs>
        <w:spacing w:after="120"/>
        <w:jc w:val="both"/>
        <w:rPr>
          <w:i/>
          <w:szCs w:val="22"/>
          <w:lang w:val="en-US"/>
        </w:rPr>
      </w:pPr>
      <w:r w:rsidRPr="003353BC">
        <w:rPr>
          <w:i/>
          <w:szCs w:val="22"/>
        </w:rPr>
        <w:t>Note: M can be 1 or larger depending on UE capability</w:t>
      </w:r>
    </w:p>
    <w:p w14:paraId="3BCEA31D"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 on combination of different frequency bands)</w:t>
      </w:r>
    </w:p>
    <w:p w14:paraId="01547644" w14:textId="77777777" w:rsidR="00CE724E" w:rsidRPr="003353BC" w:rsidRDefault="00096ED1" w:rsidP="003353BC">
      <w:pPr>
        <w:numPr>
          <w:ilvl w:val="0"/>
          <w:numId w:val="22"/>
        </w:numPr>
        <w:tabs>
          <w:tab w:val="left" w:pos="720"/>
        </w:tabs>
        <w:spacing w:after="120"/>
        <w:jc w:val="both"/>
        <w:rPr>
          <w:i/>
          <w:szCs w:val="22"/>
          <w:lang w:val="en-US"/>
        </w:rPr>
      </w:pPr>
      <w:r w:rsidRPr="003353BC">
        <w:rPr>
          <w:i/>
          <w:szCs w:val="22"/>
        </w:rPr>
        <w:t>Support one PUCCH in one cell group for NR DC/CA</w:t>
      </w:r>
    </w:p>
    <w:p w14:paraId="2049C34E"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T</w:t>
      </w:r>
      <w:r w:rsidRPr="003353BC">
        <w:rPr>
          <w:i/>
          <w:szCs w:val="22"/>
        </w:rPr>
        <w:t>he carrier for PUCCH transmission can be configured within one cell group</w:t>
      </w:r>
    </w:p>
    <w:p w14:paraId="48D64E72" w14:textId="77777777" w:rsidR="00CE724E" w:rsidRPr="003353BC" w:rsidRDefault="00096ED1" w:rsidP="003353BC">
      <w:pPr>
        <w:numPr>
          <w:ilvl w:val="1"/>
          <w:numId w:val="22"/>
        </w:numPr>
        <w:tabs>
          <w:tab w:val="clear" w:pos="1440"/>
        </w:tabs>
        <w:spacing w:after="120"/>
        <w:jc w:val="both"/>
        <w:rPr>
          <w:i/>
          <w:szCs w:val="22"/>
          <w:lang w:val="en-US"/>
        </w:rPr>
      </w:pPr>
      <w:r w:rsidRPr="003353BC">
        <w:rPr>
          <w:i/>
          <w:szCs w:val="22"/>
          <w:lang w:val="en-US"/>
        </w:rPr>
        <w:t>FFS: potential restrictions (e.g., on combination of different numerology, on combination of different frequency bands)</w:t>
      </w:r>
    </w:p>
    <w:p w14:paraId="0EE649F4" w14:textId="17DE8DBC" w:rsidR="003353BC" w:rsidRPr="003353BC" w:rsidRDefault="00EF0F24" w:rsidP="009C0F3D">
      <w:pPr>
        <w:spacing w:after="120"/>
        <w:jc w:val="both"/>
        <w:rPr>
          <w:bCs/>
          <w:lang w:val="en-US"/>
        </w:rPr>
      </w:pPr>
      <w:r>
        <w:rPr>
          <w:szCs w:val="22"/>
          <w:lang w:val="en-US"/>
        </w:rPr>
        <w:t xml:space="preserve">The </w:t>
      </w:r>
      <w:r w:rsidR="00AE02C3">
        <w:rPr>
          <w:szCs w:val="22"/>
          <w:lang w:val="en-US"/>
        </w:rPr>
        <w:t>aspect</w:t>
      </w:r>
      <w:r>
        <w:rPr>
          <w:szCs w:val="22"/>
          <w:lang w:val="en-US"/>
        </w:rPr>
        <w:t xml:space="preserve"> of different numerologies </w:t>
      </w:r>
      <w:r w:rsidR="003353BC">
        <w:rPr>
          <w:szCs w:val="22"/>
          <w:lang w:val="en-US"/>
        </w:rPr>
        <w:t xml:space="preserve">complicates the design of </w:t>
      </w:r>
      <w:r w:rsidR="0087756B">
        <w:rPr>
          <w:szCs w:val="22"/>
          <w:lang w:val="en-US"/>
        </w:rPr>
        <w:t>joint</w:t>
      </w:r>
      <w:r w:rsidR="003353BC">
        <w:rPr>
          <w:szCs w:val="22"/>
          <w:lang w:val="en-US"/>
        </w:rPr>
        <w:t xml:space="preserve"> UCI. </w:t>
      </w:r>
      <w:r w:rsidR="00AE02C3">
        <w:rPr>
          <w:szCs w:val="22"/>
          <w:lang w:val="en-US"/>
        </w:rPr>
        <w:t>Therefore</w:t>
      </w:r>
      <w:r w:rsidR="00C339EA">
        <w:rPr>
          <w:szCs w:val="22"/>
          <w:lang w:val="en-US"/>
        </w:rPr>
        <w:t>,</w:t>
      </w:r>
      <w:r w:rsidR="003353BC">
        <w:rPr>
          <w:szCs w:val="22"/>
          <w:lang w:val="en-US"/>
        </w:rPr>
        <w:t xml:space="preserve"> we will </w:t>
      </w:r>
      <w:r w:rsidR="0087756B">
        <w:rPr>
          <w:szCs w:val="22"/>
          <w:lang w:val="en-US"/>
        </w:rPr>
        <w:t>consider</w:t>
      </w:r>
      <w:r w:rsidR="00AE02C3">
        <w:rPr>
          <w:szCs w:val="22"/>
          <w:lang w:val="en-US"/>
        </w:rPr>
        <w:t xml:space="preserve"> </w:t>
      </w:r>
      <w:r w:rsidR="0087756B">
        <w:rPr>
          <w:szCs w:val="22"/>
          <w:lang w:val="en-US"/>
        </w:rPr>
        <w:t xml:space="preserve">the design for </w:t>
      </w:r>
      <w:r w:rsidR="003353BC">
        <w:rPr>
          <w:szCs w:val="22"/>
          <w:lang w:val="en-US"/>
        </w:rPr>
        <w:t xml:space="preserve">joint cross-numerology UCI </w:t>
      </w:r>
      <w:r w:rsidR="00AE02C3">
        <w:rPr>
          <w:szCs w:val="22"/>
          <w:lang w:val="en-US"/>
        </w:rPr>
        <w:t xml:space="preserve">in </w:t>
      </w:r>
      <w:r w:rsidR="0087756B">
        <w:rPr>
          <w:szCs w:val="22"/>
          <w:lang w:val="en-US"/>
        </w:rPr>
        <w:t>this contribution.</w:t>
      </w:r>
    </w:p>
    <w:p w14:paraId="31775177" w14:textId="576117CA" w:rsidR="00477A12" w:rsidRDefault="0087756B" w:rsidP="00477A12">
      <w:pPr>
        <w:pStyle w:val="Heading1"/>
        <w:ind w:left="0" w:firstLine="0"/>
      </w:pPr>
      <w:r>
        <w:rPr>
          <w:color w:val="000000"/>
        </w:rPr>
        <w:t>2</w:t>
      </w:r>
      <w:r w:rsidR="00477A12">
        <w:rPr>
          <w:color w:val="000000"/>
        </w:rPr>
        <w:t>.</w:t>
      </w:r>
      <w:r w:rsidR="00477A12" w:rsidRPr="00A51522">
        <w:rPr>
          <w:color w:val="000000"/>
        </w:rPr>
        <w:tab/>
      </w:r>
      <w:r>
        <w:t>Discussion</w:t>
      </w:r>
      <w:r w:rsidR="00477A12">
        <w:t xml:space="preserve"> </w:t>
      </w:r>
    </w:p>
    <w:p w14:paraId="497D18EC" w14:textId="77777777" w:rsidR="00477A12" w:rsidRDefault="00477A12" w:rsidP="00AA3C8C">
      <w:pPr>
        <w:spacing w:after="120"/>
        <w:jc w:val="both"/>
      </w:pPr>
      <w:r>
        <w:t xml:space="preserve">When operating in CA or DuCo with rather different slot lengths and radio environment each carrier preferably should support own PUCCH and UCI content with signaling options similar as in single carrier operation. In other words, UCI is transmitted separately for each DL carrier. This should be regarded as baseline operation as no re-design of control channel is required and both CA and DuCo would use the same PUCCH and UCI design as in single CC operation. </w:t>
      </w:r>
    </w:p>
    <w:p w14:paraId="5F31F5A4" w14:textId="77777777" w:rsidR="00477A12" w:rsidRPr="004D7D83" w:rsidRDefault="00477A12" w:rsidP="00477A12">
      <w:pPr>
        <w:spacing w:after="60"/>
        <w:jc w:val="both"/>
        <w:rPr>
          <w:lang w:val="en-US"/>
        </w:rPr>
      </w:pPr>
      <w:r>
        <w:t>However, there are situations where joint UCI for several DL carriers is unavoidable. The support for single CC PUCCH and UCI is beneficial in following scenarios:</w:t>
      </w:r>
    </w:p>
    <w:p w14:paraId="1AA9819A" w14:textId="77777777" w:rsidR="00477A12" w:rsidRDefault="00477A12" w:rsidP="00477A12">
      <w:pPr>
        <w:numPr>
          <w:ilvl w:val="0"/>
          <w:numId w:val="19"/>
        </w:numPr>
        <w:overflowPunct/>
        <w:autoSpaceDE/>
        <w:autoSpaceDN/>
        <w:adjustRightInd/>
        <w:spacing w:after="60" w:line="256" w:lineRule="auto"/>
        <w:textAlignment w:val="auto"/>
      </w:pPr>
      <w:r>
        <w:t>To improved UL coverage when neither UL CA or DuCo is used and UE is transmitting on single carrier only or when UCI is transmitted via UL carrier on lower frequency.</w:t>
      </w:r>
    </w:p>
    <w:p w14:paraId="73DDAF6F" w14:textId="77777777" w:rsidR="00477A12" w:rsidRDefault="00477A12" w:rsidP="00AA3C8C">
      <w:pPr>
        <w:numPr>
          <w:ilvl w:val="0"/>
          <w:numId w:val="19"/>
        </w:numPr>
        <w:overflowPunct/>
        <w:autoSpaceDE/>
        <w:autoSpaceDN/>
        <w:adjustRightInd/>
        <w:spacing w:after="120" w:line="257" w:lineRule="auto"/>
        <w:ind w:left="641" w:hanging="357"/>
        <w:textAlignment w:val="auto"/>
      </w:pPr>
      <w:r>
        <w:t xml:space="preserve">In licensed assisted access, the UCI may be transmitted via licensed spectrum only and no uplink transmission in unlicensed band would be needed. </w:t>
      </w:r>
    </w:p>
    <w:p w14:paraId="1AA021E6" w14:textId="77777777" w:rsidR="00477A12" w:rsidRPr="00CF3594" w:rsidRDefault="00477A12" w:rsidP="00AA3C8C">
      <w:pPr>
        <w:spacing w:after="120"/>
        <w:jc w:val="both"/>
      </w:pPr>
      <w:r>
        <w:lastRenderedPageBreak/>
        <w:t xml:space="preserve">In the following, we focus on the joint UCI and especially on joint HARQ feedback for multiple DL carriers. </w:t>
      </w:r>
      <w:r w:rsidRPr="00E653BD">
        <w:rPr>
          <w:lang w:val="en-US"/>
        </w:rPr>
        <w:t>In LTE,</w:t>
      </w:r>
      <w:r w:rsidRPr="00E653BD">
        <w:rPr>
          <w:rFonts w:eastAsia="MS Mincho"/>
          <w:lang w:val="en-US" w:eastAsia="ja-JP"/>
        </w:rPr>
        <w:t xml:space="preserve"> the timing relationship between DL data reception and corresponding acknowledgement</w:t>
      </w:r>
      <w:r>
        <w:rPr>
          <w:rFonts w:eastAsia="MS Mincho"/>
          <w:lang w:val="en-US" w:eastAsia="ja-JP"/>
        </w:rPr>
        <w:t xml:space="preserve"> is predetermined in the specification. In LTE TDD, the HARQ ACK timing as well as the DL subframes for which HARQ ACK is reported in a certain UL subframe (aka DL association set) is determined based on the subframe number and used UL/DL configuration. </w:t>
      </w:r>
    </w:p>
    <w:p w14:paraId="0C412FAD" w14:textId="77777777" w:rsidR="00477A12" w:rsidRDefault="00477A12" w:rsidP="00477A12">
      <w:pPr>
        <w:spacing w:after="120"/>
        <w:jc w:val="both"/>
      </w:pPr>
      <w:r>
        <w:t xml:space="preserve">When operating CA with a single CC for UCI and multiple DL CCs are of different numerologies, DL slots can have different durations. Further, </w:t>
      </w:r>
      <w:r>
        <w:rPr>
          <w:rFonts w:eastAsia="MS Mincho"/>
          <w:lang w:val="en-US" w:eastAsia="ja-JP"/>
        </w:rPr>
        <w:t>mini-slots may be used on some of the DL CCs. In other words, PDSCH TTIs for which HARQ ACKs are reported are not time aligned across DL CCs. Instead, there can be multiple PDSCH TTIs on one DL CC while there is only one PDSCH slot on another DL CC.</w:t>
      </w:r>
      <w:r>
        <w:t xml:space="preserve"> This requires flexible HARQ feedback timing and DL association set determination.  </w:t>
      </w:r>
    </w:p>
    <w:p w14:paraId="3BCEBF63" w14:textId="42DA7FEB" w:rsidR="00477A12" w:rsidRPr="009A42FE" w:rsidRDefault="00477A12" w:rsidP="00AA3C8C">
      <w:pPr>
        <w:pStyle w:val="BodyText"/>
        <w:jc w:val="both"/>
      </w:pPr>
      <w:r>
        <w:rPr>
          <w:rFonts w:eastAsia="MS Mincho"/>
          <w:lang w:eastAsia="ja-JP"/>
        </w:rPr>
        <w:t>F</w:t>
      </w:r>
      <w:r>
        <w:t>lexible HARQ feedback timing and DL association set determination is required even for single</w:t>
      </w:r>
      <w:r>
        <w:rPr>
          <w:rFonts w:eastAsia="MS Mincho"/>
          <w:lang w:val="en-US" w:eastAsia="ja-JP"/>
        </w:rPr>
        <w:t xml:space="preserve"> NR carrier as highly flexible UL/DL configuration efficiently adapting air interface to the variations on traffic is </w:t>
      </w:r>
      <w:r w:rsidRPr="00031AF6">
        <w:rPr>
          <w:rFonts w:eastAsia="MS Mincho"/>
          <w:lang w:val="en-US" w:eastAsia="ja-JP"/>
        </w:rPr>
        <w:t xml:space="preserve">desired. </w:t>
      </w:r>
      <w:r w:rsidRPr="00CF3594">
        <w:rPr>
          <w:rFonts w:eastAsia="MS Mincho"/>
          <w:lang w:val="en-US" w:eastAsia="ja-JP"/>
        </w:rPr>
        <w:t>F</w:t>
      </w:r>
      <w:r w:rsidRPr="00031AF6">
        <w:rPr>
          <w:rFonts w:eastAsia="MS Mincho"/>
          <w:lang w:val="en-US" w:eastAsia="ja-JP"/>
        </w:rPr>
        <w:t>or the</w:t>
      </w:r>
      <w:r>
        <w:rPr>
          <w:rFonts w:eastAsia="MS Mincho"/>
          <w:lang w:val="en-US" w:eastAsia="ja-JP"/>
        </w:rPr>
        <w:t xml:space="preserve"> single carrier, the determination of HARQ feedback can be based on a simple set of rules using few parameters such as the indicated </w:t>
      </w:r>
      <w:r w:rsidRPr="009A42FE">
        <w:rPr>
          <w:rFonts w:eastAsia="MS Mincho"/>
          <w:lang w:val="en-US" w:eastAsia="ja-JP"/>
        </w:rPr>
        <w:t>t</w:t>
      </w:r>
      <w:r>
        <w:rPr>
          <w:rFonts w:eastAsia="MS Mincho"/>
          <w:lang w:val="en-US" w:eastAsia="ja-JP"/>
        </w:rPr>
        <w:t>iming between DL data</w:t>
      </w:r>
      <w:r w:rsidRPr="009A42FE">
        <w:rPr>
          <w:rFonts w:eastAsia="MS Mincho"/>
          <w:lang w:val="en-US" w:eastAsia="ja-JP"/>
        </w:rPr>
        <w:t xml:space="preserve"> a</w:t>
      </w:r>
      <w:r>
        <w:rPr>
          <w:rFonts w:eastAsia="MS Mincho"/>
          <w:lang w:val="en-US" w:eastAsia="ja-JP"/>
        </w:rPr>
        <w:t xml:space="preserve">nd associated HARQ ACK as well as the minimum processing time between the DL data reception and transmission of associated HARQ ACK as inputs to the determination as discussed in </w:t>
      </w:r>
      <w:r w:rsidR="00434D2B">
        <w:rPr>
          <w:rFonts w:eastAsia="MS Mincho"/>
          <w:highlight w:val="yellow"/>
          <w:lang w:val="en-US" w:eastAsia="ja-JP"/>
        </w:rPr>
        <w:fldChar w:fldCharType="begin"/>
      </w:r>
      <w:r w:rsidR="00434D2B">
        <w:rPr>
          <w:rFonts w:eastAsia="MS Mincho"/>
          <w:lang w:val="en-US" w:eastAsia="ja-JP"/>
        </w:rPr>
        <w:instrText xml:space="preserve"> REF _Ref485314885 \r \h </w:instrText>
      </w:r>
      <w:r w:rsidR="00434D2B">
        <w:rPr>
          <w:rFonts w:eastAsia="MS Mincho"/>
          <w:highlight w:val="yellow"/>
          <w:lang w:val="en-US" w:eastAsia="ja-JP"/>
        </w:rPr>
      </w:r>
      <w:r w:rsidR="00434D2B">
        <w:rPr>
          <w:rFonts w:eastAsia="MS Mincho"/>
          <w:highlight w:val="yellow"/>
          <w:lang w:val="en-US" w:eastAsia="ja-JP"/>
        </w:rPr>
        <w:fldChar w:fldCharType="separate"/>
      </w:r>
      <w:r w:rsidR="00434D2B">
        <w:rPr>
          <w:rFonts w:eastAsia="MS Mincho"/>
          <w:lang w:val="en-US" w:eastAsia="ja-JP"/>
        </w:rPr>
        <w:t>[</w:t>
      </w:r>
      <w:r w:rsidR="00AA3C8C">
        <w:rPr>
          <w:rFonts w:eastAsia="MS Mincho"/>
          <w:lang w:val="en-US" w:eastAsia="ja-JP"/>
        </w:rPr>
        <w:t>2</w:t>
      </w:r>
      <w:r w:rsidR="00434D2B">
        <w:rPr>
          <w:rFonts w:eastAsia="MS Mincho"/>
          <w:lang w:val="en-US" w:eastAsia="ja-JP"/>
        </w:rPr>
        <w:t>]</w:t>
      </w:r>
      <w:r w:rsidR="00434D2B">
        <w:rPr>
          <w:rFonts w:eastAsia="MS Mincho"/>
          <w:highlight w:val="yellow"/>
          <w:lang w:val="en-US" w:eastAsia="ja-JP"/>
        </w:rPr>
        <w:fldChar w:fldCharType="end"/>
      </w:r>
      <w:r w:rsidRPr="00C339EA">
        <w:rPr>
          <w:rFonts w:eastAsia="MS Mincho"/>
          <w:lang w:val="en-US" w:eastAsia="ja-JP"/>
        </w:rPr>
        <w:t>.</w:t>
      </w:r>
    </w:p>
    <w:p w14:paraId="05911402" w14:textId="0386DE71" w:rsidR="00477A12" w:rsidRDefault="00477A12" w:rsidP="00477A12">
      <w:pPr>
        <w:spacing w:after="120"/>
        <w:jc w:val="both"/>
      </w:pPr>
      <w:r>
        <w:rPr>
          <w:rFonts w:eastAsia="MS Mincho"/>
          <w:lang w:eastAsia="ja-JP"/>
        </w:rPr>
        <w:t xml:space="preserve">Of course, the determination of </w:t>
      </w:r>
      <w:r>
        <w:t>HARQ feedback timing and DL association set can be</w:t>
      </w:r>
      <w:r>
        <w:rPr>
          <w:rFonts w:eastAsia="MS Mincho"/>
          <w:lang w:eastAsia="ja-JP"/>
        </w:rPr>
        <w:t xml:space="preserve"> semi-static in the cases where the timing relationship between DL data and corresponding HARQ ACK is determined semi-statically for all involved DL CCs and all DL CCs are of the same numerology. </w:t>
      </w:r>
      <w:r>
        <w:rPr>
          <w:rFonts w:eastAsia="MS Mincho"/>
          <w:lang w:val="en-US" w:eastAsia="ja-JP"/>
        </w:rPr>
        <w:t xml:space="preserve">In </w:t>
      </w:r>
      <w:r w:rsidRPr="000C05FC">
        <w:rPr>
          <w:rFonts w:eastAsia="MS Mincho"/>
          <w:lang w:val="en-US" w:eastAsia="ja-JP"/>
        </w:rPr>
        <w:t xml:space="preserve">the case that the timing between DL data and associated HARQ ACK is indicated dynamically by L1 signaling, </w:t>
      </w:r>
      <w:r w:rsidRPr="000C05FC">
        <w:t xml:space="preserve">DL association set </w:t>
      </w:r>
      <w:r w:rsidRPr="000C05FC">
        <w:rPr>
          <w:rFonts w:eastAsia="MS Mincho"/>
          <w:lang w:val="en-US" w:eastAsia="ja-JP"/>
        </w:rPr>
        <w:t xml:space="preserve">also </w:t>
      </w:r>
      <w:r>
        <w:t xml:space="preserve">need to be determined dynamically. </w:t>
      </w:r>
      <w:r>
        <w:rPr>
          <w:rFonts w:eastAsia="MS Mincho"/>
          <w:lang w:eastAsia="ja-JP"/>
        </w:rPr>
        <w:t>Further, HARQ feedback timing and DL association set can be determined semi-statically for some of the DL CCs within the PUCCH cell group while HARQ feedback and DL association set can be dynamically determined for some other DL CCs within the same PUCCH cell group. An example of such case is when FDD DL CC(s)</w:t>
      </w:r>
      <w:r w:rsidR="00C773A9">
        <w:rPr>
          <w:rFonts w:eastAsia="MS Mincho"/>
          <w:lang w:eastAsia="ja-JP"/>
        </w:rPr>
        <w:t xml:space="preserve"> with semi-static timing </w:t>
      </w:r>
      <w:r>
        <w:rPr>
          <w:rFonts w:eastAsia="MS Mincho"/>
          <w:lang w:eastAsia="ja-JP"/>
        </w:rPr>
        <w:t>and TDD DL CC(s) with dynamic HARQ feedback indication are reported on the same PUCCH.</w:t>
      </w:r>
    </w:p>
    <w:p w14:paraId="29B93871" w14:textId="77777777" w:rsidR="00477A12" w:rsidRDefault="00477A12" w:rsidP="00477A12">
      <w:pPr>
        <w:spacing w:after="120"/>
        <w:jc w:val="both"/>
        <w:rPr>
          <w:b/>
          <w:i/>
          <w:highlight w:val="yellow"/>
        </w:rPr>
      </w:pPr>
      <w:r>
        <w:t>Finally, the HARQ ACK codebook size can be either</w:t>
      </w:r>
      <w:r w:rsidRPr="004669DA">
        <w:t xml:space="preserve"> </w:t>
      </w:r>
      <w:r>
        <w:t>semi-statically configured or dynamically determined based on the DL association set. Dynamic determination of HARQ ACK codebook size is attractive option especially when the size of the reported HARQ feedback can be temporally large but is typically significantly smaller.</w:t>
      </w:r>
    </w:p>
    <w:p w14:paraId="41B704DE" w14:textId="60935B32" w:rsidR="00477A12" w:rsidRDefault="00477A12" w:rsidP="00477A12">
      <w:pPr>
        <w:spacing w:after="60"/>
        <w:jc w:val="both"/>
      </w:pPr>
      <w:r>
        <w:t>An example on the dynamic determination of DL association set for single NR carrier is illustrated in Figure 1. The DL association set for a HARQ feedback to be transmitted on certain slot can be determined based on couple of simple rules:</w:t>
      </w:r>
    </w:p>
    <w:p w14:paraId="25428CDF" w14:textId="4869AA95" w:rsidR="00477A12" w:rsidRPr="00304D03" w:rsidRDefault="00477A12" w:rsidP="00477A12">
      <w:pPr>
        <w:pStyle w:val="ListParagraph"/>
        <w:numPr>
          <w:ilvl w:val="0"/>
          <w:numId w:val="17"/>
        </w:numPr>
        <w:spacing w:after="60"/>
        <w:jc w:val="both"/>
        <w:rPr>
          <w:lang w:val="en-US"/>
        </w:rPr>
      </w:pPr>
      <w:r w:rsidRPr="00304D03">
        <w:rPr>
          <w:sz w:val="20"/>
          <w:lang w:val="en-US"/>
        </w:rPr>
        <w:t>DL association se</w:t>
      </w:r>
      <w:r w:rsidRPr="00CF3594">
        <w:rPr>
          <w:sz w:val="20"/>
          <w:lang w:val="en-US"/>
        </w:rPr>
        <w:t xml:space="preserve">t starts from a slot where </w:t>
      </w:r>
      <w:r w:rsidR="00C773A9">
        <w:rPr>
          <w:sz w:val="20"/>
          <w:lang w:val="en-US"/>
        </w:rPr>
        <w:t xml:space="preserve">a </w:t>
      </w:r>
      <w:r w:rsidRPr="00CF3594">
        <w:rPr>
          <w:sz w:val="20"/>
          <w:lang w:val="en-US"/>
        </w:rPr>
        <w:t>PDSCH is associated to UCI transmission in the certain slot for the first time. In the Figure 1, this is the slot #3 for the UCI transmitted in slot #7.</w:t>
      </w:r>
    </w:p>
    <w:p w14:paraId="052300C9" w14:textId="77777777" w:rsidR="00477A12" w:rsidRPr="00CF3594" w:rsidRDefault="00477A12" w:rsidP="00477A12">
      <w:pPr>
        <w:pStyle w:val="ListParagraph"/>
        <w:numPr>
          <w:ilvl w:val="0"/>
          <w:numId w:val="17"/>
        </w:numPr>
        <w:spacing w:after="60"/>
        <w:jc w:val="both"/>
        <w:rPr>
          <w:lang w:val="en-US"/>
        </w:rPr>
      </w:pPr>
      <w:r w:rsidRPr="00CF3594">
        <w:rPr>
          <w:sz w:val="20"/>
          <w:lang w:val="en-US"/>
        </w:rPr>
        <w:t>The last slot of the DL association set is determined by the UE minimum (configured) processing time so that UE can prepare HARQ ACK in time. In Figure 1, this is the slot #5 for the UCI transmitted in slot #7.</w:t>
      </w:r>
    </w:p>
    <w:p w14:paraId="2AE1D438" w14:textId="77777777" w:rsidR="00477A12" w:rsidRPr="00CF3594" w:rsidRDefault="00477A12" w:rsidP="00477A12">
      <w:pPr>
        <w:pStyle w:val="ListParagraph"/>
        <w:numPr>
          <w:ilvl w:val="0"/>
          <w:numId w:val="17"/>
        </w:numPr>
        <w:spacing w:after="120"/>
        <w:ind w:left="714" w:hanging="357"/>
        <w:jc w:val="both"/>
        <w:rPr>
          <w:lang w:val="en-US"/>
        </w:rPr>
      </w:pPr>
      <w:r w:rsidRPr="00304D03">
        <w:rPr>
          <w:sz w:val="20"/>
          <w:lang w:val="en-US"/>
        </w:rPr>
        <w:t>HARQ ACK is transmitted for all slots within the DL association set.</w:t>
      </w:r>
    </w:p>
    <w:p w14:paraId="349740D6" w14:textId="536A248D" w:rsidR="00477A12" w:rsidRDefault="00477A12" w:rsidP="00477A12">
      <w:pPr>
        <w:jc w:val="both"/>
      </w:pPr>
      <w:r>
        <w:t xml:space="preserve">Dynamic determination of DL association set involves inevitable error cases. For example, missing DL grant for the first DL slot in the DL association set can lead to erroneous ordering of HARQ ACK bits. Appropriate </w:t>
      </w:r>
      <w:r w:rsidRPr="005E2A9F">
        <w:t>mechanisms, such as counter DAI in LTE, to mitigate such error cases need to be employed with dynamic DL association set determination</w:t>
      </w:r>
      <w:r>
        <w:t xml:space="preserve"> </w:t>
      </w:r>
      <w:r>
        <w:rPr>
          <w:rFonts w:eastAsia="MS Mincho"/>
          <w:lang w:val="en-US" w:eastAsia="ja-JP"/>
        </w:rPr>
        <w:t xml:space="preserve">as discussed in </w:t>
      </w:r>
      <w:r w:rsidR="00434D2B">
        <w:rPr>
          <w:rFonts w:eastAsia="MS Mincho"/>
          <w:highlight w:val="yellow"/>
          <w:lang w:val="en-US" w:eastAsia="ja-JP"/>
        </w:rPr>
        <w:fldChar w:fldCharType="begin"/>
      </w:r>
      <w:r w:rsidR="00434D2B">
        <w:rPr>
          <w:rFonts w:eastAsia="MS Mincho"/>
          <w:lang w:val="en-US" w:eastAsia="ja-JP"/>
        </w:rPr>
        <w:instrText xml:space="preserve"> REF _Ref485314885 \r \h </w:instrText>
      </w:r>
      <w:r w:rsidR="00434D2B">
        <w:rPr>
          <w:rFonts w:eastAsia="MS Mincho"/>
          <w:highlight w:val="yellow"/>
          <w:lang w:val="en-US" w:eastAsia="ja-JP"/>
        </w:rPr>
      </w:r>
      <w:r w:rsidR="00434D2B">
        <w:rPr>
          <w:rFonts w:eastAsia="MS Mincho"/>
          <w:highlight w:val="yellow"/>
          <w:lang w:val="en-US" w:eastAsia="ja-JP"/>
        </w:rPr>
        <w:fldChar w:fldCharType="separate"/>
      </w:r>
      <w:r w:rsidR="00434D2B">
        <w:rPr>
          <w:rFonts w:eastAsia="MS Mincho"/>
          <w:lang w:val="en-US" w:eastAsia="ja-JP"/>
        </w:rPr>
        <w:t>[</w:t>
      </w:r>
      <w:r w:rsidR="00AA3C8C">
        <w:rPr>
          <w:rFonts w:eastAsia="MS Mincho"/>
          <w:lang w:val="en-US" w:eastAsia="ja-JP"/>
        </w:rPr>
        <w:t>2</w:t>
      </w:r>
      <w:r w:rsidR="00434D2B">
        <w:rPr>
          <w:rFonts w:eastAsia="MS Mincho"/>
          <w:lang w:val="en-US" w:eastAsia="ja-JP"/>
        </w:rPr>
        <w:t>]</w:t>
      </w:r>
      <w:r w:rsidR="00434D2B">
        <w:rPr>
          <w:rFonts w:eastAsia="MS Mincho"/>
          <w:highlight w:val="yellow"/>
          <w:lang w:val="en-US" w:eastAsia="ja-JP"/>
        </w:rPr>
        <w:fldChar w:fldCharType="end"/>
      </w:r>
      <w:r w:rsidRPr="00C339EA">
        <w:rPr>
          <w:rFonts w:eastAsia="MS Mincho"/>
          <w:lang w:val="en-US" w:eastAsia="ja-JP"/>
        </w:rPr>
        <w:t>.</w:t>
      </w:r>
      <w:r>
        <w:t xml:space="preserve"> </w:t>
      </w:r>
    </w:p>
    <w:p w14:paraId="299F1913" w14:textId="3D7AD4AA" w:rsidR="00477A12" w:rsidRPr="00477A12" w:rsidRDefault="00477A12" w:rsidP="00083790">
      <w:pPr>
        <w:jc w:val="both"/>
        <w:rPr>
          <w:b/>
          <w:lang w:val="en-US"/>
        </w:rPr>
      </w:pPr>
      <w:r w:rsidRPr="00477A12">
        <w:rPr>
          <w:b/>
        </w:rPr>
        <w:t>Proposal</w:t>
      </w:r>
      <w:r w:rsidR="00AA3C8C">
        <w:rPr>
          <w:b/>
        </w:rPr>
        <w:t xml:space="preserve"> 1</w:t>
      </w:r>
      <w:r w:rsidRPr="00477A12">
        <w:rPr>
          <w:b/>
        </w:rPr>
        <w:t xml:space="preserve">: Determination of DL association set and codebook size for HARQ feedback is flexible and based on the indicated </w:t>
      </w:r>
      <w:r w:rsidRPr="00477A12">
        <w:rPr>
          <w:rFonts w:eastAsia="MS Mincho"/>
          <w:b/>
          <w:lang w:val="en-US" w:eastAsia="ja-JP"/>
        </w:rPr>
        <w:t>timing relationship between DL data reception and corresponding acknowledgement</w:t>
      </w:r>
      <w:r w:rsidRPr="00477A12">
        <w:rPr>
          <w:b/>
          <w:lang w:val="en-US"/>
        </w:rPr>
        <w:t>.</w:t>
      </w:r>
    </w:p>
    <w:p w14:paraId="5791C4BE" w14:textId="77777777" w:rsidR="00477A12" w:rsidRDefault="00477A12" w:rsidP="00477A12">
      <w:pPr>
        <w:jc w:val="center"/>
      </w:pPr>
      <w:r w:rsidRPr="00664F2B">
        <w:rPr>
          <w:noProof/>
          <w:lang w:val="fi-FI" w:eastAsia="fi-FI"/>
        </w:rPr>
        <w:drawing>
          <wp:inline distT="0" distB="0" distL="0" distR="0" wp14:anchorId="2C41728A" wp14:editId="65388EDA">
            <wp:extent cx="4402800" cy="183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2800" cy="1832400"/>
                    </a:xfrm>
                    <a:prstGeom prst="rect">
                      <a:avLst/>
                    </a:prstGeom>
                    <a:noFill/>
                    <a:ln>
                      <a:noFill/>
                    </a:ln>
                  </pic:spPr>
                </pic:pic>
              </a:graphicData>
            </a:graphic>
          </wp:inline>
        </w:drawing>
      </w:r>
    </w:p>
    <w:p w14:paraId="0E359ADF" w14:textId="77777777" w:rsidR="00477A12" w:rsidRDefault="00477A12" w:rsidP="00477A1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Dynamic determination of DL association set based on the indicated HARQ-ACK timing offset.</w:t>
      </w:r>
    </w:p>
    <w:p w14:paraId="39831B6D" w14:textId="77777777" w:rsidR="00477A12" w:rsidRDefault="00477A12" w:rsidP="00477A12">
      <w:pPr>
        <w:spacing w:before="240" w:after="120"/>
        <w:jc w:val="both"/>
        <w:rPr>
          <w:rFonts w:eastAsia="MS Mincho"/>
          <w:lang w:val="en-US" w:eastAsia="ja-JP"/>
        </w:rPr>
      </w:pPr>
      <w:r>
        <w:rPr>
          <w:rFonts w:eastAsia="MS Mincho"/>
          <w:lang w:val="en-US" w:eastAsia="ja-JP"/>
        </w:rPr>
        <w:t xml:space="preserve">In previous paragraphs, we focused on the DL association set determination per carrier. However, the same approach can be applied also for joint HARQ feedback for multiple DL CCs: HARQ feedback is determined separately for each DL carrier and the resulting HARQ ACK codebooks are then concatenated for joint encoding and transmission. </w:t>
      </w:r>
    </w:p>
    <w:p w14:paraId="75C00A33" w14:textId="45D6CBA0" w:rsidR="00477A12" w:rsidRDefault="00477A12" w:rsidP="00C72162">
      <w:pPr>
        <w:spacing w:after="0"/>
        <w:jc w:val="both"/>
        <w:rPr>
          <w:rFonts w:eastAsia="MS Mincho"/>
          <w:lang w:val="en-US" w:eastAsia="ja-JP"/>
        </w:rPr>
      </w:pPr>
      <w:r>
        <w:rPr>
          <w:rFonts w:eastAsia="MS Mincho"/>
          <w:lang w:val="en-US" w:eastAsia="ja-JP"/>
        </w:rPr>
        <w:lastRenderedPageBreak/>
        <w:t>In such approach, special attention needs to paid to the error case that can occur when UE is scheduled with only one PDSCH on one of the DL component carriers. If UE misses that DL grant, it will determine wrongly the HARQ ACK locations in the HARQ ACK codebook. This is illustrated in Figure 2</w:t>
      </w:r>
      <w:r w:rsidR="00C339EA">
        <w:rPr>
          <w:rFonts w:eastAsia="MS Mincho"/>
          <w:lang w:val="en-US" w:eastAsia="ja-JP"/>
        </w:rPr>
        <w:t>,</w:t>
      </w:r>
      <w:r>
        <w:rPr>
          <w:rFonts w:eastAsia="MS Mincho"/>
          <w:lang w:val="en-US" w:eastAsia="ja-JP"/>
        </w:rPr>
        <w:t xml:space="preserve"> where UE misses DL grant on DL CC #2 for slot #</w:t>
      </w:r>
      <w:r w:rsidR="00C773A9">
        <w:rPr>
          <w:rFonts w:eastAsia="MS Mincho"/>
          <w:lang w:val="en-US" w:eastAsia="ja-JP"/>
        </w:rPr>
        <w:t>2</w:t>
      </w:r>
      <w:r>
        <w:rPr>
          <w:rFonts w:eastAsia="MS Mincho"/>
          <w:lang w:val="en-US" w:eastAsia="ja-JP"/>
        </w:rPr>
        <w:t xml:space="preserve">. The error can lead to failure in HARQ feedback detection or even to NACK-to-ACK error. This error case can be simply solved e.g. by: </w:t>
      </w:r>
    </w:p>
    <w:p w14:paraId="63542C0E" w14:textId="77777777" w:rsidR="00477A12" w:rsidRPr="00CF3594" w:rsidRDefault="00477A12" w:rsidP="00C72162">
      <w:pPr>
        <w:pStyle w:val="ListParagraph"/>
        <w:numPr>
          <w:ilvl w:val="0"/>
          <w:numId w:val="18"/>
        </w:numPr>
        <w:spacing w:after="60"/>
        <w:ind w:left="714" w:hanging="357"/>
        <w:jc w:val="both"/>
        <w:rPr>
          <w:rFonts w:eastAsia="MS Mincho"/>
          <w:b/>
          <w:i/>
          <w:lang w:val="en-US" w:eastAsia="ja-JP"/>
        </w:rPr>
      </w:pPr>
      <w:r>
        <w:rPr>
          <w:sz w:val="20"/>
          <w:lang w:val="en-US"/>
        </w:rPr>
        <w:t>A</w:t>
      </w:r>
      <w:r w:rsidRPr="00CF3594">
        <w:rPr>
          <w:sz w:val="20"/>
          <w:lang w:val="en-US"/>
        </w:rPr>
        <w:t xml:space="preserve"> minimum HARQ ACK codebook size is defined for all DL component carriers, including also configured/active DL component carriers that were not scheduled. </w:t>
      </w:r>
      <w:r>
        <w:rPr>
          <w:sz w:val="20"/>
          <w:lang w:val="en-US"/>
        </w:rPr>
        <w:t>Although this approach leads to unnecessary transmission of NACKs when a DL component carrier is not scheduled, the drawback can be expected to be minimal: the PUCCH resource is dimensioned in the configuration to successfully carry even larger HARQ feedback sizes.</w:t>
      </w:r>
    </w:p>
    <w:p w14:paraId="2F2AF3B9" w14:textId="77777777" w:rsidR="00477A12" w:rsidRPr="00CF3594" w:rsidRDefault="00477A12" w:rsidP="00C72162">
      <w:pPr>
        <w:pStyle w:val="ListParagraph"/>
        <w:numPr>
          <w:ilvl w:val="0"/>
          <w:numId w:val="18"/>
        </w:numPr>
        <w:spacing w:before="240" w:after="120"/>
        <w:ind w:left="714" w:hanging="357"/>
        <w:jc w:val="both"/>
        <w:rPr>
          <w:rFonts w:eastAsia="MS Mincho"/>
          <w:b/>
          <w:i/>
          <w:lang w:val="en-US" w:eastAsia="ja-JP"/>
        </w:rPr>
      </w:pPr>
      <w:r>
        <w:rPr>
          <w:rFonts w:eastAsia="MS Mincho"/>
          <w:sz w:val="20"/>
          <w:lang w:val="en-US" w:eastAsia="ja-JP"/>
        </w:rPr>
        <w:t>Another alternative is to apply the largest determined codebook size for all DL component carriers. This results in even larger amount of unnecessary NACKs transmitted.</w:t>
      </w:r>
    </w:p>
    <w:p w14:paraId="1DD4C37F" w14:textId="77777777" w:rsidR="00477A12" w:rsidRPr="00D75CD0" w:rsidRDefault="00477A12" w:rsidP="0021765D">
      <w:pPr>
        <w:pStyle w:val="ListParagraph"/>
        <w:numPr>
          <w:ilvl w:val="0"/>
          <w:numId w:val="18"/>
        </w:numPr>
        <w:spacing w:after="120"/>
        <w:ind w:left="714" w:hanging="357"/>
        <w:jc w:val="both"/>
        <w:rPr>
          <w:rFonts w:eastAsia="MS Mincho"/>
          <w:b/>
          <w:i/>
          <w:lang w:val="en-US" w:eastAsia="ja-JP"/>
        </w:rPr>
      </w:pPr>
      <w:r>
        <w:rPr>
          <w:rFonts w:eastAsia="MS Mincho"/>
          <w:sz w:val="20"/>
          <w:lang w:val="en-US" w:eastAsia="ja-JP"/>
        </w:rPr>
        <w:t>Use of semi-static HARQ codebook size.</w:t>
      </w:r>
      <w:r w:rsidRPr="00D27530">
        <w:rPr>
          <w:rFonts w:eastAsia="MS Mincho"/>
          <w:sz w:val="20"/>
          <w:lang w:val="en-US" w:eastAsia="ja-JP"/>
        </w:rPr>
        <w:t xml:space="preserve"> </w:t>
      </w:r>
      <w:r>
        <w:rPr>
          <w:rFonts w:eastAsia="MS Mincho"/>
          <w:sz w:val="20"/>
          <w:lang w:val="en-US" w:eastAsia="ja-JP"/>
        </w:rPr>
        <w:t xml:space="preserve">This can result in transmission of large amount of unnecessary </w:t>
      </w:r>
      <w:r w:rsidRPr="00D75CD0">
        <w:rPr>
          <w:rFonts w:eastAsia="MS Mincho"/>
          <w:sz w:val="20"/>
          <w:lang w:val="en-US" w:eastAsia="ja-JP"/>
        </w:rPr>
        <w:t>NACKs, so the use of semi-static HARQ codebook size may be limited to relatively small HARQ codebook sizes.</w:t>
      </w:r>
    </w:p>
    <w:p w14:paraId="065C96F6" w14:textId="77777777" w:rsidR="00477A12" w:rsidRPr="00D75CD0" w:rsidRDefault="00477A12" w:rsidP="00477A12">
      <w:pPr>
        <w:pStyle w:val="Caption"/>
        <w:jc w:val="center"/>
      </w:pPr>
      <w:r w:rsidRPr="009540A8">
        <w:rPr>
          <w:noProof/>
          <w:lang w:val="fi-FI" w:eastAsia="fi-FI"/>
        </w:rPr>
        <w:drawing>
          <wp:inline distT="0" distB="0" distL="0" distR="0" wp14:anchorId="0A988171" wp14:editId="47A6279B">
            <wp:extent cx="5184000" cy="17352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4000" cy="1735200"/>
                    </a:xfrm>
                    <a:prstGeom prst="rect">
                      <a:avLst/>
                    </a:prstGeom>
                    <a:noFill/>
                    <a:ln>
                      <a:noFill/>
                    </a:ln>
                  </pic:spPr>
                </pic:pic>
              </a:graphicData>
            </a:graphic>
          </wp:inline>
        </w:drawing>
      </w:r>
      <w:r w:rsidRPr="009540A8">
        <w:t xml:space="preserve"> </w:t>
      </w:r>
    </w:p>
    <w:p w14:paraId="29181B35" w14:textId="77777777" w:rsidR="00477A12" w:rsidRDefault="00477A12" w:rsidP="00477A12">
      <w:pPr>
        <w:pStyle w:val="Caption"/>
        <w:spacing w:after="240"/>
        <w:jc w:val="center"/>
        <w:rPr>
          <w:rFonts w:eastAsia="MS Mincho"/>
          <w:lang w:val="en-US" w:eastAsia="ja-JP"/>
        </w:rPr>
      </w:pPr>
      <w:r w:rsidRPr="00D75CD0">
        <w:t>Figure 2. Error in HARQ ACK codebook determination caused by missed DL grant.</w:t>
      </w:r>
    </w:p>
    <w:p w14:paraId="1CD890CE" w14:textId="679C5CF7" w:rsidR="00477A12" w:rsidRDefault="00477A12" w:rsidP="00477A12">
      <w:pPr>
        <w:jc w:val="both"/>
        <w:rPr>
          <w:rFonts w:eastAsia="MS Mincho"/>
          <w:lang w:val="en-US" w:eastAsia="ja-JP"/>
        </w:rPr>
      </w:pPr>
      <w:r>
        <w:rPr>
          <w:rFonts w:eastAsia="MS Mincho"/>
          <w:lang w:val="en-US" w:eastAsia="ja-JP"/>
        </w:rPr>
        <w:t xml:space="preserve">Alternatively, to the HARQ ACK codebook determination separately for each DL component carrier, the codebook may be determined jointly over the component carriers with the help of counter DAI and total DAI operating in frequency-first–time-second manner as discussed in LTE Rel-13. However, that solution becomes overly complex when the used PDSCH TTIs have different durations on the different DL CCs: there can be multiple PDSCH TTIs one DL CC while there is only one PDSCH slot on another DL CC. In such case – and especially in the case of DL mini-slots without a fixed structure – determination of joint DAI operation over the carriers becomes complex. Additionally, the approach will increase the dependencies between component carriers so that gNB can determine right DAI values for each DL CC based on the scheduling decisions on all other component carriers. Hence, we propose that DL association set and HARQ ACK codebook size are determined separately for each DL CC. </w:t>
      </w:r>
      <w:r w:rsidR="005D2967">
        <w:rPr>
          <w:rFonts w:eastAsia="MS Mincho"/>
          <w:lang w:val="en-US" w:eastAsia="ja-JP"/>
        </w:rPr>
        <w:t xml:space="preserve">Slots and mini-slots </w:t>
      </w:r>
      <w:r w:rsidR="005F7726">
        <w:rPr>
          <w:rFonts w:eastAsia="MS Mincho"/>
          <w:lang w:val="en-US" w:eastAsia="ja-JP"/>
        </w:rPr>
        <w:t xml:space="preserve">on one CC can be treated as separate virtual carriers for </w:t>
      </w:r>
      <w:r w:rsidR="00C72162">
        <w:rPr>
          <w:rFonts w:eastAsia="MS Mincho"/>
          <w:lang w:val="en-US" w:eastAsia="ja-JP"/>
        </w:rPr>
        <w:t>DL association set and HARQ ACK codebook</w:t>
      </w:r>
      <w:r w:rsidR="005F7726">
        <w:rPr>
          <w:rFonts w:eastAsia="MS Mincho"/>
          <w:lang w:val="en-US" w:eastAsia="ja-JP"/>
        </w:rPr>
        <w:t xml:space="preserve"> size determination. The mini-slot </w:t>
      </w:r>
      <w:r w:rsidR="00C72162">
        <w:rPr>
          <w:rFonts w:eastAsia="MS Mincho"/>
          <w:lang w:val="en-US" w:eastAsia="ja-JP"/>
        </w:rPr>
        <w:t>HARQ ACK codebook</w:t>
      </w:r>
      <w:r w:rsidR="005F7726">
        <w:rPr>
          <w:rFonts w:eastAsia="MS Mincho"/>
          <w:lang w:val="en-US" w:eastAsia="ja-JP"/>
        </w:rPr>
        <w:t xml:space="preserve"> would be determined by the number of configured scheduling instances within DL association set. </w:t>
      </w:r>
    </w:p>
    <w:p w14:paraId="727D9A98" w14:textId="55E09076" w:rsidR="007C6D69" w:rsidRDefault="00477A12" w:rsidP="0021765D">
      <w:pPr>
        <w:spacing w:after="120"/>
        <w:jc w:val="both"/>
        <w:rPr>
          <w:rFonts w:eastAsia="MS Mincho"/>
          <w:b/>
          <w:i/>
          <w:lang w:val="en-US" w:eastAsia="ja-JP"/>
        </w:rPr>
      </w:pPr>
      <w:r w:rsidRPr="00477A12">
        <w:rPr>
          <w:b/>
        </w:rPr>
        <w:t>Proposal</w:t>
      </w:r>
      <w:r w:rsidR="00AA3C8C">
        <w:rPr>
          <w:b/>
        </w:rPr>
        <w:t xml:space="preserve"> 2</w:t>
      </w:r>
      <w:r w:rsidRPr="00477A12">
        <w:rPr>
          <w:b/>
        </w:rPr>
        <w:t>: DL association set and HARQ ACK codebook size are determined separately for each DL component carrier.</w:t>
      </w:r>
    </w:p>
    <w:p w14:paraId="6D320DB8" w14:textId="53F01392" w:rsidR="007C6D69" w:rsidRDefault="001F1C17" w:rsidP="007C6D69">
      <w:pPr>
        <w:pStyle w:val="Heading1"/>
        <w:ind w:left="0" w:firstLine="0"/>
      </w:pPr>
      <w:r>
        <w:rPr>
          <w:color w:val="000000"/>
        </w:rPr>
        <w:t>3</w:t>
      </w:r>
      <w:r w:rsidR="007C6D69">
        <w:rPr>
          <w:color w:val="000000"/>
        </w:rPr>
        <w:t>.</w:t>
      </w:r>
      <w:r w:rsidR="007C6D69" w:rsidRPr="00A51522">
        <w:rPr>
          <w:color w:val="000000"/>
        </w:rPr>
        <w:tab/>
      </w:r>
      <w:r w:rsidR="007C6D69">
        <w:t xml:space="preserve">Conclusion </w:t>
      </w:r>
    </w:p>
    <w:p w14:paraId="6950DEE3" w14:textId="534FE674" w:rsidR="008D51CF" w:rsidRDefault="008D51CF" w:rsidP="008D51CF">
      <w:pPr>
        <w:jc w:val="both"/>
        <w:rPr>
          <w:b/>
          <w:bCs/>
          <w:lang w:val="en-US" w:eastAsia="zh-CN"/>
        </w:rPr>
      </w:pPr>
      <w:r>
        <w:rPr>
          <w:bCs/>
          <w:lang w:val="en-US" w:eastAsia="zh-CN"/>
        </w:rPr>
        <w:t>In th</w:t>
      </w:r>
      <w:bookmarkStart w:id="0" w:name="_GoBack"/>
      <w:bookmarkEnd w:id="0"/>
      <w:r>
        <w:rPr>
          <w:bCs/>
          <w:lang w:val="en-US" w:eastAsia="zh-CN"/>
        </w:rPr>
        <w:t>is contribution</w:t>
      </w:r>
      <w:r w:rsidR="00787E67">
        <w:rPr>
          <w:bCs/>
          <w:lang w:val="en-US" w:eastAsia="zh-CN"/>
        </w:rPr>
        <w:t>,</w:t>
      </w:r>
      <w:r>
        <w:rPr>
          <w:bCs/>
          <w:lang w:val="en-US" w:eastAsia="zh-CN"/>
        </w:rPr>
        <w:t xml:space="preserve"> we discussed the joint UCI design for NR carrier-aggregation</w:t>
      </w:r>
      <w:r w:rsidR="00AA3C8C">
        <w:rPr>
          <w:bCs/>
          <w:lang w:val="en-US" w:eastAsia="zh-CN"/>
        </w:rPr>
        <w:t xml:space="preserve"> with</w:t>
      </w:r>
      <w:r>
        <w:rPr>
          <w:bCs/>
          <w:lang w:val="en-US" w:eastAsia="zh-CN"/>
        </w:rPr>
        <w:t xml:space="preserve"> the following proposals:</w:t>
      </w:r>
    </w:p>
    <w:p w14:paraId="32FE2F88" w14:textId="1F66D7C2" w:rsidR="008D51CF" w:rsidRPr="00477A12" w:rsidRDefault="008D51CF" w:rsidP="0021765D">
      <w:pPr>
        <w:spacing w:after="120"/>
        <w:jc w:val="both"/>
        <w:rPr>
          <w:b/>
          <w:lang w:val="en-US"/>
        </w:rPr>
      </w:pPr>
      <w:r w:rsidRPr="00477A12">
        <w:rPr>
          <w:b/>
        </w:rPr>
        <w:t>Proposal</w:t>
      </w:r>
      <w:r w:rsidR="00AA3C8C">
        <w:rPr>
          <w:b/>
        </w:rPr>
        <w:t xml:space="preserve"> 1</w:t>
      </w:r>
      <w:r w:rsidRPr="00477A12">
        <w:rPr>
          <w:b/>
        </w:rPr>
        <w:t xml:space="preserve">: Determination of DL association set and codebook size for HARQ feedback is flexible and based on the indicated </w:t>
      </w:r>
      <w:r w:rsidRPr="00477A12">
        <w:rPr>
          <w:rFonts w:eastAsia="MS Mincho"/>
          <w:b/>
          <w:lang w:val="en-US" w:eastAsia="ja-JP"/>
        </w:rPr>
        <w:t>timing relationship between DL data reception and corresponding acknowledgement</w:t>
      </w:r>
      <w:r w:rsidRPr="00477A12">
        <w:rPr>
          <w:b/>
          <w:lang w:val="en-US"/>
        </w:rPr>
        <w:t>.</w:t>
      </w:r>
    </w:p>
    <w:p w14:paraId="250AE873" w14:textId="108D4592" w:rsidR="007C6D69" w:rsidRDefault="008D51CF" w:rsidP="00C21BD7">
      <w:pPr>
        <w:rPr>
          <w:b/>
          <w:i/>
        </w:rPr>
      </w:pPr>
      <w:r w:rsidRPr="00477A12">
        <w:rPr>
          <w:b/>
        </w:rPr>
        <w:t>Proposal</w:t>
      </w:r>
      <w:r w:rsidR="00AA3C8C">
        <w:rPr>
          <w:b/>
        </w:rPr>
        <w:t xml:space="preserve"> 2</w:t>
      </w:r>
      <w:r w:rsidRPr="00477A12">
        <w:rPr>
          <w:b/>
        </w:rPr>
        <w:t>: DL association set and HARQ ACK codebook size are determined separately for each DL component carrier.</w:t>
      </w:r>
    </w:p>
    <w:p w14:paraId="701571BF" w14:textId="2C9A6016" w:rsidR="007C6D69" w:rsidRDefault="007C6D69" w:rsidP="007C6D69">
      <w:pPr>
        <w:pStyle w:val="Heading1"/>
        <w:ind w:left="0" w:firstLine="0"/>
      </w:pPr>
      <w:r>
        <w:rPr>
          <w:color w:val="000000"/>
        </w:rPr>
        <w:t>References</w:t>
      </w:r>
    </w:p>
    <w:p w14:paraId="729A40AD" w14:textId="45DFC0A0" w:rsidR="0087756B" w:rsidRPr="00083790" w:rsidRDefault="0087756B" w:rsidP="0021765D">
      <w:pPr>
        <w:pStyle w:val="ListParagraph"/>
        <w:numPr>
          <w:ilvl w:val="0"/>
          <w:numId w:val="25"/>
        </w:numPr>
        <w:spacing w:after="60" w:line="259" w:lineRule="auto"/>
        <w:ind w:left="357" w:hanging="357"/>
        <w:jc w:val="both"/>
        <w:rPr>
          <w:lang w:val="en-US"/>
        </w:rPr>
      </w:pPr>
      <w:bookmarkStart w:id="1" w:name="_Ref477708358"/>
      <w:bookmarkStart w:id="2" w:name="_Ref449465801"/>
      <w:bookmarkStart w:id="3" w:name="_Ref477706555"/>
      <w:bookmarkStart w:id="4" w:name="_Ref484877133"/>
      <w:r w:rsidRPr="0039030A">
        <w:rPr>
          <w:sz w:val="20"/>
          <w:lang w:val="en-US"/>
        </w:rPr>
        <w:t>RP-170847, “New WID on New Radio Access Technology”, NTT DOCOMO, INC., RAN 75, Dubrovnik, Croatia, March 6 - 9, 2017</w:t>
      </w:r>
      <w:bookmarkEnd w:id="1"/>
    </w:p>
    <w:p w14:paraId="3D3B7EAE" w14:textId="329F46A0" w:rsidR="009412D0" w:rsidRPr="00AA3C8C" w:rsidRDefault="00F31B2A" w:rsidP="00C21BD7">
      <w:pPr>
        <w:numPr>
          <w:ilvl w:val="0"/>
          <w:numId w:val="25"/>
        </w:numPr>
        <w:overflowPunct/>
        <w:autoSpaceDE/>
        <w:autoSpaceDN/>
        <w:adjustRightInd/>
        <w:spacing w:after="120" w:line="259" w:lineRule="auto"/>
        <w:jc w:val="both"/>
        <w:textAlignment w:val="auto"/>
        <w:rPr>
          <w:lang w:val="en-US"/>
        </w:rPr>
      </w:pPr>
      <w:bookmarkStart w:id="5" w:name="_Ref485314885"/>
      <w:bookmarkEnd w:id="2"/>
      <w:bookmarkEnd w:id="3"/>
      <w:bookmarkEnd w:id="4"/>
      <w:r w:rsidRPr="00A7616D">
        <w:rPr>
          <w:lang w:val="en-US"/>
        </w:rPr>
        <w:t>R1-171</w:t>
      </w:r>
      <w:r w:rsidR="00A7616D">
        <w:rPr>
          <w:lang w:val="en-US"/>
        </w:rPr>
        <w:t>4016</w:t>
      </w:r>
      <w:r w:rsidR="00AE02C3" w:rsidRPr="00A7616D">
        <w:rPr>
          <w:lang w:val="en-US"/>
        </w:rPr>
        <w:t>, “</w:t>
      </w:r>
      <w:r w:rsidRPr="00A7616D">
        <w:rPr>
          <w:lang w:val="en-US"/>
        </w:rPr>
        <w:t>On HARQ feedback determination</w:t>
      </w:r>
      <w:r w:rsidR="00AE02C3" w:rsidRPr="00A7616D">
        <w:rPr>
          <w:lang w:val="en-US"/>
        </w:rPr>
        <w:t xml:space="preserve">”, Nokia, </w:t>
      </w:r>
      <w:r w:rsidR="00A7616D">
        <w:rPr>
          <w:lang w:val="en-US"/>
        </w:rPr>
        <w:t>Nokia</w:t>
      </w:r>
      <w:r w:rsidR="00AE02C3" w:rsidRPr="00A7616D">
        <w:rPr>
          <w:lang w:val="en-US"/>
        </w:rPr>
        <w:t xml:space="preserve"> Shanghai Bell</w:t>
      </w:r>
      <w:bookmarkEnd w:id="5"/>
    </w:p>
    <w:sectPr w:rsidR="009412D0" w:rsidRPr="00AA3C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B75CF" w14:textId="77777777" w:rsidR="00491AAC" w:rsidRDefault="00491AAC">
      <w:r>
        <w:separator/>
      </w:r>
    </w:p>
  </w:endnote>
  <w:endnote w:type="continuationSeparator" w:id="0">
    <w:p w14:paraId="593A28F8" w14:textId="77777777" w:rsidR="00491AAC" w:rsidRDefault="0049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F79CE" w14:textId="77777777" w:rsidR="00491AAC" w:rsidRDefault="00491AAC">
      <w:r>
        <w:separator/>
      </w:r>
    </w:p>
  </w:footnote>
  <w:footnote w:type="continuationSeparator" w:id="0">
    <w:p w14:paraId="24E2F409" w14:textId="77777777" w:rsidR="00491AAC" w:rsidRDefault="00491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hint="default"/>
      </w:rPr>
    </w:lvl>
    <w:lvl w:ilvl="1" w:tplc="3EB4E480">
      <w:numFmt w:val="bullet"/>
      <w:lvlText w:val="–"/>
      <w:lvlJc w:val="left"/>
      <w:pPr>
        <w:tabs>
          <w:tab w:val="num" w:pos="1440"/>
        </w:tabs>
        <w:ind w:left="1440" w:hanging="360"/>
      </w:pPr>
      <w:rPr>
        <w:rFonts w:ascii="Arial" w:hAnsi="Arial" w:hint="default"/>
      </w:rPr>
    </w:lvl>
    <w:lvl w:ilvl="2" w:tplc="9F24AA4E">
      <w:numFmt w:val="bullet"/>
      <w:lvlText w:val="•"/>
      <w:lvlJc w:val="left"/>
      <w:pPr>
        <w:tabs>
          <w:tab w:val="num" w:pos="2160"/>
        </w:tabs>
        <w:ind w:left="2160" w:hanging="360"/>
      </w:pPr>
      <w:rPr>
        <w:rFonts w:ascii="Arial" w:hAnsi="Arial" w:hint="default"/>
      </w:rPr>
    </w:lvl>
    <w:lvl w:ilvl="3" w:tplc="E8ACBCFC" w:tentative="1">
      <w:start w:val="1"/>
      <w:numFmt w:val="bullet"/>
      <w:lvlText w:val="•"/>
      <w:lvlJc w:val="left"/>
      <w:pPr>
        <w:tabs>
          <w:tab w:val="num" w:pos="2880"/>
        </w:tabs>
        <w:ind w:left="2880" w:hanging="360"/>
      </w:pPr>
      <w:rPr>
        <w:rFonts w:ascii="Arial" w:hAnsi="Arial" w:hint="default"/>
      </w:rPr>
    </w:lvl>
    <w:lvl w:ilvl="4" w:tplc="8A6007F2" w:tentative="1">
      <w:start w:val="1"/>
      <w:numFmt w:val="bullet"/>
      <w:lvlText w:val="•"/>
      <w:lvlJc w:val="left"/>
      <w:pPr>
        <w:tabs>
          <w:tab w:val="num" w:pos="3600"/>
        </w:tabs>
        <w:ind w:left="3600" w:hanging="360"/>
      </w:pPr>
      <w:rPr>
        <w:rFonts w:ascii="Arial" w:hAnsi="Arial" w:hint="default"/>
      </w:rPr>
    </w:lvl>
    <w:lvl w:ilvl="5" w:tplc="08E6B3EC" w:tentative="1">
      <w:start w:val="1"/>
      <w:numFmt w:val="bullet"/>
      <w:lvlText w:val="•"/>
      <w:lvlJc w:val="left"/>
      <w:pPr>
        <w:tabs>
          <w:tab w:val="num" w:pos="4320"/>
        </w:tabs>
        <w:ind w:left="4320" w:hanging="360"/>
      </w:pPr>
      <w:rPr>
        <w:rFonts w:ascii="Arial" w:hAnsi="Arial" w:hint="default"/>
      </w:rPr>
    </w:lvl>
    <w:lvl w:ilvl="6" w:tplc="16866B44" w:tentative="1">
      <w:start w:val="1"/>
      <w:numFmt w:val="bullet"/>
      <w:lvlText w:val="•"/>
      <w:lvlJc w:val="left"/>
      <w:pPr>
        <w:tabs>
          <w:tab w:val="num" w:pos="5040"/>
        </w:tabs>
        <w:ind w:left="5040" w:hanging="360"/>
      </w:pPr>
      <w:rPr>
        <w:rFonts w:ascii="Arial" w:hAnsi="Arial" w:hint="default"/>
      </w:rPr>
    </w:lvl>
    <w:lvl w:ilvl="7" w:tplc="9C6EAA74" w:tentative="1">
      <w:start w:val="1"/>
      <w:numFmt w:val="bullet"/>
      <w:lvlText w:val="•"/>
      <w:lvlJc w:val="left"/>
      <w:pPr>
        <w:tabs>
          <w:tab w:val="num" w:pos="5760"/>
        </w:tabs>
        <w:ind w:left="5760" w:hanging="360"/>
      </w:pPr>
      <w:rPr>
        <w:rFonts w:ascii="Arial" w:hAnsi="Arial" w:hint="default"/>
      </w:rPr>
    </w:lvl>
    <w:lvl w:ilvl="8" w:tplc="AB6C01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06B6166"/>
    <w:multiLevelType w:val="hybridMultilevel"/>
    <w:tmpl w:val="B42803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F800414"/>
    <w:multiLevelType w:val="hybridMultilevel"/>
    <w:tmpl w:val="486849D2"/>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8" w15:restartNumberingAfterBreak="0">
    <w:nsid w:val="654B3F1F"/>
    <w:multiLevelType w:val="hybridMultilevel"/>
    <w:tmpl w:val="96FA8FDC"/>
    <w:lvl w:ilvl="0" w:tplc="75D25D18">
      <w:start w:val="1"/>
      <w:numFmt w:val="bullet"/>
      <w:lvlText w:val="•"/>
      <w:lvlJc w:val="left"/>
      <w:pPr>
        <w:tabs>
          <w:tab w:val="num" w:pos="720"/>
        </w:tabs>
        <w:ind w:left="720" w:hanging="360"/>
      </w:pPr>
      <w:rPr>
        <w:rFonts w:ascii="Arial" w:hAnsi="Arial" w:hint="default"/>
      </w:rPr>
    </w:lvl>
    <w:lvl w:ilvl="1" w:tplc="E508FDFC">
      <w:numFmt w:val="bullet"/>
      <w:lvlText w:val="–"/>
      <w:lvlJc w:val="left"/>
      <w:pPr>
        <w:tabs>
          <w:tab w:val="num" w:pos="1440"/>
        </w:tabs>
        <w:ind w:left="1440" w:hanging="360"/>
      </w:pPr>
      <w:rPr>
        <w:rFonts w:ascii="Arial" w:hAnsi="Arial" w:hint="default"/>
      </w:rPr>
    </w:lvl>
    <w:lvl w:ilvl="2" w:tplc="53F67428">
      <w:numFmt w:val="bullet"/>
      <w:lvlText w:val="•"/>
      <w:lvlJc w:val="left"/>
      <w:pPr>
        <w:tabs>
          <w:tab w:val="num" w:pos="2160"/>
        </w:tabs>
        <w:ind w:left="2160" w:hanging="360"/>
      </w:pPr>
      <w:rPr>
        <w:rFonts w:ascii="Arial" w:hAnsi="Arial" w:hint="default"/>
      </w:rPr>
    </w:lvl>
    <w:lvl w:ilvl="3" w:tplc="B6F09762" w:tentative="1">
      <w:start w:val="1"/>
      <w:numFmt w:val="bullet"/>
      <w:lvlText w:val="•"/>
      <w:lvlJc w:val="left"/>
      <w:pPr>
        <w:tabs>
          <w:tab w:val="num" w:pos="2880"/>
        </w:tabs>
        <w:ind w:left="2880" w:hanging="360"/>
      </w:pPr>
      <w:rPr>
        <w:rFonts w:ascii="Arial" w:hAnsi="Arial" w:hint="default"/>
      </w:rPr>
    </w:lvl>
    <w:lvl w:ilvl="4" w:tplc="23689214" w:tentative="1">
      <w:start w:val="1"/>
      <w:numFmt w:val="bullet"/>
      <w:lvlText w:val="•"/>
      <w:lvlJc w:val="left"/>
      <w:pPr>
        <w:tabs>
          <w:tab w:val="num" w:pos="3600"/>
        </w:tabs>
        <w:ind w:left="3600" w:hanging="360"/>
      </w:pPr>
      <w:rPr>
        <w:rFonts w:ascii="Arial" w:hAnsi="Arial" w:hint="default"/>
      </w:rPr>
    </w:lvl>
    <w:lvl w:ilvl="5" w:tplc="72DAA30A" w:tentative="1">
      <w:start w:val="1"/>
      <w:numFmt w:val="bullet"/>
      <w:lvlText w:val="•"/>
      <w:lvlJc w:val="left"/>
      <w:pPr>
        <w:tabs>
          <w:tab w:val="num" w:pos="4320"/>
        </w:tabs>
        <w:ind w:left="4320" w:hanging="360"/>
      </w:pPr>
      <w:rPr>
        <w:rFonts w:ascii="Arial" w:hAnsi="Arial" w:hint="default"/>
      </w:rPr>
    </w:lvl>
    <w:lvl w:ilvl="6" w:tplc="22D0CE4C" w:tentative="1">
      <w:start w:val="1"/>
      <w:numFmt w:val="bullet"/>
      <w:lvlText w:val="•"/>
      <w:lvlJc w:val="left"/>
      <w:pPr>
        <w:tabs>
          <w:tab w:val="num" w:pos="5040"/>
        </w:tabs>
        <w:ind w:left="5040" w:hanging="360"/>
      </w:pPr>
      <w:rPr>
        <w:rFonts w:ascii="Arial" w:hAnsi="Arial" w:hint="default"/>
      </w:rPr>
    </w:lvl>
    <w:lvl w:ilvl="7" w:tplc="BAD07420" w:tentative="1">
      <w:start w:val="1"/>
      <w:numFmt w:val="bullet"/>
      <w:lvlText w:val="•"/>
      <w:lvlJc w:val="left"/>
      <w:pPr>
        <w:tabs>
          <w:tab w:val="num" w:pos="5760"/>
        </w:tabs>
        <w:ind w:left="5760" w:hanging="360"/>
      </w:pPr>
      <w:rPr>
        <w:rFonts w:ascii="Arial" w:hAnsi="Arial" w:hint="default"/>
      </w:rPr>
    </w:lvl>
    <w:lvl w:ilvl="8" w:tplc="54246E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037DCC"/>
    <w:multiLevelType w:val="hybridMultilevel"/>
    <w:tmpl w:val="AB1E441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2" w15:restartNumberingAfterBreak="0">
    <w:nsid w:val="7B6F2A61"/>
    <w:multiLevelType w:val="hybridMultilevel"/>
    <w:tmpl w:val="15EC53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F104DF"/>
    <w:multiLevelType w:val="hybridMultilevel"/>
    <w:tmpl w:val="1916D8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9"/>
  </w:num>
  <w:num w:numId="4">
    <w:abstractNumId w:val="8"/>
  </w:num>
  <w:num w:numId="5">
    <w:abstractNumId w:val="11"/>
  </w:num>
  <w:num w:numId="6">
    <w:abstractNumId w:val="13"/>
  </w:num>
  <w:num w:numId="7">
    <w:abstractNumId w:val="10"/>
  </w:num>
  <w:num w:numId="8">
    <w:abstractNumId w:val="24"/>
  </w:num>
  <w:num w:numId="9">
    <w:abstractNumId w:val="12"/>
  </w:num>
  <w:num w:numId="10">
    <w:abstractNumId w:val="0"/>
  </w:num>
  <w:num w:numId="11">
    <w:abstractNumId w:val="20"/>
  </w:num>
  <w:num w:numId="12">
    <w:abstractNumId w:val="4"/>
  </w:num>
  <w:num w:numId="13">
    <w:abstractNumId w:val="3"/>
  </w:num>
  <w:num w:numId="14">
    <w:abstractNumId w:val="5"/>
  </w:num>
  <w:num w:numId="15">
    <w:abstractNumId w:val="14"/>
  </w:num>
  <w:num w:numId="16">
    <w:abstractNumId w:val="16"/>
  </w:num>
  <w:num w:numId="17">
    <w:abstractNumId w:val="7"/>
  </w:num>
  <w:num w:numId="18">
    <w:abstractNumId w:val="15"/>
  </w:num>
  <w:num w:numId="19">
    <w:abstractNumId w:val="1"/>
  </w:num>
  <w:num w:numId="20">
    <w:abstractNumId w:val="23"/>
  </w:num>
  <w:num w:numId="21">
    <w:abstractNumId w:val="22"/>
  </w:num>
  <w:num w:numId="22">
    <w:abstractNumId w:val="18"/>
  </w:num>
  <w:num w:numId="23">
    <w:abstractNumId w:val="17"/>
  </w:num>
  <w:num w:numId="24">
    <w:abstractNumId w:val="21"/>
  </w:num>
  <w:num w:numId="2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549"/>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C9E"/>
    <w:rsid w:val="00017EDA"/>
    <w:rsid w:val="000201B5"/>
    <w:rsid w:val="00023742"/>
    <w:rsid w:val="00024AEF"/>
    <w:rsid w:val="00025DCE"/>
    <w:rsid w:val="00026C65"/>
    <w:rsid w:val="00027755"/>
    <w:rsid w:val="00030048"/>
    <w:rsid w:val="0003072D"/>
    <w:rsid w:val="0003116C"/>
    <w:rsid w:val="000314CD"/>
    <w:rsid w:val="00031AF6"/>
    <w:rsid w:val="00033544"/>
    <w:rsid w:val="0003479E"/>
    <w:rsid w:val="00035691"/>
    <w:rsid w:val="00036BC3"/>
    <w:rsid w:val="0003707E"/>
    <w:rsid w:val="0003767C"/>
    <w:rsid w:val="00037DEE"/>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790"/>
    <w:rsid w:val="00083800"/>
    <w:rsid w:val="00084A65"/>
    <w:rsid w:val="000902C2"/>
    <w:rsid w:val="000917C6"/>
    <w:rsid w:val="00091A92"/>
    <w:rsid w:val="00093C49"/>
    <w:rsid w:val="00095A80"/>
    <w:rsid w:val="00096ED1"/>
    <w:rsid w:val="000973E1"/>
    <w:rsid w:val="000A1402"/>
    <w:rsid w:val="000A20BA"/>
    <w:rsid w:val="000A262C"/>
    <w:rsid w:val="000A3C8D"/>
    <w:rsid w:val="000A40EC"/>
    <w:rsid w:val="000A54EE"/>
    <w:rsid w:val="000A6A23"/>
    <w:rsid w:val="000A7BC5"/>
    <w:rsid w:val="000B0C45"/>
    <w:rsid w:val="000B16DB"/>
    <w:rsid w:val="000B1ABD"/>
    <w:rsid w:val="000B1C5E"/>
    <w:rsid w:val="000B2282"/>
    <w:rsid w:val="000B2A11"/>
    <w:rsid w:val="000B2A5B"/>
    <w:rsid w:val="000B3B91"/>
    <w:rsid w:val="000B5AC9"/>
    <w:rsid w:val="000B5F0A"/>
    <w:rsid w:val="000C05FC"/>
    <w:rsid w:val="000C0C6B"/>
    <w:rsid w:val="000C1D59"/>
    <w:rsid w:val="000C30CF"/>
    <w:rsid w:val="000C501D"/>
    <w:rsid w:val="000C6EE7"/>
    <w:rsid w:val="000C7302"/>
    <w:rsid w:val="000C74BA"/>
    <w:rsid w:val="000C7531"/>
    <w:rsid w:val="000C7C3F"/>
    <w:rsid w:val="000D0BD6"/>
    <w:rsid w:val="000D0C61"/>
    <w:rsid w:val="000D27AD"/>
    <w:rsid w:val="000D29D1"/>
    <w:rsid w:val="000D2B0A"/>
    <w:rsid w:val="000D3286"/>
    <w:rsid w:val="000D344D"/>
    <w:rsid w:val="000D40E7"/>
    <w:rsid w:val="000D584F"/>
    <w:rsid w:val="000E0635"/>
    <w:rsid w:val="000E071E"/>
    <w:rsid w:val="000E27AA"/>
    <w:rsid w:val="000E337A"/>
    <w:rsid w:val="000E4350"/>
    <w:rsid w:val="000E4408"/>
    <w:rsid w:val="000E5716"/>
    <w:rsid w:val="000E7A79"/>
    <w:rsid w:val="000F147C"/>
    <w:rsid w:val="000F15B2"/>
    <w:rsid w:val="000F19DE"/>
    <w:rsid w:val="000F2E1F"/>
    <w:rsid w:val="000F37B0"/>
    <w:rsid w:val="000F4595"/>
    <w:rsid w:val="000F4CB2"/>
    <w:rsid w:val="000F4E44"/>
    <w:rsid w:val="000F568D"/>
    <w:rsid w:val="00101C4F"/>
    <w:rsid w:val="00102C9F"/>
    <w:rsid w:val="00106029"/>
    <w:rsid w:val="001068D2"/>
    <w:rsid w:val="001103BD"/>
    <w:rsid w:val="00111208"/>
    <w:rsid w:val="00111808"/>
    <w:rsid w:val="0011243D"/>
    <w:rsid w:val="001130AC"/>
    <w:rsid w:val="0011339F"/>
    <w:rsid w:val="00113B8F"/>
    <w:rsid w:val="00113EC8"/>
    <w:rsid w:val="00114E96"/>
    <w:rsid w:val="0011644A"/>
    <w:rsid w:val="00117332"/>
    <w:rsid w:val="001200A9"/>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67D"/>
    <w:rsid w:val="00137D78"/>
    <w:rsid w:val="001409A0"/>
    <w:rsid w:val="0014172C"/>
    <w:rsid w:val="00141F08"/>
    <w:rsid w:val="00141FF2"/>
    <w:rsid w:val="0014287A"/>
    <w:rsid w:val="00142DE2"/>
    <w:rsid w:val="00144C87"/>
    <w:rsid w:val="001467B1"/>
    <w:rsid w:val="00150175"/>
    <w:rsid w:val="001502C8"/>
    <w:rsid w:val="0015130F"/>
    <w:rsid w:val="00155BFD"/>
    <w:rsid w:val="00157390"/>
    <w:rsid w:val="00160998"/>
    <w:rsid w:val="00160CD6"/>
    <w:rsid w:val="0016194F"/>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6904"/>
    <w:rsid w:val="00186B0A"/>
    <w:rsid w:val="00187E09"/>
    <w:rsid w:val="001905BD"/>
    <w:rsid w:val="00192FE6"/>
    <w:rsid w:val="00193986"/>
    <w:rsid w:val="00193B08"/>
    <w:rsid w:val="00194115"/>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1C17"/>
    <w:rsid w:val="001F23BD"/>
    <w:rsid w:val="001F34DA"/>
    <w:rsid w:val="001F4DAC"/>
    <w:rsid w:val="001F5019"/>
    <w:rsid w:val="001F599B"/>
    <w:rsid w:val="001F67AA"/>
    <w:rsid w:val="001F7599"/>
    <w:rsid w:val="00204B3A"/>
    <w:rsid w:val="0020535A"/>
    <w:rsid w:val="002055CB"/>
    <w:rsid w:val="00205E5F"/>
    <w:rsid w:val="00206955"/>
    <w:rsid w:val="00210309"/>
    <w:rsid w:val="00212E4E"/>
    <w:rsid w:val="00212FB8"/>
    <w:rsid w:val="00213709"/>
    <w:rsid w:val="002149AF"/>
    <w:rsid w:val="00214A86"/>
    <w:rsid w:val="00215AAA"/>
    <w:rsid w:val="0021683C"/>
    <w:rsid w:val="0021765D"/>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150"/>
    <w:rsid w:val="002632DF"/>
    <w:rsid w:val="002640BA"/>
    <w:rsid w:val="00264CF2"/>
    <w:rsid w:val="002661CB"/>
    <w:rsid w:val="00267587"/>
    <w:rsid w:val="002675C8"/>
    <w:rsid w:val="00271589"/>
    <w:rsid w:val="00273177"/>
    <w:rsid w:val="00273D2F"/>
    <w:rsid w:val="00275074"/>
    <w:rsid w:val="002763E9"/>
    <w:rsid w:val="00276736"/>
    <w:rsid w:val="00282FE4"/>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3A0F"/>
    <w:rsid w:val="002A607D"/>
    <w:rsid w:val="002B132E"/>
    <w:rsid w:val="002B2813"/>
    <w:rsid w:val="002B2D29"/>
    <w:rsid w:val="002B5AB0"/>
    <w:rsid w:val="002B7E43"/>
    <w:rsid w:val="002C0C4B"/>
    <w:rsid w:val="002C1EEA"/>
    <w:rsid w:val="002C2E2E"/>
    <w:rsid w:val="002C47AD"/>
    <w:rsid w:val="002C6034"/>
    <w:rsid w:val="002C635B"/>
    <w:rsid w:val="002C7CFF"/>
    <w:rsid w:val="002D0BC6"/>
    <w:rsid w:val="002D17C5"/>
    <w:rsid w:val="002D365F"/>
    <w:rsid w:val="002D50EC"/>
    <w:rsid w:val="002D7C86"/>
    <w:rsid w:val="002E0692"/>
    <w:rsid w:val="002E086E"/>
    <w:rsid w:val="002E1D74"/>
    <w:rsid w:val="002E2943"/>
    <w:rsid w:val="002E2CF1"/>
    <w:rsid w:val="002E34AF"/>
    <w:rsid w:val="002E4AAC"/>
    <w:rsid w:val="002E53DE"/>
    <w:rsid w:val="002E563B"/>
    <w:rsid w:val="002E5B06"/>
    <w:rsid w:val="002E62D2"/>
    <w:rsid w:val="002E74AF"/>
    <w:rsid w:val="002E758C"/>
    <w:rsid w:val="002F1038"/>
    <w:rsid w:val="002F115E"/>
    <w:rsid w:val="002F22FF"/>
    <w:rsid w:val="002F2D8F"/>
    <w:rsid w:val="002F383F"/>
    <w:rsid w:val="002F695B"/>
    <w:rsid w:val="002F72DA"/>
    <w:rsid w:val="002F76B1"/>
    <w:rsid w:val="002F7D66"/>
    <w:rsid w:val="002F7DBE"/>
    <w:rsid w:val="0030090B"/>
    <w:rsid w:val="0030205B"/>
    <w:rsid w:val="00302AE8"/>
    <w:rsid w:val="00302BB1"/>
    <w:rsid w:val="0030404B"/>
    <w:rsid w:val="00304210"/>
    <w:rsid w:val="003048D7"/>
    <w:rsid w:val="00304A1B"/>
    <w:rsid w:val="00304AD2"/>
    <w:rsid w:val="00304D03"/>
    <w:rsid w:val="003062E6"/>
    <w:rsid w:val="003068B6"/>
    <w:rsid w:val="003071F6"/>
    <w:rsid w:val="00307FE0"/>
    <w:rsid w:val="00311629"/>
    <w:rsid w:val="00311C08"/>
    <w:rsid w:val="00312ECE"/>
    <w:rsid w:val="0031393C"/>
    <w:rsid w:val="00313CB0"/>
    <w:rsid w:val="00313F96"/>
    <w:rsid w:val="003150CE"/>
    <w:rsid w:val="00315AAB"/>
    <w:rsid w:val="00315F80"/>
    <w:rsid w:val="00316161"/>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6DB"/>
    <w:rsid w:val="00332B55"/>
    <w:rsid w:val="003353BC"/>
    <w:rsid w:val="00335EA8"/>
    <w:rsid w:val="003363DD"/>
    <w:rsid w:val="00340361"/>
    <w:rsid w:val="00340795"/>
    <w:rsid w:val="0034111C"/>
    <w:rsid w:val="00341E60"/>
    <w:rsid w:val="0034217F"/>
    <w:rsid w:val="00342920"/>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150"/>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3FB8"/>
    <w:rsid w:val="0038412E"/>
    <w:rsid w:val="00386053"/>
    <w:rsid w:val="0038771D"/>
    <w:rsid w:val="003879FD"/>
    <w:rsid w:val="003902EC"/>
    <w:rsid w:val="00392491"/>
    <w:rsid w:val="00393E44"/>
    <w:rsid w:val="003965D3"/>
    <w:rsid w:val="0039747B"/>
    <w:rsid w:val="00397AB6"/>
    <w:rsid w:val="00397ACA"/>
    <w:rsid w:val="003A10C3"/>
    <w:rsid w:val="003A1AFA"/>
    <w:rsid w:val="003A4A40"/>
    <w:rsid w:val="003A597F"/>
    <w:rsid w:val="003A71A8"/>
    <w:rsid w:val="003B00CA"/>
    <w:rsid w:val="003B030B"/>
    <w:rsid w:val="003B0432"/>
    <w:rsid w:val="003B0821"/>
    <w:rsid w:val="003B0BE9"/>
    <w:rsid w:val="003B2E9B"/>
    <w:rsid w:val="003B2F8D"/>
    <w:rsid w:val="003B4FAA"/>
    <w:rsid w:val="003B547A"/>
    <w:rsid w:val="003B60BE"/>
    <w:rsid w:val="003B75B9"/>
    <w:rsid w:val="003C0DA2"/>
    <w:rsid w:val="003C1A18"/>
    <w:rsid w:val="003C4BB6"/>
    <w:rsid w:val="003C5C41"/>
    <w:rsid w:val="003C7461"/>
    <w:rsid w:val="003D0788"/>
    <w:rsid w:val="003D091B"/>
    <w:rsid w:val="003D132A"/>
    <w:rsid w:val="003D1517"/>
    <w:rsid w:val="003D1D50"/>
    <w:rsid w:val="003D232D"/>
    <w:rsid w:val="003D2938"/>
    <w:rsid w:val="003D3C8A"/>
    <w:rsid w:val="003D3FBA"/>
    <w:rsid w:val="003D402B"/>
    <w:rsid w:val="003D764F"/>
    <w:rsid w:val="003D793F"/>
    <w:rsid w:val="003E0667"/>
    <w:rsid w:val="003E0BCE"/>
    <w:rsid w:val="003E13E0"/>
    <w:rsid w:val="003E1660"/>
    <w:rsid w:val="003E1CD1"/>
    <w:rsid w:val="003E2A2D"/>
    <w:rsid w:val="003E64A9"/>
    <w:rsid w:val="003E7905"/>
    <w:rsid w:val="003F0336"/>
    <w:rsid w:val="003F5547"/>
    <w:rsid w:val="003F5C40"/>
    <w:rsid w:val="003F6E12"/>
    <w:rsid w:val="003F6F75"/>
    <w:rsid w:val="003F75ED"/>
    <w:rsid w:val="004002B7"/>
    <w:rsid w:val="00400F31"/>
    <w:rsid w:val="00406B4D"/>
    <w:rsid w:val="00412857"/>
    <w:rsid w:val="0041443C"/>
    <w:rsid w:val="0041488F"/>
    <w:rsid w:val="004154F7"/>
    <w:rsid w:val="00416D44"/>
    <w:rsid w:val="004176FF"/>
    <w:rsid w:val="00421A27"/>
    <w:rsid w:val="00421D0A"/>
    <w:rsid w:val="004241C5"/>
    <w:rsid w:val="00424FA7"/>
    <w:rsid w:val="00426A87"/>
    <w:rsid w:val="0042778E"/>
    <w:rsid w:val="004309D8"/>
    <w:rsid w:val="004313D1"/>
    <w:rsid w:val="00432110"/>
    <w:rsid w:val="00433EBE"/>
    <w:rsid w:val="00434406"/>
    <w:rsid w:val="00434D2B"/>
    <w:rsid w:val="00440FED"/>
    <w:rsid w:val="00441B92"/>
    <w:rsid w:val="0044474B"/>
    <w:rsid w:val="00445FF7"/>
    <w:rsid w:val="00446699"/>
    <w:rsid w:val="004508A8"/>
    <w:rsid w:val="00451FAB"/>
    <w:rsid w:val="00453341"/>
    <w:rsid w:val="004545C6"/>
    <w:rsid w:val="00454DCA"/>
    <w:rsid w:val="00456544"/>
    <w:rsid w:val="00456649"/>
    <w:rsid w:val="004567B7"/>
    <w:rsid w:val="00456856"/>
    <w:rsid w:val="004575CD"/>
    <w:rsid w:val="00460C67"/>
    <w:rsid w:val="00461210"/>
    <w:rsid w:val="00462490"/>
    <w:rsid w:val="00465299"/>
    <w:rsid w:val="004669DA"/>
    <w:rsid w:val="00466A0F"/>
    <w:rsid w:val="0046795B"/>
    <w:rsid w:val="004708C0"/>
    <w:rsid w:val="004715CB"/>
    <w:rsid w:val="00471863"/>
    <w:rsid w:val="00473A14"/>
    <w:rsid w:val="00474871"/>
    <w:rsid w:val="00474CA8"/>
    <w:rsid w:val="00474E43"/>
    <w:rsid w:val="00477A12"/>
    <w:rsid w:val="0048076D"/>
    <w:rsid w:val="00481765"/>
    <w:rsid w:val="00481D90"/>
    <w:rsid w:val="00482CD4"/>
    <w:rsid w:val="00483261"/>
    <w:rsid w:val="00485B23"/>
    <w:rsid w:val="004874E4"/>
    <w:rsid w:val="0049070D"/>
    <w:rsid w:val="00491AAC"/>
    <w:rsid w:val="00491BE4"/>
    <w:rsid w:val="00491DB2"/>
    <w:rsid w:val="00492877"/>
    <w:rsid w:val="00494E6F"/>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A798B"/>
    <w:rsid w:val="004B23AD"/>
    <w:rsid w:val="004B2965"/>
    <w:rsid w:val="004B4224"/>
    <w:rsid w:val="004B4647"/>
    <w:rsid w:val="004B7455"/>
    <w:rsid w:val="004B74FF"/>
    <w:rsid w:val="004B7CE4"/>
    <w:rsid w:val="004C0401"/>
    <w:rsid w:val="004C0C49"/>
    <w:rsid w:val="004C183D"/>
    <w:rsid w:val="004C1EBA"/>
    <w:rsid w:val="004C3EC7"/>
    <w:rsid w:val="004C3EEE"/>
    <w:rsid w:val="004C483D"/>
    <w:rsid w:val="004C6DA5"/>
    <w:rsid w:val="004C795A"/>
    <w:rsid w:val="004C7F93"/>
    <w:rsid w:val="004D26B8"/>
    <w:rsid w:val="004D2CA5"/>
    <w:rsid w:val="004D38C2"/>
    <w:rsid w:val="004D4FBD"/>
    <w:rsid w:val="004D4FC0"/>
    <w:rsid w:val="004D6381"/>
    <w:rsid w:val="004D7D83"/>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1BBF"/>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91D"/>
    <w:rsid w:val="00520D6D"/>
    <w:rsid w:val="00523760"/>
    <w:rsid w:val="00523E75"/>
    <w:rsid w:val="005243E0"/>
    <w:rsid w:val="00524ACD"/>
    <w:rsid w:val="005256F3"/>
    <w:rsid w:val="005265A3"/>
    <w:rsid w:val="00526783"/>
    <w:rsid w:val="00527FB1"/>
    <w:rsid w:val="0053162F"/>
    <w:rsid w:val="00531777"/>
    <w:rsid w:val="0053281C"/>
    <w:rsid w:val="0053357A"/>
    <w:rsid w:val="005340C9"/>
    <w:rsid w:val="00536930"/>
    <w:rsid w:val="00537491"/>
    <w:rsid w:val="005375FE"/>
    <w:rsid w:val="0054195A"/>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593F"/>
    <w:rsid w:val="00576CD1"/>
    <w:rsid w:val="00580793"/>
    <w:rsid w:val="00581470"/>
    <w:rsid w:val="00582087"/>
    <w:rsid w:val="005831DD"/>
    <w:rsid w:val="00583EE7"/>
    <w:rsid w:val="00584320"/>
    <w:rsid w:val="00585484"/>
    <w:rsid w:val="00587229"/>
    <w:rsid w:val="00587503"/>
    <w:rsid w:val="00587F7F"/>
    <w:rsid w:val="00590E8D"/>
    <w:rsid w:val="00591511"/>
    <w:rsid w:val="0059331A"/>
    <w:rsid w:val="00596BBA"/>
    <w:rsid w:val="005971FE"/>
    <w:rsid w:val="005975C4"/>
    <w:rsid w:val="00597A41"/>
    <w:rsid w:val="00597ED8"/>
    <w:rsid w:val="005A34D5"/>
    <w:rsid w:val="005A4904"/>
    <w:rsid w:val="005A515A"/>
    <w:rsid w:val="005A704D"/>
    <w:rsid w:val="005B0B63"/>
    <w:rsid w:val="005B3C6B"/>
    <w:rsid w:val="005B3C6D"/>
    <w:rsid w:val="005B4045"/>
    <w:rsid w:val="005B56D2"/>
    <w:rsid w:val="005B609E"/>
    <w:rsid w:val="005B6DF6"/>
    <w:rsid w:val="005B7B7D"/>
    <w:rsid w:val="005C1948"/>
    <w:rsid w:val="005C22F9"/>
    <w:rsid w:val="005C263C"/>
    <w:rsid w:val="005C2679"/>
    <w:rsid w:val="005C3D44"/>
    <w:rsid w:val="005D059A"/>
    <w:rsid w:val="005D07C5"/>
    <w:rsid w:val="005D1B39"/>
    <w:rsid w:val="005D21B7"/>
    <w:rsid w:val="005D2967"/>
    <w:rsid w:val="005D4302"/>
    <w:rsid w:val="005D5A20"/>
    <w:rsid w:val="005D786C"/>
    <w:rsid w:val="005E00E5"/>
    <w:rsid w:val="005E049F"/>
    <w:rsid w:val="005E2A9F"/>
    <w:rsid w:val="005E3073"/>
    <w:rsid w:val="005E316A"/>
    <w:rsid w:val="005E662D"/>
    <w:rsid w:val="005F0108"/>
    <w:rsid w:val="005F0ECC"/>
    <w:rsid w:val="005F21A5"/>
    <w:rsid w:val="005F2470"/>
    <w:rsid w:val="005F28C6"/>
    <w:rsid w:val="005F3F16"/>
    <w:rsid w:val="005F4614"/>
    <w:rsid w:val="005F52CC"/>
    <w:rsid w:val="005F5E6F"/>
    <w:rsid w:val="005F6BD4"/>
    <w:rsid w:val="005F7188"/>
    <w:rsid w:val="005F7726"/>
    <w:rsid w:val="005F7985"/>
    <w:rsid w:val="00600C54"/>
    <w:rsid w:val="00600CEB"/>
    <w:rsid w:val="00602A78"/>
    <w:rsid w:val="00602A84"/>
    <w:rsid w:val="00602AA1"/>
    <w:rsid w:val="00604367"/>
    <w:rsid w:val="006044BE"/>
    <w:rsid w:val="0060475F"/>
    <w:rsid w:val="006060C2"/>
    <w:rsid w:val="00606A26"/>
    <w:rsid w:val="00607243"/>
    <w:rsid w:val="00607D81"/>
    <w:rsid w:val="00610747"/>
    <w:rsid w:val="00610E03"/>
    <w:rsid w:val="0061176E"/>
    <w:rsid w:val="00613D15"/>
    <w:rsid w:val="00614CD1"/>
    <w:rsid w:val="0061567B"/>
    <w:rsid w:val="0062152A"/>
    <w:rsid w:val="00623583"/>
    <w:rsid w:val="00623E2A"/>
    <w:rsid w:val="0062462F"/>
    <w:rsid w:val="00624BA1"/>
    <w:rsid w:val="00625A4E"/>
    <w:rsid w:val="0062661B"/>
    <w:rsid w:val="006268BF"/>
    <w:rsid w:val="006277C3"/>
    <w:rsid w:val="00630118"/>
    <w:rsid w:val="00630514"/>
    <w:rsid w:val="006310AE"/>
    <w:rsid w:val="00631762"/>
    <w:rsid w:val="00632196"/>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4F2B"/>
    <w:rsid w:val="00665B41"/>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1D4B"/>
    <w:rsid w:val="00692814"/>
    <w:rsid w:val="006932E7"/>
    <w:rsid w:val="00693347"/>
    <w:rsid w:val="0069334C"/>
    <w:rsid w:val="00696D63"/>
    <w:rsid w:val="006A032F"/>
    <w:rsid w:val="006A146E"/>
    <w:rsid w:val="006A23DD"/>
    <w:rsid w:val="006A41AE"/>
    <w:rsid w:val="006A4856"/>
    <w:rsid w:val="006A564B"/>
    <w:rsid w:val="006B1545"/>
    <w:rsid w:val="006B2DA7"/>
    <w:rsid w:val="006B2F4D"/>
    <w:rsid w:val="006B3682"/>
    <w:rsid w:val="006B385F"/>
    <w:rsid w:val="006B48CB"/>
    <w:rsid w:val="006C0F68"/>
    <w:rsid w:val="006C1445"/>
    <w:rsid w:val="006C4FC1"/>
    <w:rsid w:val="006C51A5"/>
    <w:rsid w:val="006C529D"/>
    <w:rsid w:val="006C6A19"/>
    <w:rsid w:val="006D0C12"/>
    <w:rsid w:val="006D0E6B"/>
    <w:rsid w:val="006D2146"/>
    <w:rsid w:val="006D632E"/>
    <w:rsid w:val="006E094A"/>
    <w:rsid w:val="006E12B1"/>
    <w:rsid w:val="006E13D1"/>
    <w:rsid w:val="006E2132"/>
    <w:rsid w:val="006E4D0C"/>
    <w:rsid w:val="006E4D1B"/>
    <w:rsid w:val="006E5B78"/>
    <w:rsid w:val="006E6BA3"/>
    <w:rsid w:val="006F1116"/>
    <w:rsid w:val="006F3196"/>
    <w:rsid w:val="006F3C54"/>
    <w:rsid w:val="006F522E"/>
    <w:rsid w:val="006F5E64"/>
    <w:rsid w:val="006F60DE"/>
    <w:rsid w:val="006F65FB"/>
    <w:rsid w:val="006F7914"/>
    <w:rsid w:val="006F7E46"/>
    <w:rsid w:val="006F7EE0"/>
    <w:rsid w:val="0070081A"/>
    <w:rsid w:val="00700AB4"/>
    <w:rsid w:val="00700FCA"/>
    <w:rsid w:val="00701645"/>
    <w:rsid w:val="00702D5A"/>
    <w:rsid w:val="00702EF7"/>
    <w:rsid w:val="00703989"/>
    <w:rsid w:val="007042E9"/>
    <w:rsid w:val="00710039"/>
    <w:rsid w:val="0071118B"/>
    <w:rsid w:val="00711E13"/>
    <w:rsid w:val="00712EDA"/>
    <w:rsid w:val="007136D0"/>
    <w:rsid w:val="007155A9"/>
    <w:rsid w:val="007158E1"/>
    <w:rsid w:val="0071705B"/>
    <w:rsid w:val="00720505"/>
    <w:rsid w:val="00721406"/>
    <w:rsid w:val="007236A3"/>
    <w:rsid w:val="007239B6"/>
    <w:rsid w:val="00724005"/>
    <w:rsid w:val="0072490A"/>
    <w:rsid w:val="0072517D"/>
    <w:rsid w:val="00725F2F"/>
    <w:rsid w:val="00726878"/>
    <w:rsid w:val="00730B60"/>
    <w:rsid w:val="0073124A"/>
    <w:rsid w:val="00731B79"/>
    <w:rsid w:val="00733893"/>
    <w:rsid w:val="00734A05"/>
    <w:rsid w:val="00735C6F"/>
    <w:rsid w:val="00742A6A"/>
    <w:rsid w:val="00742B44"/>
    <w:rsid w:val="007472D5"/>
    <w:rsid w:val="00753BB5"/>
    <w:rsid w:val="00756832"/>
    <w:rsid w:val="0076017B"/>
    <w:rsid w:val="00760BE0"/>
    <w:rsid w:val="00761FF1"/>
    <w:rsid w:val="007626D0"/>
    <w:rsid w:val="00764C0B"/>
    <w:rsid w:val="007651CA"/>
    <w:rsid w:val="00767519"/>
    <w:rsid w:val="007704E1"/>
    <w:rsid w:val="00770E5C"/>
    <w:rsid w:val="00771322"/>
    <w:rsid w:val="00772569"/>
    <w:rsid w:val="00772E8C"/>
    <w:rsid w:val="007736D3"/>
    <w:rsid w:val="0077500F"/>
    <w:rsid w:val="0077536D"/>
    <w:rsid w:val="0077548E"/>
    <w:rsid w:val="00777315"/>
    <w:rsid w:val="007802E4"/>
    <w:rsid w:val="007808BE"/>
    <w:rsid w:val="00780919"/>
    <w:rsid w:val="00780C72"/>
    <w:rsid w:val="007826C8"/>
    <w:rsid w:val="00784190"/>
    <w:rsid w:val="0078457B"/>
    <w:rsid w:val="00784756"/>
    <w:rsid w:val="0078539D"/>
    <w:rsid w:val="007856C1"/>
    <w:rsid w:val="00787051"/>
    <w:rsid w:val="00787402"/>
    <w:rsid w:val="00787E67"/>
    <w:rsid w:val="0079018D"/>
    <w:rsid w:val="00791A00"/>
    <w:rsid w:val="00792CEE"/>
    <w:rsid w:val="007962B4"/>
    <w:rsid w:val="00796F15"/>
    <w:rsid w:val="007A138F"/>
    <w:rsid w:val="007A1640"/>
    <w:rsid w:val="007A1AE4"/>
    <w:rsid w:val="007A257A"/>
    <w:rsid w:val="007A2617"/>
    <w:rsid w:val="007A2ED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C6D69"/>
    <w:rsid w:val="007D05B2"/>
    <w:rsid w:val="007D0C44"/>
    <w:rsid w:val="007D1972"/>
    <w:rsid w:val="007D1F33"/>
    <w:rsid w:val="007D3307"/>
    <w:rsid w:val="007D5E27"/>
    <w:rsid w:val="007D6F64"/>
    <w:rsid w:val="007E22C0"/>
    <w:rsid w:val="007E25AB"/>
    <w:rsid w:val="007E4223"/>
    <w:rsid w:val="007E5AC2"/>
    <w:rsid w:val="007E79C5"/>
    <w:rsid w:val="007F2845"/>
    <w:rsid w:val="007F43BC"/>
    <w:rsid w:val="007F4740"/>
    <w:rsid w:val="007F70D0"/>
    <w:rsid w:val="008006C6"/>
    <w:rsid w:val="00800C52"/>
    <w:rsid w:val="0080153E"/>
    <w:rsid w:val="0080329D"/>
    <w:rsid w:val="0080439F"/>
    <w:rsid w:val="00804623"/>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3C94"/>
    <w:rsid w:val="00834358"/>
    <w:rsid w:val="008346BD"/>
    <w:rsid w:val="00834923"/>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558D"/>
    <w:rsid w:val="00867651"/>
    <w:rsid w:val="008743F3"/>
    <w:rsid w:val="0087444A"/>
    <w:rsid w:val="00875139"/>
    <w:rsid w:val="00875410"/>
    <w:rsid w:val="00876052"/>
    <w:rsid w:val="0087756B"/>
    <w:rsid w:val="00877F23"/>
    <w:rsid w:val="00880EDF"/>
    <w:rsid w:val="00882DE6"/>
    <w:rsid w:val="00883D4D"/>
    <w:rsid w:val="00884B59"/>
    <w:rsid w:val="008850BA"/>
    <w:rsid w:val="00885876"/>
    <w:rsid w:val="00886185"/>
    <w:rsid w:val="008861D9"/>
    <w:rsid w:val="0088638C"/>
    <w:rsid w:val="00886EDF"/>
    <w:rsid w:val="008908E5"/>
    <w:rsid w:val="00891216"/>
    <w:rsid w:val="00893FFC"/>
    <w:rsid w:val="00894FDC"/>
    <w:rsid w:val="0089716F"/>
    <w:rsid w:val="008A16F9"/>
    <w:rsid w:val="008A1D3E"/>
    <w:rsid w:val="008A2431"/>
    <w:rsid w:val="008A4B16"/>
    <w:rsid w:val="008A4D63"/>
    <w:rsid w:val="008A5939"/>
    <w:rsid w:val="008A6D62"/>
    <w:rsid w:val="008B13E9"/>
    <w:rsid w:val="008B3B51"/>
    <w:rsid w:val="008B4057"/>
    <w:rsid w:val="008B4145"/>
    <w:rsid w:val="008B5290"/>
    <w:rsid w:val="008C07FF"/>
    <w:rsid w:val="008C2CFD"/>
    <w:rsid w:val="008C3F56"/>
    <w:rsid w:val="008C5D47"/>
    <w:rsid w:val="008C603A"/>
    <w:rsid w:val="008C71C8"/>
    <w:rsid w:val="008D167D"/>
    <w:rsid w:val="008D492A"/>
    <w:rsid w:val="008D4B58"/>
    <w:rsid w:val="008D4B8A"/>
    <w:rsid w:val="008D51CF"/>
    <w:rsid w:val="008D6541"/>
    <w:rsid w:val="008D7D7B"/>
    <w:rsid w:val="008E0F52"/>
    <w:rsid w:val="008E2316"/>
    <w:rsid w:val="008E34BE"/>
    <w:rsid w:val="008E42CE"/>
    <w:rsid w:val="008E42F4"/>
    <w:rsid w:val="008E5657"/>
    <w:rsid w:val="008E5E51"/>
    <w:rsid w:val="008F00DB"/>
    <w:rsid w:val="008F1264"/>
    <w:rsid w:val="008F1F9B"/>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376C2"/>
    <w:rsid w:val="009411FB"/>
    <w:rsid w:val="009412D0"/>
    <w:rsid w:val="009414A9"/>
    <w:rsid w:val="00941B71"/>
    <w:rsid w:val="00941DF9"/>
    <w:rsid w:val="009421AD"/>
    <w:rsid w:val="0094221C"/>
    <w:rsid w:val="00943648"/>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CF9"/>
    <w:rsid w:val="00987416"/>
    <w:rsid w:val="00990C0E"/>
    <w:rsid w:val="00990D75"/>
    <w:rsid w:val="00991093"/>
    <w:rsid w:val="0099163B"/>
    <w:rsid w:val="009917A4"/>
    <w:rsid w:val="00992343"/>
    <w:rsid w:val="00996306"/>
    <w:rsid w:val="00996744"/>
    <w:rsid w:val="00997CF4"/>
    <w:rsid w:val="009A0C5B"/>
    <w:rsid w:val="009A1169"/>
    <w:rsid w:val="009A1AAC"/>
    <w:rsid w:val="009A3789"/>
    <w:rsid w:val="009A38FF"/>
    <w:rsid w:val="009A42FE"/>
    <w:rsid w:val="009A45A2"/>
    <w:rsid w:val="009A6919"/>
    <w:rsid w:val="009A6AC7"/>
    <w:rsid w:val="009B0408"/>
    <w:rsid w:val="009B0843"/>
    <w:rsid w:val="009B1E47"/>
    <w:rsid w:val="009B2CED"/>
    <w:rsid w:val="009B335D"/>
    <w:rsid w:val="009B7A72"/>
    <w:rsid w:val="009B7BB8"/>
    <w:rsid w:val="009C0F3D"/>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6F6C"/>
    <w:rsid w:val="009D79F4"/>
    <w:rsid w:val="009E3CD1"/>
    <w:rsid w:val="009E5AF5"/>
    <w:rsid w:val="009E5EB5"/>
    <w:rsid w:val="009E74F0"/>
    <w:rsid w:val="009F0768"/>
    <w:rsid w:val="009F7867"/>
    <w:rsid w:val="009F7D66"/>
    <w:rsid w:val="00A00BD2"/>
    <w:rsid w:val="00A00E56"/>
    <w:rsid w:val="00A027F3"/>
    <w:rsid w:val="00A03978"/>
    <w:rsid w:val="00A04D7E"/>
    <w:rsid w:val="00A051D9"/>
    <w:rsid w:val="00A0541F"/>
    <w:rsid w:val="00A05DF3"/>
    <w:rsid w:val="00A07E08"/>
    <w:rsid w:val="00A10AD8"/>
    <w:rsid w:val="00A1175C"/>
    <w:rsid w:val="00A12798"/>
    <w:rsid w:val="00A153BE"/>
    <w:rsid w:val="00A15DEE"/>
    <w:rsid w:val="00A167B5"/>
    <w:rsid w:val="00A16DBE"/>
    <w:rsid w:val="00A17C4F"/>
    <w:rsid w:val="00A20653"/>
    <w:rsid w:val="00A20A39"/>
    <w:rsid w:val="00A238BD"/>
    <w:rsid w:val="00A243E4"/>
    <w:rsid w:val="00A2459D"/>
    <w:rsid w:val="00A24E23"/>
    <w:rsid w:val="00A25F05"/>
    <w:rsid w:val="00A26C85"/>
    <w:rsid w:val="00A30B2D"/>
    <w:rsid w:val="00A311AE"/>
    <w:rsid w:val="00A312A6"/>
    <w:rsid w:val="00A3130E"/>
    <w:rsid w:val="00A324CF"/>
    <w:rsid w:val="00A32E8B"/>
    <w:rsid w:val="00A32ED6"/>
    <w:rsid w:val="00A344A5"/>
    <w:rsid w:val="00A346C3"/>
    <w:rsid w:val="00A42D07"/>
    <w:rsid w:val="00A44F6B"/>
    <w:rsid w:val="00A4503E"/>
    <w:rsid w:val="00A450C0"/>
    <w:rsid w:val="00A45468"/>
    <w:rsid w:val="00A4791B"/>
    <w:rsid w:val="00A50A48"/>
    <w:rsid w:val="00A51242"/>
    <w:rsid w:val="00A51522"/>
    <w:rsid w:val="00A51573"/>
    <w:rsid w:val="00A51A5E"/>
    <w:rsid w:val="00A52895"/>
    <w:rsid w:val="00A52B95"/>
    <w:rsid w:val="00A53560"/>
    <w:rsid w:val="00A53DA0"/>
    <w:rsid w:val="00A5404D"/>
    <w:rsid w:val="00A5765D"/>
    <w:rsid w:val="00A6001F"/>
    <w:rsid w:val="00A607CB"/>
    <w:rsid w:val="00A6351F"/>
    <w:rsid w:val="00A640C1"/>
    <w:rsid w:val="00A64547"/>
    <w:rsid w:val="00A65A70"/>
    <w:rsid w:val="00A66F36"/>
    <w:rsid w:val="00A676D9"/>
    <w:rsid w:val="00A67EFC"/>
    <w:rsid w:val="00A7031E"/>
    <w:rsid w:val="00A71140"/>
    <w:rsid w:val="00A73C8F"/>
    <w:rsid w:val="00A74692"/>
    <w:rsid w:val="00A7616D"/>
    <w:rsid w:val="00A7618B"/>
    <w:rsid w:val="00A7640B"/>
    <w:rsid w:val="00A7778B"/>
    <w:rsid w:val="00A803BC"/>
    <w:rsid w:val="00A80969"/>
    <w:rsid w:val="00A86EA7"/>
    <w:rsid w:val="00A901DA"/>
    <w:rsid w:val="00A9071C"/>
    <w:rsid w:val="00A91244"/>
    <w:rsid w:val="00A92776"/>
    <w:rsid w:val="00A93181"/>
    <w:rsid w:val="00A938E6"/>
    <w:rsid w:val="00A93CCF"/>
    <w:rsid w:val="00A95BD5"/>
    <w:rsid w:val="00A96F78"/>
    <w:rsid w:val="00AA0B9E"/>
    <w:rsid w:val="00AA1087"/>
    <w:rsid w:val="00AA25A9"/>
    <w:rsid w:val="00AA26D9"/>
    <w:rsid w:val="00AA3C8C"/>
    <w:rsid w:val="00AA4605"/>
    <w:rsid w:val="00AA4672"/>
    <w:rsid w:val="00AA51AD"/>
    <w:rsid w:val="00AA591E"/>
    <w:rsid w:val="00AA65C9"/>
    <w:rsid w:val="00AA7CEE"/>
    <w:rsid w:val="00AB0872"/>
    <w:rsid w:val="00AB0A32"/>
    <w:rsid w:val="00AB0E56"/>
    <w:rsid w:val="00AB16D3"/>
    <w:rsid w:val="00AB2AD8"/>
    <w:rsid w:val="00AB33C3"/>
    <w:rsid w:val="00AB3A15"/>
    <w:rsid w:val="00AB4ECC"/>
    <w:rsid w:val="00AB53B7"/>
    <w:rsid w:val="00AB6601"/>
    <w:rsid w:val="00AB674E"/>
    <w:rsid w:val="00AB6D79"/>
    <w:rsid w:val="00AB7806"/>
    <w:rsid w:val="00AC02C1"/>
    <w:rsid w:val="00AC0AB6"/>
    <w:rsid w:val="00AC10AD"/>
    <w:rsid w:val="00AC1E55"/>
    <w:rsid w:val="00AC3D06"/>
    <w:rsid w:val="00AC429F"/>
    <w:rsid w:val="00AC4B65"/>
    <w:rsid w:val="00AC535E"/>
    <w:rsid w:val="00AC60B4"/>
    <w:rsid w:val="00AD00C5"/>
    <w:rsid w:val="00AD165F"/>
    <w:rsid w:val="00AD2794"/>
    <w:rsid w:val="00AD2DC5"/>
    <w:rsid w:val="00AD3455"/>
    <w:rsid w:val="00AD3CAD"/>
    <w:rsid w:val="00AD3DAD"/>
    <w:rsid w:val="00AD57CD"/>
    <w:rsid w:val="00AD69FF"/>
    <w:rsid w:val="00AD702B"/>
    <w:rsid w:val="00AD711C"/>
    <w:rsid w:val="00AD72E6"/>
    <w:rsid w:val="00AD7C95"/>
    <w:rsid w:val="00AE02C3"/>
    <w:rsid w:val="00AE3DE1"/>
    <w:rsid w:val="00AE78D1"/>
    <w:rsid w:val="00AF2D54"/>
    <w:rsid w:val="00AF3458"/>
    <w:rsid w:val="00AF3F7B"/>
    <w:rsid w:val="00AF42B4"/>
    <w:rsid w:val="00AF4B8A"/>
    <w:rsid w:val="00AF4F1B"/>
    <w:rsid w:val="00AF5EC6"/>
    <w:rsid w:val="00AF6257"/>
    <w:rsid w:val="00AF6E8A"/>
    <w:rsid w:val="00AF7213"/>
    <w:rsid w:val="00AF7D92"/>
    <w:rsid w:val="00B011CC"/>
    <w:rsid w:val="00B04048"/>
    <w:rsid w:val="00B04F3D"/>
    <w:rsid w:val="00B05702"/>
    <w:rsid w:val="00B06DD9"/>
    <w:rsid w:val="00B07220"/>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25A0"/>
    <w:rsid w:val="00B326A8"/>
    <w:rsid w:val="00B329EB"/>
    <w:rsid w:val="00B33508"/>
    <w:rsid w:val="00B3377E"/>
    <w:rsid w:val="00B35DA4"/>
    <w:rsid w:val="00B40A96"/>
    <w:rsid w:val="00B4184B"/>
    <w:rsid w:val="00B422A7"/>
    <w:rsid w:val="00B42A32"/>
    <w:rsid w:val="00B42FA6"/>
    <w:rsid w:val="00B4399E"/>
    <w:rsid w:val="00B43A16"/>
    <w:rsid w:val="00B43CC5"/>
    <w:rsid w:val="00B45CE1"/>
    <w:rsid w:val="00B46A75"/>
    <w:rsid w:val="00B500CD"/>
    <w:rsid w:val="00B5239C"/>
    <w:rsid w:val="00B52CFB"/>
    <w:rsid w:val="00B53893"/>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1826"/>
    <w:rsid w:val="00B82613"/>
    <w:rsid w:val="00B828B5"/>
    <w:rsid w:val="00B82ED8"/>
    <w:rsid w:val="00B845D0"/>
    <w:rsid w:val="00B8489C"/>
    <w:rsid w:val="00B84E9C"/>
    <w:rsid w:val="00B85522"/>
    <w:rsid w:val="00B8774F"/>
    <w:rsid w:val="00B90E2A"/>
    <w:rsid w:val="00B90F2A"/>
    <w:rsid w:val="00B9198D"/>
    <w:rsid w:val="00B93008"/>
    <w:rsid w:val="00B9406D"/>
    <w:rsid w:val="00B94BA7"/>
    <w:rsid w:val="00B94E0E"/>
    <w:rsid w:val="00B97CA3"/>
    <w:rsid w:val="00BA1ADE"/>
    <w:rsid w:val="00BA4A54"/>
    <w:rsid w:val="00BA76A9"/>
    <w:rsid w:val="00BB3E2B"/>
    <w:rsid w:val="00BB5D1C"/>
    <w:rsid w:val="00BB61E6"/>
    <w:rsid w:val="00BB6552"/>
    <w:rsid w:val="00BB6B9B"/>
    <w:rsid w:val="00BB754F"/>
    <w:rsid w:val="00BC07D4"/>
    <w:rsid w:val="00BC0A5D"/>
    <w:rsid w:val="00BC0BE3"/>
    <w:rsid w:val="00BC1AD9"/>
    <w:rsid w:val="00BC32E7"/>
    <w:rsid w:val="00BC58B9"/>
    <w:rsid w:val="00BC6C49"/>
    <w:rsid w:val="00BD27A3"/>
    <w:rsid w:val="00BD3E68"/>
    <w:rsid w:val="00BD4EE6"/>
    <w:rsid w:val="00BD598A"/>
    <w:rsid w:val="00BD6BC4"/>
    <w:rsid w:val="00BD741B"/>
    <w:rsid w:val="00BD75B4"/>
    <w:rsid w:val="00BD7D14"/>
    <w:rsid w:val="00BE02B4"/>
    <w:rsid w:val="00BE4EC9"/>
    <w:rsid w:val="00BE631E"/>
    <w:rsid w:val="00BE7FB4"/>
    <w:rsid w:val="00BF0CCF"/>
    <w:rsid w:val="00BF0FC5"/>
    <w:rsid w:val="00BF10BC"/>
    <w:rsid w:val="00BF21AC"/>
    <w:rsid w:val="00BF2E53"/>
    <w:rsid w:val="00BF3669"/>
    <w:rsid w:val="00BF3C0D"/>
    <w:rsid w:val="00BF4007"/>
    <w:rsid w:val="00BF711C"/>
    <w:rsid w:val="00BF748E"/>
    <w:rsid w:val="00BF789B"/>
    <w:rsid w:val="00C03309"/>
    <w:rsid w:val="00C0360A"/>
    <w:rsid w:val="00C041CF"/>
    <w:rsid w:val="00C072FE"/>
    <w:rsid w:val="00C12E39"/>
    <w:rsid w:val="00C14164"/>
    <w:rsid w:val="00C15D8E"/>
    <w:rsid w:val="00C17012"/>
    <w:rsid w:val="00C178FB"/>
    <w:rsid w:val="00C21BD7"/>
    <w:rsid w:val="00C22B28"/>
    <w:rsid w:val="00C257B7"/>
    <w:rsid w:val="00C27115"/>
    <w:rsid w:val="00C272E8"/>
    <w:rsid w:val="00C2754B"/>
    <w:rsid w:val="00C33359"/>
    <w:rsid w:val="00C33830"/>
    <w:rsid w:val="00C339EA"/>
    <w:rsid w:val="00C348D6"/>
    <w:rsid w:val="00C365E7"/>
    <w:rsid w:val="00C36E34"/>
    <w:rsid w:val="00C404EE"/>
    <w:rsid w:val="00C4171B"/>
    <w:rsid w:val="00C42689"/>
    <w:rsid w:val="00C42988"/>
    <w:rsid w:val="00C42BD4"/>
    <w:rsid w:val="00C42FB2"/>
    <w:rsid w:val="00C43FF0"/>
    <w:rsid w:val="00C44641"/>
    <w:rsid w:val="00C45EF5"/>
    <w:rsid w:val="00C4604F"/>
    <w:rsid w:val="00C46B7E"/>
    <w:rsid w:val="00C50A4E"/>
    <w:rsid w:val="00C520B1"/>
    <w:rsid w:val="00C522D6"/>
    <w:rsid w:val="00C52C52"/>
    <w:rsid w:val="00C52D38"/>
    <w:rsid w:val="00C53E39"/>
    <w:rsid w:val="00C54020"/>
    <w:rsid w:val="00C5406F"/>
    <w:rsid w:val="00C545C5"/>
    <w:rsid w:val="00C54F35"/>
    <w:rsid w:val="00C55566"/>
    <w:rsid w:val="00C57A01"/>
    <w:rsid w:val="00C61D4B"/>
    <w:rsid w:val="00C62B0A"/>
    <w:rsid w:val="00C63F08"/>
    <w:rsid w:val="00C6528C"/>
    <w:rsid w:val="00C661E8"/>
    <w:rsid w:val="00C70084"/>
    <w:rsid w:val="00C72162"/>
    <w:rsid w:val="00C7235B"/>
    <w:rsid w:val="00C72E18"/>
    <w:rsid w:val="00C731AD"/>
    <w:rsid w:val="00C7380B"/>
    <w:rsid w:val="00C74421"/>
    <w:rsid w:val="00C75F2F"/>
    <w:rsid w:val="00C75FEE"/>
    <w:rsid w:val="00C76538"/>
    <w:rsid w:val="00C76F1D"/>
    <w:rsid w:val="00C773A9"/>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3B39"/>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5F0"/>
    <w:rsid w:val="00CD078F"/>
    <w:rsid w:val="00CD121E"/>
    <w:rsid w:val="00CD28F0"/>
    <w:rsid w:val="00CD3ED8"/>
    <w:rsid w:val="00CD761D"/>
    <w:rsid w:val="00CD76B5"/>
    <w:rsid w:val="00CE2346"/>
    <w:rsid w:val="00CE6F0F"/>
    <w:rsid w:val="00CE724E"/>
    <w:rsid w:val="00CF002F"/>
    <w:rsid w:val="00CF0246"/>
    <w:rsid w:val="00CF0B1C"/>
    <w:rsid w:val="00CF2483"/>
    <w:rsid w:val="00CF24E2"/>
    <w:rsid w:val="00CF3594"/>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074AB"/>
    <w:rsid w:val="00D12325"/>
    <w:rsid w:val="00D14487"/>
    <w:rsid w:val="00D15E7E"/>
    <w:rsid w:val="00D20016"/>
    <w:rsid w:val="00D207A7"/>
    <w:rsid w:val="00D2081E"/>
    <w:rsid w:val="00D2279F"/>
    <w:rsid w:val="00D22AF1"/>
    <w:rsid w:val="00D22E93"/>
    <w:rsid w:val="00D242DA"/>
    <w:rsid w:val="00D247EC"/>
    <w:rsid w:val="00D2614B"/>
    <w:rsid w:val="00D26448"/>
    <w:rsid w:val="00D264CE"/>
    <w:rsid w:val="00D26670"/>
    <w:rsid w:val="00D27530"/>
    <w:rsid w:val="00D27B8B"/>
    <w:rsid w:val="00D31B6E"/>
    <w:rsid w:val="00D3232B"/>
    <w:rsid w:val="00D3239F"/>
    <w:rsid w:val="00D324A4"/>
    <w:rsid w:val="00D3250C"/>
    <w:rsid w:val="00D328F6"/>
    <w:rsid w:val="00D3462C"/>
    <w:rsid w:val="00D35198"/>
    <w:rsid w:val="00D3584B"/>
    <w:rsid w:val="00D361D4"/>
    <w:rsid w:val="00D37E1F"/>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6F96"/>
    <w:rsid w:val="00D77413"/>
    <w:rsid w:val="00D81F10"/>
    <w:rsid w:val="00D84A57"/>
    <w:rsid w:val="00D86159"/>
    <w:rsid w:val="00D874DF"/>
    <w:rsid w:val="00D87A12"/>
    <w:rsid w:val="00D90408"/>
    <w:rsid w:val="00D930E1"/>
    <w:rsid w:val="00D9415C"/>
    <w:rsid w:val="00D942CC"/>
    <w:rsid w:val="00D94D87"/>
    <w:rsid w:val="00D9620A"/>
    <w:rsid w:val="00D962DC"/>
    <w:rsid w:val="00DA180C"/>
    <w:rsid w:val="00DA30D2"/>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58EC"/>
    <w:rsid w:val="00DC659C"/>
    <w:rsid w:val="00DC6C1E"/>
    <w:rsid w:val="00DC7951"/>
    <w:rsid w:val="00DD1C4B"/>
    <w:rsid w:val="00DD1F7B"/>
    <w:rsid w:val="00DD229E"/>
    <w:rsid w:val="00DD3029"/>
    <w:rsid w:val="00DD55E0"/>
    <w:rsid w:val="00DD7C14"/>
    <w:rsid w:val="00DE1904"/>
    <w:rsid w:val="00DE3DBB"/>
    <w:rsid w:val="00DE43A2"/>
    <w:rsid w:val="00DE4A74"/>
    <w:rsid w:val="00DE4B05"/>
    <w:rsid w:val="00DE541C"/>
    <w:rsid w:val="00DE59F1"/>
    <w:rsid w:val="00DE737B"/>
    <w:rsid w:val="00DE737F"/>
    <w:rsid w:val="00DF100B"/>
    <w:rsid w:val="00DF4359"/>
    <w:rsid w:val="00DF73C1"/>
    <w:rsid w:val="00DF7751"/>
    <w:rsid w:val="00E031BB"/>
    <w:rsid w:val="00E0576C"/>
    <w:rsid w:val="00E068BC"/>
    <w:rsid w:val="00E073F0"/>
    <w:rsid w:val="00E07538"/>
    <w:rsid w:val="00E10761"/>
    <w:rsid w:val="00E11D7A"/>
    <w:rsid w:val="00E11EEB"/>
    <w:rsid w:val="00E128F2"/>
    <w:rsid w:val="00E13EE4"/>
    <w:rsid w:val="00E15D3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2239"/>
    <w:rsid w:val="00E428E5"/>
    <w:rsid w:val="00E4608B"/>
    <w:rsid w:val="00E46D7F"/>
    <w:rsid w:val="00E501D3"/>
    <w:rsid w:val="00E53A01"/>
    <w:rsid w:val="00E55AF3"/>
    <w:rsid w:val="00E561AD"/>
    <w:rsid w:val="00E561F7"/>
    <w:rsid w:val="00E564C4"/>
    <w:rsid w:val="00E567C9"/>
    <w:rsid w:val="00E604C4"/>
    <w:rsid w:val="00E60809"/>
    <w:rsid w:val="00E61300"/>
    <w:rsid w:val="00E61927"/>
    <w:rsid w:val="00E635B9"/>
    <w:rsid w:val="00E63C10"/>
    <w:rsid w:val="00E653BD"/>
    <w:rsid w:val="00E65D15"/>
    <w:rsid w:val="00E66383"/>
    <w:rsid w:val="00E67719"/>
    <w:rsid w:val="00E67EE5"/>
    <w:rsid w:val="00E7013A"/>
    <w:rsid w:val="00E727AF"/>
    <w:rsid w:val="00E74F5D"/>
    <w:rsid w:val="00E76034"/>
    <w:rsid w:val="00E80440"/>
    <w:rsid w:val="00E817E0"/>
    <w:rsid w:val="00E82EE4"/>
    <w:rsid w:val="00E831E7"/>
    <w:rsid w:val="00E843B5"/>
    <w:rsid w:val="00E84A3B"/>
    <w:rsid w:val="00E85307"/>
    <w:rsid w:val="00E85B0A"/>
    <w:rsid w:val="00E8648F"/>
    <w:rsid w:val="00E907E4"/>
    <w:rsid w:val="00E90A24"/>
    <w:rsid w:val="00E90C34"/>
    <w:rsid w:val="00E919AC"/>
    <w:rsid w:val="00E92433"/>
    <w:rsid w:val="00E941FD"/>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2E19"/>
    <w:rsid w:val="00EB584C"/>
    <w:rsid w:val="00EB5863"/>
    <w:rsid w:val="00EB5D88"/>
    <w:rsid w:val="00EB6C07"/>
    <w:rsid w:val="00EB7307"/>
    <w:rsid w:val="00EC14B0"/>
    <w:rsid w:val="00EC204E"/>
    <w:rsid w:val="00EC249E"/>
    <w:rsid w:val="00EC2CFF"/>
    <w:rsid w:val="00EC441D"/>
    <w:rsid w:val="00EC5F2F"/>
    <w:rsid w:val="00EC651E"/>
    <w:rsid w:val="00EC6927"/>
    <w:rsid w:val="00EC692E"/>
    <w:rsid w:val="00EC745E"/>
    <w:rsid w:val="00EC7EAF"/>
    <w:rsid w:val="00ED27C3"/>
    <w:rsid w:val="00ED33AE"/>
    <w:rsid w:val="00ED3775"/>
    <w:rsid w:val="00ED4A6D"/>
    <w:rsid w:val="00ED6D4A"/>
    <w:rsid w:val="00ED738C"/>
    <w:rsid w:val="00ED7918"/>
    <w:rsid w:val="00ED7FD3"/>
    <w:rsid w:val="00EE3663"/>
    <w:rsid w:val="00EE41C4"/>
    <w:rsid w:val="00EE691A"/>
    <w:rsid w:val="00EE76A9"/>
    <w:rsid w:val="00EE799E"/>
    <w:rsid w:val="00EE7CA8"/>
    <w:rsid w:val="00EE7FA7"/>
    <w:rsid w:val="00EF0F24"/>
    <w:rsid w:val="00EF1093"/>
    <w:rsid w:val="00EF1FCB"/>
    <w:rsid w:val="00EF21C3"/>
    <w:rsid w:val="00EF2E6B"/>
    <w:rsid w:val="00EF6199"/>
    <w:rsid w:val="00EF6A2C"/>
    <w:rsid w:val="00F0030E"/>
    <w:rsid w:val="00F00313"/>
    <w:rsid w:val="00F00CD1"/>
    <w:rsid w:val="00F01E6B"/>
    <w:rsid w:val="00F0241C"/>
    <w:rsid w:val="00F05759"/>
    <w:rsid w:val="00F10A13"/>
    <w:rsid w:val="00F10CB9"/>
    <w:rsid w:val="00F110D5"/>
    <w:rsid w:val="00F12351"/>
    <w:rsid w:val="00F14A1C"/>
    <w:rsid w:val="00F16739"/>
    <w:rsid w:val="00F16DE2"/>
    <w:rsid w:val="00F2052B"/>
    <w:rsid w:val="00F2260F"/>
    <w:rsid w:val="00F242AD"/>
    <w:rsid w:val="00F247F2"/>
    <w:rsid w:val="00F252A8"/>
    <w:rsid w:val="00F265F7"/>
    <w:rsid w:val="00F27FA6"/>
    <w:rsid w:val="00F31B2A"/>
    <w:rsid w:val="00F33DC8"/>
    <w:rsid w:val="00F34444"/>
    <w:rsid w:val="00F4065A"/>
    <w:rsid w:val="00F4275C"/>
    <w:rsid w:val="00F45693"/>
    <w:rsid w:val="00F52339"/>
    <w:rsid w:val="00F5277A"/>
    <w:rsid w:val="00F532E8"/>
    <w:rsid w:val="00F537FF"/>
    <w:rsid w:val="00F54E36"/>
    <w:rsid w:val="00F560FE"/>
    <w:rsid w:val="00F56C62"/>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6637"/>
    <w:rsid w:val="00F87032"/>
    <w:rsid w:val="00F87094"/>
    <w:rsid w:val="00F87AB3"/>
    <w:rsid w:val="00F913DC"/>
    <w:rsid w:val="00F91DDA"/>
    <w:rsid w:val="00F9397A"/>
    <w:rsid w:val="00F93A37"/>
    <w:rsid w:val="00F94182"/>
    <w:rsid w:val="00F94323"/>
    <w:rsid w:val="00F944D9"/>
    <w:rsid w:val="00F94DB3"/>
    <w:rsid w:val="00F94E5B"/>
    <w:rsid w:val="00F96500"/>
    <w:rsid w:val="00F96B68"/>
    <w:rsid w:val="00F975B8"/>
    <w:rsid w:val="00FA0F35"/>
    <w:rsid w:val="00FA185D"/>
    <w:rsid w:val="00FA413A"/>
    <w:rsid w:val="00FA4144"/>
    <w:rsid w:val="00FA4DDF"/>
    <w:rsid w:val="00FA6E7F"/>
    <w:rsid w:val="00FA7114"/>
    <w:rsid w:val="00FB2379"/>
    <w:rsid w:val="00FB266B"/>
    <w:rsid w:val="00FB3F15"/>
    <w:rsid w:val="00FB4B8A"/>
    <w:rsid w:val="00FB5152"/>
    <w:rsid w:val="00FB680E"/>
    <w:rsid w:val="00FC0065"/>
    <w:rsid w:val="00FC062F"/>
    <w:rsid w:val="00FC3695"/>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164B"/>
    <w:rsid w:val="00FE2398"/>
    <w:rsid w:val="00FE4154"/>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BFB1D090-FA7D-49E1-8844-231A89D9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6C0F6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4547945">
      <w:bodyDiv w:val="1"/>
      <w:marLeft w:val="0"/>
      <w:marRight w:val="0"/>
      <w:marTop w:val="0"/>
      <w:marBottom w:val="0"/>
      <w:divBdr>
        <w:top w:val="none" w:sz="0" w:space="0" w:color="auto"/>
        <w:left w:val="none" w:sz="0" w:space="0" w:color="auto"/>
        <w:bottom w:val="none" w:sz="0" w:space="0" w:color="auto"/>
        <w:right w:val="none" w:sz="0" w:space="0" w:color="auto"/>
      </w:divBdr>
      <w:divsChild>
        <w:div w:id="419913398">
          <w:marLeft w:val="547"/>
          <w:marRight w:val="0"/>
          <w:marTop w:val="0"/>
          <w:marBottom w:val="0"/>
          <w:divBdr>
            <w:top w:val="none" w:sz="0" w:space="0" w:color="auto"/>
            <w:left w:val="none" w:sz="0" w:space="0" w:color="auto"/>
            <w:bottom w:val="none" w:sz="0" w:space="0" w:color="auto"/>
            <w:right w:val="none" w:sz="0" w:space="0" w:color="auto"/>
          </w:divBdr>
        </w:div>
        <w:div w:id="829563559">
          <w:marLeft w:val="1166"/>
          <w:marRight w:val="0"/>
          <w:marTop w:val="0"/>
          <w:marBottom w:val="0"/>
          <w:divBdr>
            <w:top w:val="none" w:sz="0" w:space="0" w:color="auto"/>
            <w:left w:val="none" w:sz="0" w:space="0" w:color="auto"/>
            <w:bottom w:val="none" w:sz="0" w:space="0" w:color="auto"/>
            <w:right w:val="none" w:sz="0" w:space="0" w:color="auto"/>
          </w:divBdr>
        </w:div>
        <w:div w:id="1937981696">
          <w:marLeft w:val="1800"/>
          <w:marRight w:val="0"/>
          <w:marTop w:val="0"/>
          <w:marBottom w:val="0"/>
          <w:divBdr>
            <w:top w:val="none" w:sz="0" w:space="0" w:color="auto"/>
            <w:left w:val="none" w:sz="0" w:space="0" w:color="auto"/>
            <w:bottom w:val="none" w:sz="0" w:space="0" w:color="auto"/>
            <w:right w:val="none" w:sz="0" w:space="0" w:color="auto"/>
          </w:divBdr>
        </w:div>
        <w:div w:id="249703487">
          <w:marLeft w:val="1800"/>
          <w:marRight w:val="0"/>
          <w:marTop w:val="0"/>
          <w:marBottom w:val="0"/>
          <w:divBdr>
            <w:top w:val="none" w:sz="0" w:space="0" w:color="auto"/>
            <w:left w:val="none" w:sz="0" w:space="0" w:color="auto"/>
            <w:bottom w:val="none" w:sz="0" w:space="0" w:color="auto"/>
            <w:right w:val="none" w:sz="0" w:space="0" w:color="auto"/>
          </w:divBdr>
        </w:div>
        <w:div w:id="847862981">
          <w:marLeft w:val="1800"/>
          <w:marRight w:val="0"/>
          <w:marTop w:val="0"/>
          <w:marBottom w:val="0"/>
          <w:divBdr>
            <w:top w:val="none" w:sz="0" w:space="0" w:color="auto"/>
            <w:left w:val="none" w:sz="0" w:space="0" w:color="auto"/>
            <w:bottom w:val="none" w:sz="0" w:space="0" w:color="auto"/>
            <w:right w:val="none" w:sz="0" w:space="0" w:color="auto"/>
          </w:divBdr>
        </w:div>
        <w:div w:id="1684045544">
          <w:marLeft w:val="180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79371713">
      <w:bodyDiv w:val="1"/>
      <w:marLeft w:val="0"/>
      <w:marRight w:val="0"/>
      <w:marTop w:val="0"/>
      <w:marBottom w:val="0"/>
      <w:divBdr>
        <w:top w:val="none" w:sz="0" w:space="0" w:color="auto"/>
        <w:left w:val="none" w:sz="0" w:space="0" w:color="auto"/>
        <w:bottom w:val="none" w:sz="0" w:space="0" w:color="auto"/>
        <w:right w:val="none" w:sz="0" w:space="0" w:color="auto"/>
      </w:divBdr>
      <w:divsChild>
        <w:div w:id="541677763">
          <w:marLeft w:val="547"/>
          <w:marRight w:val="0"/>
          <w:marTop w:val="0"/>
          <w:marBottom w:val="0"/>
          <w:divBdr>
            <w:top w:val="none" w:sz="0" w:space="0" w:color="auto"/>
            <w:left w:val="none" w:sz="0" w:space="0" w:color="auto"/>
            <w:bottom w:val="none" w:sz="0" w:space="0" w:color="auto"/>
            <w:right w:val="none" w:sz="0" w:space="0" w:color="auto"/>
          </w:divBdr>
        </w:div>
        <w:div w:id="365568213">
          <w:marLeft w:val="1166"/>
          <w:marRight w:val="0"/>
          <w:marTop w:val="0"/>
          <w:marBottom w:val="0"/>
          <w:divBdr>
            <w:top w:val="none" w:sz="0" w:space="0" w:color="auto"/>
            <w:left w:val="none" w:sz="0" w:space="0" w:color="auto"/>
            <w:bottom w:val="none" w:sz="0" w:space="0" w:color="auto"/>
            <w:right w:val="none" w:sz="0" w:space="0" w:color="auto"/>
          </w:divBdr>
        </w:div>
        <w:div w:id="1908177830">
          <w:marLeft w:val="1166"/>
          <w:marRight w:val="0"/>
          <w:marTop w:val="0"/>
          <w:marBottom w:val="0"/>
          <w:divBdr>
            <w:top w:val="none" w:sz="0" w:space="0" w:color="auto"/>
            <w:left w:val="none" w:sz="0" w:space="0" w:color="auto"/>
            <w:bottom w:val="none" w:sz="0" w:space="0" w:color="auto"/>
            <w:right w:val="none" w:sz="0" w:space="0" w:color="auto"/>
          </w:divBdr>
        </w:div>
        <w:div w:id="982656188">
          <w:marLeft w:val="1166"/>
          <w:marRight w:val="0"/>
          <w:marTop w:val="0"/>
          <w:marBottom w:val="0"/>
          <w:divBdr>
            <w:top w:val="none" w:sz="0" w:space="0" w:color="auto"/>
            <w:left w:val="none" w:sz="0" w:space="0" w:color="auto"/>
            <w:bottom w:val="none" w:sz="0" w:space="0" w:color="auto"/>
            <w:right w:val="none" w:sz="0" w:space="0" w:color="auto"/>
          </w:divBdr>
        </w:div>
        <w:div w:id="346254682">
          <w:marLeft w:val="547"/>
          <w:marRight w:val="0"/>
          <w:marTop w:val="0"/>
          <w:marBottom w:val="0"/>
          <w:divBdr>
            <w:top w:val="none" w:sz="0" w:space="0" w:color="auto"/>
            <w:left w:val="none" w:sz="0" w:space="0" w:color="auto"/>
            <w:bottom w:val="none" w:sz="0" w:space="0" w:color="auto"/>
            <w:right w:val="none" w:sz="0" w:space="0" w:color="auto"/>
          </w:divBdr>
        </w:div>
        <w:div w:id="797844496">
          <w:marLeft w:val="1166"/>
          <w:marRight w:val="0"/>
          <w:marTop w:val="0"/>
          <w:marBottom w:val="0"/>
          <w:divBdr>
            <w:top w:val="none" w:sz="0" w:space="0" w:color="auto"/>
            <w:left w:val="none" w:sz="0" w:space="0" w:color="auto"/>
            <w:bottom w:val="none" w:sz="0" w:space="0" w:color="auto"/>
            <w:right w:val="none" w:sz="0" w:space="0" w:color="auto"/>
          </w:divBdr>
        </w:div>
        <w:div w:id="1200439179">
          <w:marLeft w:val="1166"/>
          <w:marRight w:val="0"/>
          <w:marTop w:val="0"/>
          <w:marBottom w:val="0"/>
          <w:divBdr>
            <w:top w:val="none" w:sz="0" w:space="0" w:color="auto"/>
            <w:left w:val="none" w:sz="0" w:space="0" w:color="auto"/>
            <w:bottom w:val="none" w:sz="0" w:space="0" w:color="auto"/>
            <w:right w:val="none" w:sz="0" w:space="0" w:color="auto"/>
          </w:divBdr>
        </w:div>
        <w:div w:id="250354040">
          <w:marLeft w:val="1166"/>
          <w:marRight w:val="0"/>
          <w:marTop w:val="0"/>
          <w:marBottom w:val="0"/>
          <w:divBdr>
            <w:top w:val="none" w:sz="0" w:space="0" w:color="auto"/>
            <w:left w:val="none" w:sz="0" w:space="0" w:color="auto"/>
            <w:bottom w:val="none" w:sz="0" w:space="0" w:color="auto"/>
            <w:right w:val="none" w:sz="0" w:space="0" w:color="auto"/>
          </w:divBdr>
        </w:div>
        <w:div w:id="240717836">
          <w:marLeft w:val="547"/>
          <w:marRight w:val="0"/>
          <w:marTop w:val="0"/>
          <w:marBottom w:val="0"/>
          <w:divBdr>
            <w:top w:val="none" w:sz="0" w:space="0" w:color="auto"/>
            <w:left w:val="none" w:sz="0" w:space="0" w:color="auto"/>
            <w:bottom w:val="none" w:sz="0" w:space="0" w:color="auto"/>
            <w:right w:val="none" w:sz="0" w:space="0" w:color="auto"/>
          </w:divBdr>
        </w:div>
        <w:div w:id="1798062632">
          <w:marLeft w:val="1166"/>
          <w:marRight w:val="0"/>
          <w:marTop w:val="0"/>
          <w:marBottom w:val="0"/>
          <w:divBdr>
            <w:top w:val="none" w:sz="0" w:space="0" w:color="auto"/>
            <w:left w:val="none" w:sz="0" w:space="0" w:color="auto"/>
            <w:bottom w:val="none" w:sz="0" w:space="0" w:color="auto"/>
            <w:right w:val="none" w:sz="0" w:space="0" w:color="auto"/>
          </w:divBdr>
        </w:div>
        <w:div w:id="1531071219">
          <w:marLeft w:val="1800"/>
          <w:marRight w:val="0"/>
          <w:marTop w:val="0"/>
          <w:marBottom w:val="0"/>
          <w:divBdr>
            <w:top w:val="none" w:sz="0" w:space="0" w:color="auto"/>
            <w:left w:val="none" w:sz="0" w:space="0" w:color="auto"/>
            <w:bottom w:val="none" w:sz="0" w:space="0" w:color="auto"/>
            <w:right w:val="none" w:sz="0" w:space="0" w:color="auto"/>
          </w:divBdr>
        </w:div>
        <w:div w:id="790976228">
          <w:marLeft w:val="1166"/>
          <w:marRight w:val="0"/>
          <w:marTop w:val="0"/>
          <w:marBottom w:val="0"/>
          <w:divBdr>
            <w:top w:val="none" w:sz="0" w:space="0" w:color="auto"/>
            <w:left w:val="none" w:sz="0" w:space="0" w:color="auto"/>
            <w:bottom w:val="none" w:sz="0" w:space="0" w:color="auto"/>
            <w:right w:val="none" w:sz="0" w:space="0" w:color="auto"/>
          </w:divBdr>
        </w:div>
        <w:div w:id="1977450033">
          <w:marLeft w:val="547"/>
          <w:marRight w:val="0"/>
          <w:marTop w:val="0"/>
          <w:marBottom w:val="0"/>
          <w:divBdr>
            <w:top w:val="none" w:sz="0" w:space="0" w:color="auto"/>
            <w:left w:val="none" w:sz="0" w:space="0" w:color="auto"/>
            <w:bottom w:val="none" w:sz="0" w:space="0" w:color="auto"/>
            <w:right w:val="none" w:sz="0" w:space="0" w:color="auto"/>
          </w:divBdr>
        </w:div>
        <w:div w:id="525102615">
          <w:marLeft w:val="1166"/>
          <w:marRight w:val="0"/>
          <w:marTop w:val="0"/>
          <w:marBottom w:val="0"/>
          <w:divBdr>
            <w:top w:val="none" w:sz="0" w:space="0" w:color="auto"/>
            <w:left w:val="none" w:sz="0" w:space="0" w:color="auto"/>
            <w:bottom w:val="none" w:sz="0" w:space="0" w:color="auto"/>
            <w:right w:val="none" w:sz="0" w:space="0" w:color="auto"/>
          </w:divBdr>
        </w:div>
        <w:div w:id="770316683">
          <w:marLeft w:val="1166"/>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881843">
      <w:bodyDiv w:val="1"/>
      <w:marLeft w:val="0"/>
      <w:marRight w:val="0"/>
      <w:marTop w:val="0"/>
      <w:marBottom w:val="0"/>
      <w:divBdr>
        <w:top w:val="none" w:sz="0" w:space="0" w:color="auto"/>
        <w:left w:val="none" w:sz="0" w:space="0" w:color="auto"/>
        <w:bottom w:val="none" w:sz="0" w:space="0" w:color="auto"/>
        <w:right w:val="none" w:sz="0" w:space="0" w:color="auto"/>
      </w:divBdr>
    </w:div>
    <w:div w:id="1964998377">
      <w:bodyDiv w:val="1"/>
      <w:marLeft w:val="0"/>
      <w:marRight w:val="0"/>
      <w:marTop w:val="0"/>
      <w:marBottom w:val="0"/>
      <w:divBdr>
        <w:top w:val="none" w:sz="0" w:space="0" w:color="auto"/>
        <w:left w:val="none" w:sz="0" w:space="0" w:color="auto"/>
        <w:bottom w:val="none" w:sz="0" w:space="0" w:color="auto"/>
        <w:right w:val="none" w:sz="0" w:space="0" w:color="auto"/>
      </w:divBdr>
      <w:divsChild>
        <w:div w:id="1411735922">
          <w:marLeft w:val="547"/>
          <w:marRight w:val="0"/>
          <w:marTop w:val="0"/>
          <w:marBottom w:val="0"/>
          <w:divBdr>
            <w:top w:val="none" w:sz="0" w:space="0" w:color="auto"/>
            <w:left w:val="none" w:sz="0" w:space="0" w:color="auto"/>
            <w:bottom w:val="none" w:sz="0" w:space="0" w:color="auto"/>
            <w:right w:val="none" w:sz="0" w:space="0" w:color="auto"/>
          </w:divBdr>
        </w:div>
        <w:div w:id="862091526">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SP-5AIRPNAIUNRU-1830940522-1555</_dlc_DocId>
    <_dlc_DocIdUrl xmlns="71c5aaf6-e6ce-465b-b873-5148d2a4c105">
      <Url>https://nokia.sharepoint.com/sites/c5g/5gradio/_layouts/15/DocIdRedir.aspx?ID=SP-5AIRPNAIUNRU-1830940522-1555</Url>
      <Description>SP-5AIRPNAIUNRU-1830940522-1555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7F2D6-44E8-406D-A434-A3D763E8B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41D7E-4F9F-4224-AF66-E1F8DC004DA8}">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FDA6058-0BCD-447E-BC7E-3F8B9741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1164</Words>
  <Characters>9433</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Karol</cp:lastModifiedBy>
  <cp:revision>3</cp:revision>
  <cp:lastPrinted>2016-06-20T11:35:00Z</cp:lastPrinted>
  <dcterms:created xsi:type="dcterms:W3CDTF">2017-08-11T10:24:00Z</dcterms:created>
  <dcterms:modified xsi:type="dcterms:W3CDTF">2017-08-11T10:29:00Z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d13e0ccb-001f-473b-ba82-7e46057e1211</vt:lpwstr>
  </property>
</Properties>
</file>