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93EA8" w14:textId="263EB33E" w:rsidR="00D660DA" w:rsidRPr="00D77ACE" w:rsidRDefault="00615125" w:rsidP="00D660DA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WG1 #90</w:t>
      </w:r>
      <w:r w:rsidR="00D660DA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</w:t>
      </w:r>
      <w:r w:rsidR="00D660DA">
        <w:rPr>
          <w:rFonts w:ascii="Arial" w:hAnsi="Arial" w:cs="Arial"/>
          <w:b/>
          <w:sz w:val="24"/>
          <w:szCs w:val="24"/>
          <w:lang w:val="en-US"/>
        </w:rPr>
        <w:tab/>
        <w:t xml:space="preserve">            </w:t>
      </w:r>
      <w:r>
        <w:rPr>
          <w:rFonts w:ascii="Arial" w:hAnsi="Arial" w:cs="Arial"/>
          <w:b/>
          <w:sz w:val="24"/>
          <w:szCs w:val="24"/>
          <w:lang w:val="en-US"/>
        </w:rPr>
        <w:t>R1-1</w:t>
      </w:r>
      <w:r w:rsidR="00416E8E" w:rsidRPr="00416E8E">
        <w:rPr>
          <w:rFonts w:ascii="Arial" w:hAnsi="Arial" w:cs="Arial"/>
          <w:b/>
          <w:sz w:val="24"/>
          <w:szCs w:val="24"/>
          <w:lang w:val="en-US"/>
        </w:rPr>
        <w:t>713032</w:t>
      </w:r>
    </w:p>
    <w:p w14:paraId="15251CEF" w14:textId="5F55CBD0" w:rsidR="00995160" w:rsidRPr="001033C9" w:rsidRDefault="00615125" w:rsidP="00995160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21st</w:t>
      </w:r>
      <w:r w:rsidR="00995160">
        <w:rPr>
          <w:rFonts w:ascii="Arial" w:hAnsi="Arial" w:cs="Arial"/>
          <w:b/>
          <w:sz w:val="24"/>
          <w:szCs w:val="24"/>
          <w:lang w:val="en-US"/>
        </w:rPr>
        <w:t xml:space="preserve"> –</w:t>
      </w:r>
      <w:r w:rsidR="00F4731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25</w:t>
      </w:r>
      <w:r w:rsidR="00995160">
        <w:rPr>
          <w:rFonts w:ascii="Arial" w:hAnsi="Arial" w:cs="Arial"/>
          <w:b/>
          <w:sz w:val="24"/>
          <w:szCs w:val="24"/>
          <w:lang w:val="en-US"/>
        </w:rPr>
        <w:t xml:space="preserve">th </w:t>
      </w:r>
      <w:r>
        <w:rPr>
          <w:rFonts w:ascii="Arial" w:hAnsi="Arial" w:cs="Arial"/>
          <w:b/>
          <w:sz w:val="24"/>
          <w:szCs w:val="24"/>
          <w:lang w:val="en-US"/>
        </w:rPr>
        <w:t>August</w:t>
      </w:r>
      <w:r w:rsidR="00995160" w:rsidRPr="001033C9">
        <w:rPr>
          <w:rFonts w:ascii="Arial" w:hAnsi="Arial" w:cs="Arial"/>
          <w:b/>
          <w:sz w:val="24"/>
          <w:szCs w:val="24"/>
          <w:lang w:val="en-US"/>
        </w:rPr>
        <w:t>, 201</w:t>
      </w:r>
      <w:r w:rsidR="00EC3C6A">
        <w:rPr>
          <w:rFonts w:ascii="Arial" w:hAnsi="Arial" w:cs="Arial"/>
          <w:b/>
          <w:sz w:val="24"/>
          <w:szCs w:val="24"/>
          <w:lang w:val="en-US"/>
        </w:rPr>
        <w:t>7</w:t>
      </w:r>
    </w:p>
    <w:p w14:paraId="4BD3BC4A" w14:textId="692C06F0" w:rsidR="00995160" w:rsidRDefault="00615125" w:rsidP="00995160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Prague</w:t>
      </w:r>
      <w:r w:rsidR="00F47318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Pr="00615125">
        <w:rPr>
          <w:rFonts w:ascii="Arial" w:hAnsi="Arial" w:cs="Arial"/>
          <w:b/>
          <w:sz w:val="24"/>
          <w:szCs w:val="24"/>
          <w:lang w:val="en-US"/>
        </w:rPr>
        <w:t>Czech Republic</w:t>
      </w:r>
    </w:p>
    <w:p w14:paraId="4283AD23" w14:textId="77777777" w:rsidR="00DB74FF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5FC041EB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0F5C2A">
        <w:rPr>
          <w:rFonts w:ascii="Arial" w:hAnsi="Arial"/>
          <w:sz w:val="24"/>
          <w:lang w:val="en-US"/>
        </w:rPr>
        <w:t>5.2.3.3</w:t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12984587" w14:textId="4F93B307" w:rsidR="00317899" w:rsidRPr="005D0F9B" w:rsidRDefault="00317899" w:rsidP="00317899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F47318" w:rsidRPr="00F47318">
        <w:rPr>
          <w:rFonts w:ascii="Arial" w:hAnsi="Arial"/>
          <w:sz w:val="24"/>
          <w:lang w:val="en-US"/>
        </w:rPr>
        <w:t>Feasibility and gain of PC5 operation with Transmit Diversity</w:t>
      </w:r>
    </w:p>
    <w:p w14:paraId="76B0159F" w14:textId="77777777" w:rsidR="00317899" w:rsidRPr="00E21680" w:rsidRDefault="00317899" w:rsidP="00317899">
      <w:pPr>
        <w:jc w:val="both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5C3A5CD6" w14:textId="66099049" w:rsidR="00410201" w:rsidRDefault="00317899" w:rsidP="001C534A">
      <w:pPr>
        <w:pStyle w:val="Heading1"/>
        <w:numPr>
          <w:ilvl w:val="0"/>
          <w:numId w:val="2"/>
        </w:numPr>
      </w:pPr>
      <w:r>
        <w:t>Introduction</w:t>
      </w:r>
    </w:p>
    <w:p w14:paraId="0A28622D" w14:textId="08C547EC" w:rsidR="006B6037" w:rsidRDefault="005E33C4" w:rsidP="0049078E">
      <w:pPr>
        <w:jc w:val="both"/>
      </w:pPr>
      <w:r>
        <w:t>I</w:t>
      </w:r>
      <w:r w:rsidR="006B6037">
        <w:t xml:space="preserve">n RAN1#88bis, the following </w:t>
      </w:r>
      <w:r w:rsidR="00EF1F08">
        <w:t>evaluation methods for</w:t>
      </w:r>
      <w:r>
        <w:t xml:space="preserve"> transmit diversity </w:t>
      </w:r>
      <w:r w:rsidR="00C22790">
        <w:t xml:space="preserve">(TxD) </w:t>
      </w:r>
      <w:r w:rsidR="006B6037">
        <w:t xml:space="preserve">were </w:t>
      </w:r>
      <w:r w:rsidR="00EF1F08">
        <w:t>agreed on</w:t>
      </w:r>
      <w:r w:rsidR="006B6037">
        <w:t>.</w:t>
      </w:r>
    </w:p>
    <w:p w14:paraId="38194BEC" w14:textId="77777777" w:rsidR="005E33C4" w:rsidRDefault="005E33C4" w:rsidP="008453F1">
      <w:pPr>
        <w:spacing w:after="120"/>
        <w:contextualSpacing/>
        <w:rPr>
          <w:i/>
          <w:lang w:val="en-US"/>
        </w:rPr>
      </w:pPr>
      <w:r>
        <w:rPr>
          <w:i/>
          <w:highlight w:val="green"/>
        </w:rPr>
        <w:t>Agreement</w:t>
      </w:r>
    </w:p>
    <w:p w14:paraId="3D82602C" w14:textId="77777777" w:rsidR="005E33C4" w:rsidRPr="008453F1" w:rsidRDefault="005E33C4" w:rsidP="008453F1">
      <w:pPr>
        <w:numPr>
          <w:ilvl w:val="0"/>
          <w:numId w:val="13"/>
        </w:numPr>
        <w:overflowPunct/>
        <w:autoSpaceDE/>
        <w:adjustRightInd/>
        <w:spacing w:after="120"/>
        <w:contextualSpacing/>
        <w:jc w:val="both"/>
        <w:textAlignment w:val="auto"/>
        <w:rPr>
          <w:i/>
        </w:rPr>
      </w:pPr>
      <w:r w:rsidRPr="008453F1">
        <w:rPr>
          <w:i/>
        </w:rPr>
        <w:t>For the design and feasibility of TxD schemes in Rel-15 PC5 operation, the CM increase per antenna over single antenna port transmission of Rel-14 is considered.</w:t>
      </w:r>
    </w:p>
    <w:p w14:paraId="4DB03DBE" w14:textId="77777777" w:rsidR="005E33C4" w:rsidRDefault="005E33C4" w:rsidP="008453F1">
      <w:pPr>
        <w:autoSpaceDE/>
        <w:spacing w:after="120"/>
        <w:contextualSpacing/>
      </w:pPr>
    </w:p>
    <w:p w14:paraId="7D3D7FFB" w14:textId="77777777" w:rsidR="005E33C4" w:rsidRDefault="005E33C4" w:rsidP="008453F1">
      <w:pPr>
        <w:spacing w:after="120"/>
        <w:contextualSpacing/>
        <w:rPr>
          <w:rFonts w:ascii="Batang" w:eastAsia="MS Mincho"/>
          <w:iCs/>
          <w:lang w:eastAsia="ja-JP"/>
        </w:rPr>
      </w:pPr>
      <w:r>
        <w:rPr>
          <w:i/>
          <w:highlight w:val="green"/>
        </w:rPr>
        <w:t>Agreement</w:t>
      </w:r>
    </w:p>
    <w:p w14:paraId="3B63B7D8" w14:textId="77777777" w:rsidR="005E33C4" w:rsidRPr="008453F1" w:rsidRDefault="005E33C4" w:rsidP="008453F1">
      <w:pPr>
        <w:numPr>
          <w:ilvl w:val="0"/>
          <w:numId w:val="14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 xml:space="preserve">For link level simulation (SNR vs. BLER) to investigate TxD gains for performance of V2X is applied for PSSCH and PSCCH. </w:t>
      </w:r>
    </w:p>
    <w:p w14:paraId="7B90B674" w14:textId="77777777" w:rsidR="005E33C4" w:rsidRDefault="005E33C4" w:rsidP="008453F1">
      <w:pPr>
        <w:spacing w:after="120"/>
        <w:contextualSpacing/>
        <w:rPr>
          <w:rFonts w:ascii="Batang" w:eastAsia="Malgun Gothic"/>
          <w:iCs/>
          <w:lang w:eastAsia="ko-KR"/>
        </w:rPr>
      </w:pPr>
    </w:p>
    <w:tbl>
      <w:tblPr>
        <w:tblW w:w="802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22"/>
        <w:gridCol w:w="4306"/>
      </w:tblGrid>
      <w:tr w:rsidR="005E33C4" w14:paraId="54B89CBC" w14:textId="77777777" w:rsidTr="008453F1">
        <w:trPr>
          <w:trHeight w:val="334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469F0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510850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5E33C4" w14:paraId="1F6391A7" w14:textId="77777777" w:rsidTr="008453F1">
        <w:trPr>
          <w:trHeight w:val="316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1B090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BF5D1A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6GHz</w:t>
            </w:r>
          </w:p>
        </w:tc>
      </w:tr>
      <w:tr w:rsidR="005E33C4" w14:paraId="12061660" w14:textId="77777777" w:rsidTr="008453F1">
        <w:trPr>
          <w:trHeight w:val="298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D77A06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712785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2 x 2</w:t>
            </w:r>
          </w:p>
        </w:tc>
      </w:tr>
      <w:tr w:rsidR="005E33C4" w14:paraId="2E557AAF" w14:textId="77777777" w:rsidTr="008453F1">
        <w:trPr>
          <w:trHeight w:val="541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51A6C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2367E5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LOS/NLOS in TR36.885 (linear polarization, half-lambda spacing)</w:t>
            </w:r>
          </w:p>
        </w:tc>
      </w:tr>
      <w:tr w:rsidR="005E33C4" w14:paraId="6FD90FBE" w14:textId="77777777" w:rsidTr="008453F1">
        <w:trPr>
          <w:trHeight w:val="343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5051C9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5E4710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15 km/h, 140km/h, 250km/h, 60 km/h optional</w:t>
            </w:r>
          </w:p>
        </w:tc>
      </w:tr>
      <w:tr w:rsidR="005E33C4" w14:paraId="11ACF678" w14:textId="77777777" w:rsidTr="008453F1">
        <w:trPr>
          <w:trHeight w:val="316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3DF18B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855B5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QPSK 1/2, 16QAM ½</w:t>
            </w:r>
          </w:p>
        </w:tc>
      </w:tr>
      <w:tr w:rsidR="005E33C4" w14:paraId="4F80CBFF" w14:textId="77777777" w:rsidTr="008453F1">
        <w:trPr>
          <w:trHeight w:val="298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781AC8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8458C" w14:textId="77777777" w:rsidR="005E33C4" w:rsidRDefault="005E33C4" w:rsidP="008453F1">
            <w:pPr>
              <w:spacing w:after="0"/>
              <w:contextualSpacing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300 bytes, 190 bytes</w:t>
            </w:r>
          </w:p>
        </w:tc>
      </w:tr>
    </w:tbl>
    <w:p w14:paraId="1B1EE20F" w14:textId="77777777" w:rsidR="005E33C4" w:rsidRDefault="005E33C4" w:rsidP="008453F1">
      <w:pPr>
        <w:spacing w:after="120"/>
        <w:contextualSpacing/>
        <w:rPr>
          <w:rFonts w:ascii="Batang" w:eastAsia="MS Mincho"/>
          <w:iCs/>
          <w:kern w:val="2"/>
          <w:lang w:eastAsia="ja-JP"/>
        </w:rPr>
      </w:pPr>
    </w:p>
    <w:p w14:paraId="0AD32CEC" w14:textId="77777777" w:rsidR="005E33C4" w:rsidRDefault="005E33C4" w:rsidP="008453F1">
      <w:pPr>
        <w:spacing w:after="120"/>
        <w:contextualSpacing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highlight w:val="green"/>
          <w:lang w:eastAsia="ja-JP"/>
        </w:rPr>
        <w:t>Agreement:</w:t>
      </w:r>
    </w:p>
    <w:p w14:paraId="626F1A8C" w14:textId="77777777" w:rsidR="005E33C4" w:rsidRPr="008453F1" w:rsidRDefault="005E33C4" w:rsidP="008453F1">
      <w:pPr>
        <w:numPr>
          <w:ilvl w:val="0"/>
          <w:numId w:val="15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Frequency offset modelled as in TR36.885</w:t>
      </w:r>
    </w:p>
    <w:p w14:paraId="5B5A4B45" w14:textId="77777777" w:rsidR="005E33C4" w:rsidRDefault="005E33C4" w:rsidP="008453F1">
      <w:pPr>
        <w:spacing w:after="120"/>
        <w:contextualSpacing/>
        <w:rPr>
          <w:rFonts w:eastAsia="MS Mincho"/>
          <w:iCs/>
          <w:lang w:eastAsia="ja-JP"/>
        </w:rPr>
      </w:pPr>
    </w:p>
    <w:p w14:paraId="32066AD0" w14:textId="77777777" w:rsidR="005E33C4" w:rsidRDefault="005E33C4" w:rsidP="008453F1">
      <w:pPr>
        <w:spacing w:after="120"/>
        <w:contextualSpacing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highlight w:val="green"/>
          <w:lang w:eastAsia="ja-JP"/>
        </w:rPr>
        <w:t>Agreement:</w:t>
      </w:r>
    </w:p>
    <w:p w14:paraId="3B3C71BF" w14:textId="77777777" w:rsidR="005E33C4" w:rsidRPr="008453F1" w:rsidRDefault="005E33C4" w:rsidP="008453F1">
      <w:pPr>
        <w:numPr>
          <w:ilvl w:val="0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At least the following candidate TxD schemes for PSSCH transmission to be evaluated:</w:t>
      </w:r>
    </w:p>
    <w:p w14:paraId="18E49178" w14:textId="77777777" w:rsidR="005E33C4" w:rsidRPr="008453F1" w:rsidRDefault="005E33C4" w:rsidP="008453F1">
      <w:pPr>
        <w:numPr>
          <w:ilvl w:val="1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Small delay CDD</w:t>
      </w:r>
    </w:p>
    <w:p w14:paraId="13AD5D59" w14:textId="77777777" w:rsidR="005E33C4" w:rsidRPr="008453F1" w:rsidRDefault="005E33C4" w:rsidP="008453F1">
      <w:pPr>
        <w:numPr>
          <w:ilvl w:val="1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STBC (including half symbol STBC proposal in</w:t>
      </w:r>
      <w:r w:rsidRPr="008453F1">
        <w:rPr>
          <w:rFonts w:eastAsia="Malgun Gothic"/>
          <w:i/>
          <w:iCs/>
        </w:rPr>
        <w:t xml:space="preserve"> [1]</w:t>
      </w:r>
      <w:r w:rsidRPr="008453F1">
        <w:rPr>
          <w:rFonts w:eastAsia="MS Mincho"/>
          <w:i/>
          <w:iCs/>
          <w:lang w:eastAsia="ja-JP"/>
        </w:rPr>
        <w:t>)</w:t>
      </w:r>
    </w:p>
    <w:p w14:paraId="7CE2CE02" w14:textId="77777777" w:rsidR="005E33C4" w:rsidRPr="008453F1" w:rsidRDefault="005E33C4" w:rsidP="008453F1">
      <w:pPr>
        <w:numPr>
          <w:ilvl w:val="1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SFBC</w:t>
      </w:r>
    </w:p>
    <w:p w14:paraId="24062926" w14:textId="77777777" w:rsidR="005E33C4" w:rsidRPr="008453F1" w:rsidRDefault="005E33C4" w:rsidP="008453F1">
      <w:pPr>
        <w:numPr>
          <w:ilvl w:val="1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PVS in time domain</w:t>
      </w:r>
    </w:p>
    <w:p w14:paraId="1B656B8D" w14:textId="77777777" w:rsidR="005E33C4" w:rsidRPr="008453F1" w:rsidRDefault="005E33C4" w:rsidP="008453F1">
      <w:pPr>
        <w:spacing w:after="120"/>
        <w:contextualSpacing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Note: other schemes are not precluded</w:t>
      </w:r>
    </w:p>
    <w:p w14:paraId="1CDBC469" w14:textId="77777777" w:rsidR="005E33C4" w:rsidRDefault="005E33C4" w:rsidP="008453F1">
      <w:pPr>
        <w:spacing w:after="120"/>
        <w:contextualSpacing/>
        <w:rPr>
          <w:rFonts w:eastAsia="MS Mincho"/>
          <w:iCs/>
          <w:lang w:eastAsia="ja-JP"/>
        </w:rPr>
      </w:pPr>
    </w:p>
    <w:p w14:paraId="360AAEDC" w14:textId="77777777" w:rsidR="005E33C4" w:rsidRDefault="005E33C4" w:rsidP="008453F1">
      <w:pPr>
        <w:spacing w:after="120"/>
        <w:contextualSpacing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highlight w:val="green"/>
          <w:lang w:eastAsia="ja-JP"/>
        </w:rPr>
        <w:t>Agreement:</w:t>
      </w:r>
    </w:p>
    <w:p w14:paraId="52E30909" w14:textId="77777777" w:rsidR="005E33C4" w:rsidRPr="008453F1" w:rsidRDefault="005E33C4" w:rsidP="008453F1">
      <w:pPr>
        <w:numPr>
          <w:ilvl w:val="0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At least the following candidate TxD schemes for PSCCH transmission to be evaluated:</w:t>
      </w:r>
    </w:p>
    <w:p w14:paraId="6ADE7350" w14:textId="77777777" w:rsidR="005E33C4" w:rsidRPr="008453F1" w:rsidRDefault="005E33C4" w:rsidP="008453F1">
      <w:pPr>
        <w:numPr>
          <w:ilvl w:val="1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Small delay CDD</w:t>
      </w:r>
    </w:p>
    <w:p w14:paraId="72FAA41E" w14:textId="1704BF5E" w:rsidR="005E33C4" w:rsidRPr="008453F1" w:rsidRDefault="005E33C4" w:rsidP="008453F1">
      <w:pPr>
        <w:numPr>
          <w:ilvl w:val="0"/>
          <w:numId w:val="16"/>
        </w:numPr>
        <w:overflowPunct/>
        <w:autoSpaceDE/>
        <w:adjustRightInd/>
        <w:spacing w:after="120"/>
        <w:contextualSpacing/>
        <w:textAlignment w:val="auto"/>
        <w:rPr>
          <w:rFonts w:eastAsia="MS Mincho"/>
          <w:i/>
          <w:iCs/>
          <w:lang w:eastAsia="ja-JP"/>
        </w:rPr>
      </w:pPr>
      <w:r w:rsidRPr="008453F1">
        <w:rPr>
          <w:rFonts w:eastAsia="MS Mincho"/>
          <w:i/>
          <w:iCs/>
          <w:lang w:eastAsia="ja-JP"/>
        </w:rPr>
        <w:t>Note: other schemes are not precluded provided that they fulfil</w:t>
      </w:r>
      <w:r w:rsidR="00C22790">
        <w:rPr>
          <w:rFonts w:eastAsia="MS Mincho"/>
          <w:i/>
          <w:iCs/>
          <w:lang w:eastAsia="ja-JP"/>
        </w:rPr>
        <w:t>l</w:t>
      </w:r>
      <w:r w:rsidRPr="008453F1">
        <w:rPr>
          <w:rFonts w:eastAsia="MS Mincho"/>
          <w:i/>
          <w:iCs/>
          <w:lang w:eastAsia="ja-JP"/>
        </w:rPr>
        <w:t xml:space="preserve"> objective 2 of the WID</w:t>
      </w:r>
    </w:p>
    <w:p w14:paraId="303F1B90" w14:textId="77777777" w:rsidR="005E33C4" w:rsidRDefault="005E33C4" w:rsidP="0049078E">
      <w:pPr>
        <w:jc w:val="both"/>
      </w:pPr>
    </w:p>
    <w:p w14:paraId="202FBBDA" w14:textId="05C5A483" w:rsidR="00C22790" w:rsidRDefault="00C22790" w:rsidP="00C22790">
      <w:pPr>
        <w:jc w:val="both"/>
      </w:pPr>
      <w:r>
        <w:lastRenderedPageBreak/>
        <w:t xml:space="preserve">In RAN1#89, the following agreement was </w:t>
      </w:r>
      <w:r w:rsidR="00EF1F08">
        <w:t xml:space="preserve">further </w:t>
      </w:r>
      <w:r>
        <w:t>reached.</w:t>
      </w:r>
    </w:p>
    <w:p w14:paraId="62464EA5" w14:textId="77777777" w:rsidR="00C22790" w:rsidRPr="008F17F4" w:rsidRDefault="00C22790" w:rsidP="00C22790">
      <w:pPr>
        <w:pStyle w:val="BodyText"/>
        <w:rPr>
          <w:i/>
          <w:lang w:val="en-GB"/>
        </w:rPr>
      </w:pPr>
      <w:r w:rsidRPr="008F17F4">
        <w:rPr>
          <w:i/>
          <w:highlight w:val="green"/>
          <w:lang w:val="en-GB"/>
        </w:rPr>
        <w:t>Agreement:</w:t>
      </w:r>
      <w:r w:rsidRPr="008F17F4">
        <w:rPr>
          <w:i/>
          <w:lang w:val="en-GB"/>
        </w:rPr>
        <w:t xml:space="preserve"> </w:t>
      </w:r>
    </w:p>
    <w:p w14:paraId="3E43EF7A" w14:textId="77777777" w:rsidR="00C22790" w:rsidRPr="008F17F4" w:rsidRDefault="00C22790" w:rsidP="00C22790">
      <w:pPr>
        <w:pStyle w:val="BodyText"/>
        <w:numPr>
          <w:ilvl w:val="0"/>
          <w:numId w:val="12"/>
        </w:numPr>
        <w:rPr>
          <w:rFonts w:ascii="Times New Roman" w:hAnsi="Times New Roman"/>
          <w:i/>
          <w:lang w:val="en-GB"/>
        </w:rPr>
      </w:pPr>
      <w:r w:rsidRPr="008F17F4">
        <w:rPr>
          <w:rFonts w:ascii="Times New Roman" w:hAnsi="Times New Roman"/>
          <w:i/>
          <w:lang w:val="en-GB"/>
        </w:rPr>
        <w:t>Legacy Rel-14 DMRS pattern with single antenna port, including time-frequency location, sequence, and cyclic shift, is applied to PSCCH transmission.</w:t>
      </w:r>
    </w:p>
    <w:p w14:paraId="4F46E580" w14:textId="77777777" w:rsidR="00C22790" w:rsidRPr="008F17F4" w:rsidRDefault="00C22790" w:rsidP="00C22790">
      <w:pPr>
        <w:spacing w:after="120"/>
        <w:rPr>
          <w:i/>
          <w:lang w:eastAsia="ja-JP"/>
        </w:rPr>
      </w:pPr>
      <w:r w:rsidRPr="008F17F4">
        <w:rPr>
          <w:i/>
          <w:highlight w:val="darkYellow"/>
          <w:lang w:eastAsia="ja-JP"/>
        </w:rPr>
        <w:t>Working Assumption:</w:t>
      </w:r>
      <w:r w:rsidRPr="008F17F4">
        <w:rPr>
          <w:i/>
          <w:lang w:eastAsia="ja-JP"/>
        </w:rPr>
        <w:t xml:space="preserve"> </w:t>
      </w:r>
    </w:p>
    <w:p w14:paraId="6DDF3298" w14:textId="77777777" w:rsidR="00C22790" w:rsidRPr="008F17F4" w:rsidRDefault="00C22790" w:rsidP="00C22790">
      <w:pPr>
        <w:pStyle w:val="ListParagraph"/>
        <w:numPr>
          <w:ilvl w:val="0"/>
          <w:numId w:val="10"/>
        </w:numPr>
        <w:spacing w:after="120"/>
        <w:rPr>
          <w:i/>
          <w:lang w:eastAsia="ja-JP"/>
        </w:rPr>
      </w:pPr>
      <w:r w:rsidRPr="008F17F4">
        <w:rPr>
          <w:i/>
          <w:lang w:eastAsia="ja-JP"/>
        </w:rPr>
        <w:t>MMSE-MRC receiver is the baseline for Rel-14 UEs</w:t>
      </w:r>
    </w:p>
    <w:p w14:paraId="26A4DBEB" w14:textId="77777777" w:rsidR="00C22790" w:rsidRPr="008F17F4" w:rsidRDefault="00C22790" w:rsidP="00C22790">
      <w:pPr>
        <w:pStyle w:val="ListParagraph"/>
        <w:numPr>
          <w:ilvl w:val="1"/>
          <w:numId w:val="10"/>
        </w:numPr>
        <w:spacing w:after="120"/>
        <w:rPr>
          <w:i/>
          <w:lang w:eastAsia="ja-JP"/>
        </w:rPr>
      </w:pPr>
      <w:r w:rsidRPr="008F17F4">
        <w:rPr>
          <w:i/>
          <w:lang w:eastAsia="ja-JP"/>
        </w:rPr>
        <w:t>Companies can bring results with advanced receivers for Rel-14 UEs</w:t>
      </w:r>
    </w:p>
    <w:p w14:paraId="133CD7CE" w14:textId="77777777" w:rsidR="00C22790" w:rsidRDefault="00C22790" w:rsidP="0049078E">
      <w:pPr>
        <w:jc w:val="both"/>
      </w:pPr>
    </w:p>
    <w:p w14:paraId="24DE1374" w14:textId="0315C7A0" w:rsidR="003A17AE" w:rsidRDefault="00493C89" w:rsidP="0049078E">
      <w:pPr>
        <w:jc w:val="both"/>
      </w:pPr>
      <w:r>
        <w:t>This</w:t>
      </w:r>
      <w:r w:rsidR="0049078E">
        <w:t xml:space="preserve"> contribution</w:t>
      </w:r>
      <w:r>
        <w:t xml:space="preserve"> is organized as follows. In Section 2</w:t>
      </w:r>
      <w:r w:rsidR="0049078E">
        <w:t xml:space="preserve">, we </w:t>
      </w:r>
      <w:r w:rsidR="002047DB">
        <w:t>discuss the pros and cons of several TxD schemes</w:t>
      </w:r>
      <w:r>
        <w:t>. In Section 3, we</w:t>
      </w:r>
      <w:r w:rsidR="004B0B49">
        <w:t xml:space="preserve"> </w:t>
      </w:r>
      <w:r w:rsidR="005A4AA8">
        <w:t>present</w:t>
      </w:r>
      <w:r w:rsidR="004B0B49">
        <w:t xml:space="preserve"> evaluation results of Small delay CDD</w:t>
      </w:r>
      <w:r w:rsidR="0049078E">
        <w:t>.</w:t>
      </w:r>
      <w:r>
        <w:t xml:space="preserve"> Section 4 concludes the contribution.</w:t>
      </w:r>
    </w:p>
    <w:p w14:paraId="6D10FA08" w14:textId="629BF872" w:rsidR="008B368F" w:rsidRDefault="004E16D7" w:rsidP="001C534A">
      <w:pPr>
        <w:pStyle w:val="Heading1"/>
        <w:numPr>
          <w:ilvl w:val="0"/>
          <w:numId w:val="2"/>
        </w:numPr>
      </w:pPr>
      <w:r>
        <w:t xml:space="preserve">Transmit diversity for </w:t>
      </w:r>
      <w:r w:rsidR="00735272">
        <w:t>PSSCH</w:t>
      </w:r>
    </w:p>
    <w:p w14:paraId="4F057DEB" w14:textId="564C0C20" w:rsidR="00850187" w:rsidRDefault="00F0587B" w:rsidP="00F0587B">
      <w:pPr>
        <w:jc w:val="both"/>
      </w:pPr>
      <w:r>
        <w:t>In this section, we compare the agreed candidate transmit diversity schemes for PSSCH</w:t>
      </w:r>
    </w:p>
    <w:p w14:paraId="25DB8379" w14:textId="5E3A3D2D" w:rsidR="0029756E" w:rsidRDefault="0029756E" w:rsidP="00955E0A">
      <w:pPr>
        <w:jc w:val="both"/>
      </w:pPr>
      <w:r>
        <w:t>The key comparison factors include:</w:t>
      </w:r>
    </w:p>
    <w:p w14:paraId="068718E6" w14:textId="0E35BD55" w:rsidR="0029756E" w:rsidRDefault="0029756E" w:rsidP="0029756E">
      <w:pPr>
        <w:pStyle w:val="ListParagraph"/>
        <w:numPr>
          <w:ilvl w:val="0"/>
          <w:numId w:val="6"/>
        </w:numPr>
        <w:jc w:val="both"/>
      </w:pPr>
      <w:r>
        <w:t>Diversity order – performance</w:t>
      </w:r>
    </w:p>
    <w:p w14:paraId="2B99C0AF" w14:textId="43C569E9" w:rsidR="0029756E" w:rsidRDefault="0029756E" w:rsidP="0029756E">
      <w:pPr>
        <w:pStyle w:val="ListParagraph"/>
        <w:numPr>
          <w:ilvl w:val="0"/>
          <w:numId w:val="6"/>
        </w:numPr>
        <w:jc w:val="both"/>
      </w:pPr>
      <w:r>
        <w:t>Transparent / non-Transparent – Transparent schemes can be decoded by Rel-14 UEs, will not need any indication in PSCCH using reserved bits, and will not need separate DMRS port</w:t>
      </w:r>
      <w:r w:rsidR="00F0587B">
        <w:t>. Non-transparent schemes may impact Rel-14 UEs (RSRP measurements and decoding for IRC receivers).</w:t>
      </w:r>
    </w:p>
    <w:p w14:paraId="0859D799" w14:textId="43F5FD26" w:rsidR="00F0587B" w:rsidRDefault="00F0587B" w:rsidP="0029756E">
      <w:pPr>
        <w:pStyle w:val="ListParagraph"/>
        <w:numPr>
          <w:ilvl w:val="0"/>
          <w:numId w:val="6"/>
        </w:numPr>
        <w:jc w:val="both"/>
      </w:pPr>
      <w:r>
        <w:t>PAPR</w:t>
      </w:r>
    </w:p>
    <w:p w14:paraId="5FFABCFF" w14:textId="1071F7DF" w:rsidR="003F652A" w:rsidRPr="003F652A" w:rsidRDefault="00B1403E" w:rsidP="008453F1">
      <w:r w:rsidRPr="00052EB8">
        <w:t>Observation 1:</w:t>
      </w:r>
      <w:r>
        <w:t xml:space="preserve"> </w:t>
      </w:r>
      <w:r w:rsidRPr="00B1403E">
        <w:t xml:space="preserve">Pros and cons of </w:t>
      </w:r>
      <w:r w:rsidR="0099379B">
        <w:t xml:space="preserve">the candidate </w:t>
      </w:r>
      <w:r w:rsidRPr="00B1403E">
        <w:t>TxD schemes are summarized in Table 1</w:t>
      </w:r>
    </w:p>
    <w:p w14:paraId="0EEB85D8" w14:textId="30EDBFD4" w:rsidR="00C447AF" w:rsidRDefault="00C447AF" w:rsidP="00C447AF">
      <w:pPr>
        <w:pStyle w:val="Caption"/>
        <w:keepNext/>
        <w:jc w:val="center"/>
      </w:pPr>
      <w:bookmarkStart w:id="2" w:name="_Ref4781043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0A2B">
        <w:rPr>
          <w:noProof/>
        </w:rPr>
        <w:t>1</w:t>
      </w:r>
      <w:r>
        <w:fldChar w:fldCharType="end"/>
      </w:r>
      <w:bookmarkEnd w:id="2"/>
      <w:r>
        <w:t>: Summary of Tx Diversity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7"/>
        <w:gridCol w:w="1059"/>
        <w:gridCol w:w="1597"/>
        <w:gridCol w:w="1150"/>
        <w:gridCol w:w="3707"/>
      </w:tblGrid>
      <w:tr w:rsidR="00376325" w:rsidRPr="00C447AF" w14:paraId="609C65BE" w14:textId="1AC807E1" w:rsidTr="0013285C">
        <w:tc>
          <w:tcPr>
            <w:tcW w:w="1837" w:type="dxa"/>
          </w:tcPr>
          <w:p w14:paraId="6C5B1DA9" w14:textId="7A5C12B9" w:rsidR="00C447AF" w:rsidRPr="00C447AF" w:rsidRDefault="00C447AF" w:rsidP="00196A7A">
            <w:pPr>
              <w:spacing w:after="0"/>
              <w:rPr>
                <w:b/>
              </w:rPr>
            </w:pPr>
            <w:r w:rsidRPr="00C447AF">
              <w:rPr>
                <w:b/>
              </w:rPr>
              <w:t>Tx diversity scheme</w:t>
            </w:r>
          </w:p>
        </w:tc>
        <w:tc>
          <w:tcPr>
            <w:tcW w:w="1059" w:type="dxa"/>
          </w:tcPr>
          <w:p w14:paraId="7E8DBED9" w14:textId="48154629" w:rsidR="00C447AF" w:rsidRPr="00C447AF" w:rsidRDefault="00C447AF" w:rsidP="00196A7A">
            <w:pPr>
              <w:spacing w:after="0"/>
              <w:rPr>
                <w:b/>
              </w:rPr>
            </w:pPr>
            <w:r w:rsidRPr="00C447AF">
              <w:rPr>
                <w:b/>
              </w:rPr>
              <w:t>Diversity order</w:t>
            </w:r>
            <w:r w:rsidR="00196A7A">
              <w:rPr>
                <w:b/>
              </w:rPr>
              <w:t xml:space="preserve"> (for 2Tx)</w:t>
            </w:r>
          </w:p>
        </w:tc>
        <w:tc>
          <w:tcPr>
            <w:tcW w:w="1597" w:type="dxa"/>
          </w:tcPr>
          <w:p w14:paraId="1EDF7EC0" w14:textId="3329318C" w:rsidR="00C447AF" w:rsidRPr="00C447AF" w:rsidRDefault="00C447AF" w:rsidP="00196A7A">
            <w:pPr>
              <w:spacing w:after="0"/>
              <w:rPr>
                <w:b/>
              </w:rPr>
            </w:pPr>
            <w:r w:rsidRPr="00C447AF">
              <w:rPr>
                <w:b/>
              </w:rPr>
              <w:t xml:space="preserve">Transparent / non-transparent </w:t>
            </w:r>
          </w:p>
        </w:tc>
        <w:tc>
          <w:tcPr>
            <w:tcW w:w="1150" w:type="dxa"/>
          </w:tcPr>
          <w:p w14:paraId="7F0E3F39" w14:textId="2292900E" w:rsidR="00C447AF" w:rsidRPr="00C447AF" w:rsidRDefault="00C447AF" w:rsidP="00196A7A">
            <w:pPr>
              <w:spacing w:after="0"/>
              <w:rPr>
                <w:b/>
              </w:rPr>
            </w:pPr>
            <w:r w:rsidRPr="00C447AF">
              <w:rPr>
                <w:b/>
              </w:rPr>
              <w:t>DMRS ports needed</w:t>
            </w:r>
          </w:p>
        </w:tc>
        <w:tc>
          <w:tcPr>
            <w:tcW w:w="3707" w:type="dxa"/>
          </w:tcPr>
          <w:p w14:paraId="06E2F9D0" w14:textId="7CDD5B9D" w:rsidR="00C447AF" w:rsidRPr="00C447AF" w:rsidRDefault="00C447AF" w:rsidP="00196A7A">
            <w:pPr>
              <w:spacing w:after="0"/>
              <w:rPr>
                <w:b/>
              </w:rPr>
            </w:pPr>
            <w:r w:rsidRPr="00C447AF">
              <w:rPr>
                <w:b/>
              </w:rPr>
              <w:t>Comments</w:t>
            </w:r>
          </w:p>
        </w:tc>
      </w:tr>
      <w:tr w:rsidR="00376325" w:rsidRPr="00C447AF" w14:paraId="19C23724" w14:textId="77777777" w:rsidTr="0013285C">
        <w:tc>
          <w:tcPr>
            <w:tcW w:w="1837" w:type="dxa"/>
          </w:tcPr>
          <w:p w14:paraId="29FD2CDD" w14:textId="3E90D001" w:rsidR="00A169FF" w:rsidRPr="00C447AF" w:rsidRDefault="00F0587B" w:rsidP="00A169FF">
            <w:pPr>
              <w:spacing w:after="0"/>
              <w:rPr>
                <w:b/>
              </w:rPr>
            </w:pPr>
            <w:r>
              <w:t>PV</w:t>
            </w:r>
            <w:r w:rsidR="007A40D6">
              <w:t xml:space="preserve">S in </w:t>
            </w:r>
            <w:r>
              <w:t>time domain</w:t>
            </w:r>
          </w:p>
        </w:tc>
        <w:tc>
          <w:tcPr>
            <w:tcW w:w="1059" w:type="dxa"/>
          </w:tcPr>
          <w:p w14:paraId="70AEDFE4" w14:textId="54887C32" w:rsidR="00A169FF" w:rsidRPr="00C447AF" w:rsidRDefault="00F0587B" w:rsidP="00A169FF">
            <w:pPr>
              <w:spacing w:after="0"/>
              <w:rPr>
                <w:b/>
              </w:rPr>
            </w:pPr>
            <w:r>
              <w:t>&lt; 2</w:t>
            </w:r>
          </w:p>
        </w:tc>
        <w:tc>
          <w:tcPr>
            <w:tcW w:w="1597" w:type="dxa"/>
          </w:tcPr>
          <w:p w14:paraId="7FD02436" w14:textId="13116F18" w:rsidR="00376325" w:rsidRPr="008453F1" w:rsidRDefault="00F0587B" w:rsidP="00A169FF">
            <w:pPr>
              <w:spacing w:after="0"/>
            </w:pPr>
            <w:r>
              <w:t>Non-transparent</w:t>
            </w:r>
          </w:p>
        </w:tc>
        <w:tc>
          <w:tcPr>
            <w:tcW w:w="1150" w:type="dxa"/>
          </w:tcPr>
          <w:p w14:paraId="6F0A2B84" w14:textId="1EDFB8E6" w:rsidR="00A169FF" w:rsidRPr="00C447AF" w:rsidRDefault="00376325" w:rsidP="00A169FF">
            <w:pPr>
              <w:spacing w:after="0"/>
              <w:rPr>
                <w:b/>
              </w:rPr>
            </w:pPr>
            <w:r>
              <w:t>1 or 2 (depending on pre-coded DMRS or not)</w:t>
            </w:r>
          </w:p>
        </w:tc>
        <w:tc>
          <w:tcPr>
            <w:tcW w:w="3707" w:type="dxa"/>
          </w:tcPr>
          <w:p w14:paraId="61AB1B24" w14:textId="19899045" w:rsidR="00F0587B" w:rsidRDefault="00F0587B" w:rsidP="00A169FF">
            <w:pPr>
              <w:spacing w:after="0"/>
            </w:pPr>
            <w:r>
              <w:t>Pros</w:t>
            </w:r>
          </w:p>
          <w:p w14:paraId="4D705E83" w14:textId="06860762" w:rsidR="00F0587B" w:rsidRDefault="00F0587B" w:rsidP="008453F1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>Low PAPR</w:t>
            </w:r>
            <w:r w:rsidR="00CC12AD">
              <w:t>, low complexity</w:t>
            </w:r>
          </w:p>
          <w:p w14:paraId="2B027022" w14:textId="655C4446" w:rsidR="00F0587B" w:rsidRDefault="00F0587B" w:rsidP="008453F1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>Diversity order depends on precoder selection</w:t>
            </w:r>
          </w:p>
          <w:p w14:paraId="5A65F920" w14:textId="41D55470" w:rsidR="00A169FF" w:rsidRDefault="00F0587B" w:rsidP="00A169FF">
            <w:pPr>
              <w:spacing w:after="0"/>
            </w:pPr>
            <w:r>
              <w:t>Cons</w:t>
            </w:r>
          </w:p>
          <w:p w14:paraId="4F68E46E" w14:textId="77777777" w:rsidR="00F0587B" w:rsidRPr="008453F1" w:rsidRDefault="00F0587B" w:rsidP="008453F1">
            <w:pPr>
              <w:pStyle w:val="ListParagraph"/>
              <w:numPr>
                <w:ilvl w:val="0"/>
                <w:numId w:val="17"/>
              </w:numPr>
              <w:spacing w:after="0"/>
              <w:rPr>
                <w:b/>
              </w:rPr>
            </w:pPr>
            <w:r>
              <w:t>Non-transparent</w:t>
            </w:r>
          </w:p>
          <w:p w14:paraId="24512EF8" w14:textId="77777777" w:rsidR="00F0587B" w:rsidRPr="008453F1" w:rsidRDefault="00376325" w:rsidP="008453F1">
            <w:pPr>
              <w:pStyle w:val="ListParagraph"/>
              <w:numPr>
                <w:ilvl w:val="0"/>
                <w:numId w:val="17"/>
              </w:numPr>
              <w:spacing w:after="0"/>
              <w:rPr>
                <w:b/>
              </w:rPr>
            </w:pPr>
            <w:r>
              <w:t>Limited gains in high mobility scenario</w:t>
            </w:r>
          </w:p>
          <w:p w14:paraId="7434698D" w14:textId="5B73B643" w:rsidR="007A40D6" w:rsidRPr="008453F1" w:rsidRDefault="007A40D6" w:rsidP="008453F1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>Affect Rel-14 coexistence</w:t>
            </w:r>
          </w:p>
        </w:tc>
      </w:tr>
      <w:tr w:rsidR="00376325" w:rsidRPr="00C447AF" w14:paraId="08D11E70" w14:textId="77777777" w:rsidTr="0013285C">
        <w:tc>
          <w:tcPr>
            <w:tcW w:w="1837" w:type="dxa"/>
          </w:tcPr>
          <w:p w14:paraId="09737D25" w14:textId="2E93C094" w:rsidR="00A169FF" w:rsidRDefault="00A169FF" w:rsidP="00A169FF">
            <w:pPr>
              <w:spacing w:after="0"/>
            </w:pPr>
            <w:r>
              <w:t>Small delay CDD</w:t>
            </w:r>
          </w:p>
        </w:tc>
        <w:tc>
          <w:tcPr>
            <w:tcW w:w="1059" w:type="dxa"/>
          </w:tcPr>
          <w:p w14:paraId="2E949842" w14:textId="754FB2C6" w:rsidR="00A169FF" w:rsidRDefault="00A169FF" w:rsidP="00A169FF">
            <w:pPr>
              <w:spacing w:after="0"/>
            </w:pPr>
            <w:r>
              <w:t>&lt; 2</w:t>
            </w:r>
          </w:p>
        </w:tc>
        <w:tc>
          <w:tcPr>
            <w:tcW w:w="1597" w:type="dxa"/>
          </w:tcPr>
          <w:p w14:paraId="15A1EF13" w14:textId="0D8A51F0" w:rsidR="00A169FF" w:rsidRDefault="00A169FF" w:rsidP="00A169FF">
            <w:pPr>
              <w:spacing w:after="0"/>
            </w:pPr>
            <w:r>
              <w:t>Transparent</w:t>
            </w:r>
          </w:p>
        </w:tc>
        <w:tc>
          <w:tcPr>
            <w:tcW w:w="1150" w:type="dxa"/>
          </w:tcPr>
          <w:p w14:paraId="005D703E" w14:textId="0E762F58" w:rsidR="00A169FF" w:rsidRDefault="00A169FF" w:rsidP="00A169FF">
            <w:pPr>
              <w:spacing w:after="0"/>
            </w:pPr>
            <w:r>
              <w:t>1</w:t>
            </w:r>
          </w:p>
        </w:tc>
        <w:tc>
          <w:tcPr>
            <w:tcW w:w="3707" w:type="dxa"/>
          </w:tcPr>
          <w:p w14:paraId="6702FD90" w14:textId="77777777" w:rsidR="00A169FF" w:rsidRDefault="00A169FF" w:rsidP="00A169FF">
            <w:pPr>
              <w:spacing w:after="0"/>
            </w:pPr>
            <w:r>
              <w:t>Pros</w:t>
            </w:r>
          </w:p>
          <w:p w14:paraId="78C658CC" w14:textId="77777777" w:rsidR="00A169FF" w:rsidRDefault="00A169FF" w:rsidP="00A169FF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Transparent</w:t>
            </w:r>
          </w:p>
          <w:p w14:paraId="6C4981FE" w14:textId="77777777" w:rsidR="00A169FF" w:rsidRDefault="00A169FF" w:rsidP="00A169FF">
            <w:pPr>
              <w:spacing w:after="0"/>
            </w:pPr>
            <w:r>
              <w:t>Cons</w:t>
            </w:r>
          </w:p>
          <w:p w14:paraId="109CCCCC" w14:textId="77777777" w:rsidR="007A40D6" w:rsidRDefault="00A169FF" w:rsidP="008453F1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Limited diversity gains</w:t>
            </w:r>
          </w:p>
          <w:p w14:paraId="1BA7A0D0" w14:textId="19677125" w:rsidR="00A169FF" w:rsidRDefault="007A40D6" w:rsidP="008453F1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May have performance impacts with spatial correlation</w:t>
            </w:r>
          </w:p>
        </w:tc>
      </w:tr>
      <w:tr w:rsidR="00376325" w:rsidRPr="00C447AF" w14:paraId="77729787" w14:textId="6A9B0C68" w:rsidTr="0013285C">
        <w:tc>
          <w:tcPr>
            <w:tcW w:w="1837" w:type="dxa"/>
          </w:tcPr>
          <w:p w14:paraId="2A036962" w14:textId="135D1F7D" w:rsidR="00C447AF" w:rsidRPr="00C447AF" w:rsidRDefault="003966AC" w:rsidP="00196A7A">
            <w:pPr>
              <w:spacing w:after="0"/>
            </w:pPr>
            <w:r>
              <w:t>STBC</w:t>
            </w:r>
          </w:p>
        </w:tc>
        <w:tc>
          <w:tcPr>
            <w:tcW w:w="1059" w:type="dxa"/>
          </w:tcPr>
          <w:p w14:paraId="5FEEA6F2" w14:textId="076C4478" w:rsidR="00C447AF" w:rsidRPr="00C447AF" w:rsidRDefault="003966AC" w:rsidP="00196A7A">
            <w:pPr>
              <w:spacing w:after="0"/>
            </w:pPr>
            <w:r>
              <w:t>2</w:t>
            </w:r>
          </w:p>
        </w:tc>
        <w:tc>
          <w:tcPr>
            <w:tcW w:w="1597" w:type="dxa"/>
          </w:tcPr>
          <w:p w14:paraId="618783A7" w14:textId="5E741833" w:rsidR="00C447AF" w:rsidRPr="00C447AF" w:rsidRDefault="003966AC" w:rsidP="00196A7A">
            <w:pPr>
              <w:spacing w:after="0"/>
            </w:pPr>
            <w:r>
              <w:t>Non-transparent</w:t>
            </w:r>
          </w:p>
        </w:tc>
        <w:tc>
          <w:tcPr>
            <w:tcW w:w="1150" w:type="dxa"/>
          </w:tcPr>
          <w:p w14:paraId="26D29388" w14:textId="26D141C2" w:rsidR="00C447AF" w:rsidRPr="00C447AF" w:rsidRDefault="003966AC" w:rsidP="00196A7A">
            <w:pPr>
              <w:spacing w:after="0"/>
            </w:pPr>
            <w:r>
              <w:t>2</w:t>
            </w:r>
          </w:p>
        </w:tc>
        <w:tc>
          <w:tcPr>
            <w:tcW w:w="3707" w:type="dxa"/>
          </w:tcPr>
          <w:p w14:paraId="1D53B6D0" w14:textId="62ED69D7" w:rsidR="00C447AF" w:rsidRDefault="003966AC" w:rsidP="00196A7A">
            <w:pPr>
              <w:spacing w:after="0"/>
            </w:pPr>
            <w:r>
              <w:t>Pros</w:t>
            </w:r>
          </w:p>
          <w:p w14:paraId="06737738" w14:textId="77777777" w:rsidR="003966AC" w:rsidRDefault="00E75961" w:rsidP="003966AC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Achieves full diversity</w:t>
            </w:r>
          </w:p>
          <w:p w14:paraId="426928F2" w14:textId="77777777" w:rsidR="00E75961" w:rsidRDefault="00E75961" w:rsidP="00E75961">
            <w:pPr>
              <w:spacing w:after="0"/>
            </w:pPr>
            <w:r>
              <w:t>Cons</w:t>
            </w:r>
          </w:p>
          <w:p w14:paraId="5D34FC73" w14:textId="5C28AD77" w:rsidR="00E75961" w:rsidRDefault="00E75961" w:rsidP="00E75961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Non-transparent</w:t>
            </w:r>
          </w:p>
          <w:p w14:paraId="276524B4" w14:textId="0134B9D9" w:rsidR="00E75961" w:rsidRDefault="007A40D6" w:rsidP="00E75961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Orphan symbol treatment</w:t>
            </w:r>
          </w:p>
          <w:p w14:paraId="5937D450" w14:textId="52272A56" w:rsidR="007A40D6" w:rsidRPr="00C447AF" w:rsidRDefault="007A40D6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Affect Rel-14 coexistence</w:t>
            </w:r>
          </w:p>
        </w:tc>
      </w:tr>
      <w:tr w:rsidR="00376325" w:rsidRPr="00C447AF" w14:paraId="2288ED7E" w14:textId="77777777" w:rsidTr="0013285C">
        <w:tc>
          <w:tcPr>
            <w:tcW w:w="1837" w:type="dxa"/>
          </w:tcPr>
          <w:p w14:paraId="0AFED006" w14:textId="42D76592" w:rsidR="00584393" w:rsidRDefault="00584393" w:rsidP="00584393">
            <w:pPr>
              <w:spacing w:after="0"/>
            </w:pPr>
            <w:r>
              <w:lastRenderedPageBreak/>
              <w:t xml:space="preserve">Half-symbol STBC </w:t>
            </w:r>
            <w:r w:rsidR="00A201A2">
              <w:br/>
            </w:r>
            <w:r>
              <w:t>[</w:t>
            </w:r>
            <w:r w:rsidRPr="00D70577">
              <w:t>R1-1702601</w:t>
            </w:r>
            <w:r>
              <w:t>]</w:t>
            </w:r>
          </w:p>
        </w:tc>
        <w:tc>
          <w:tcPr>
            <w:tcW w:w="1059" w:type="dxa"/>
          </w:tcPr>
          <w:p w14:paraId="6C7F2B74" w14:textId="55B3CEDC" w:rsidR="00584393" w:rsidRDefault="00584393" w:rsidP="00584393">
            <w:pPr>
              <w:spacing w:after="0"/>
            </w:pPr>
            <w:r>
              <w:t>2</w:t>
            </w:r>
          </w:p>
        </w:tc>
        <w:tc>
          <w:tcPr>
            <w:tcW w:w="1597" w:type="dxa"/>
          </w:tcPr>
          <w:p w14:paraId="65B2E099" w14:textId="6E13AD4E" w:rsidR="00584393" w:rsidRDefault="00584393" w:rsidP="00584393">
            <w:pPr>
              <w:spacing w:after="0"/>
            </w:pPr>
            <w:r>
              <w:t>Non-transparent</w:t>
            </w:r>
          </w:p>
        </w:tc>
        <w:tc>
          <w:tcPr>
            <w:tcW w:w="1150" w:type="dxa"/>
          </w:tcPr>
          <w:p w14:paraId="1A5F374F" w14:textId="03EC6BF2" w:rsidR="00584393" w:rsidRDefault="00584393" w:rsidP="00584393">
            <w:pPr>
              <w:spacing w:after="0"/>
            </w:pPr>
            <w:r>
              <w:t>2</w:t>
            </w:r>
          </w:p>
        </w:tc>
        <w:tc>
          <w:tcPr>
            <w:tcW w:w="3707" w:type="dxa"/>
          </w:tcPr>
          <w:p w14:paraId="1FF5D7E4" w14:textId="77777777" w:rsidR="00584393" w:rsidRDefault="00584393" w:rsidP="00584393">
            <w:pPr>
              <w:spacing w:after="0"/>
            </w:pPr>
            <w:r>
              <w:t>Pros</w:t>
            </w:r>
          </w:p>
          <w:p w14:paraId="3568096A" w14:textId="77777777" w:rsidR="00584393" w:rsidRDefault="00584393" w:rsidP="00584393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Achieves full diversity</w:t>
            </w:r>
          </w:p>
          <w:p w14:paraId="733DFB33" w14:textId="77777777" w:rsidR="00584393" w:rsidRDefault="00584393" w:rsidP="00584393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Works for any # symbols</w:t>
            </w:r>
          </w:p>
          <w:p w14:paraId="2BDACF9C" w14:textId="77777777" w:rsidR="00584393" w:rsidRDefault="00584393" w:rsidP="00584393">
            <w:pPr>
              <w:spacing w:after="0"/>
            </w:pPr>
            <w:r>
              <w:t>Cons</w:t>
            </w:r>
          </w:p>
          <w:p w14:paraId="30314998" w14:textId="77777777" w:rsidR="001F7834" w:rsidRDefault="00584393" w:rsidP="008453F1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Non-transparent</w:t>
            </w:r>
          </w:p>
          <w:p w14:paraId="51D9907D" w14:textId="0E821A22" w:rsidR="00584393" w:rsidRDefault="00584393" w:rsidP="008453F1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Affect Rel-14 coexistence</w:t>
            </w:r>
          </w:p>
        </w:tc>
      </w:tr>
      <w:tr w:rsidR="00376325" w:rsidRPr="00C447AF" w14:paraId="7D16B613" w14:textId="4DD8D56E" w:rsidTr="0013285C">
        <w:tc>
          <w:tcPr>
            <w:tcW w:w="1837" w:type="dxa"/>
          </w:tcPr>
          <w:p w14:paraId="022C0F0E" w14:textId="6B00593C" w:rsidR="00584393" w:rsidRPr="00C447AF" w:rsidRDefault="00584393" w:rsidP="00584393">
            <w:pPr>
              <w:spacing w:after="0"/>
            </w:pPr>
            <w:r>
              <w:t>SFBC</w:t>
            </w:r>
          </w:p>
        </w:tc>
        <w:tc>
          <w:tcPr>
            <w:tcW w:w="1059" w:type="dxa"/>
          </w:tcPr>
          <w:p w14:paraId="6F4A4D0C" w14:textId="76BE9C98" w:rsidR="00584393" w:rsidRPr="00C447AF" w:rsidRDefault="00584393" w:rsidP="00584393">
            <w:pPr>
              <w:spacing w:after="0"/>
            </w:pPr>
            <w:r>
              <w:t>2</w:t>
            </w:r>
          </w:p>
        </w:tc>
        <w:tc>
          <w:tcPr>
            <w:tcW w:w="1597" w:type="dxa"/>
          </w:tcPr>
          <w:p w14:paraId="107AB1B6" w14:textId="3C712A17" w:rsidR="00584393" w:rsidRPr="00C447AF" w:rsidRDefault="00584393" w:rsidP="00584393">
            <w:pPr>
              <w:spacing w:after="0"/>
            </w:pPr>
            <w:r>
              <w:t>Non-transparent</w:t>
            </w:r>
          </w:p>
        </w:tc>
        <w:tc>
          <w:tcPr>
            <w:tcW w:w="1150" w:type="dxa"/>
          </w:tcPr>
          <w:p w14:paraId="4E005055" w14:textId="44D4722A" w:rsidR="00584393" w:rsidRPr="00C447AF" w:rsidRDefault="00584393" w:rsidP="00584393">
            <w:pPr>
              <w:spacing w:after="0"/>
            </w:pPr>
            <w:r>
              <w:t>2</w:t>
            </w:r>
          </w:p>
        </w:tc>
        <w:tc>
          <w:tcPr>
            <w:tcW w:w="3707" w:type="dxa"/>
          </w:tcPr>
          <w:p w14:paraId="009F6226" w14:textId="77777777" w:rsidR="00584393" w:rsidRDefault="00584393" w:rsidP="00584393">
            <w:pPr>
              <w:spacing w:after="0"/>
            </w:pPr>
            <w:r>
              <w:t>Pros</w:t>
            </w:r>
          </w:p>
          <w:p w14:paraId="7D84EB0C" w14:textId="77777777" w:rsidR="00584393" w:rsidRDefault="00584393" w:rsidP="00584393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Achieves full diversity</w:t>
            </w:r>
          </w:p>
          <w:p w14:paraId="6F3A21BF" w14:textId="77777777" w:rsidR="00584393" w:rsidRDefault="00584393" w:rsidP="00584393">
            <w:pPr>
              <w:spacing w:after="0"/>
            </w:pPr>
            <w:r>
              <w:t>Cons</w:t>
            </w:r>
          </w:p>
          <w:p w14:paraId="2DCDB711" w14:textId="68FCFFFD" w:rsidR="00584393" w:rsidRDefault="00584393" w:rsidP="00584393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Non-transparent</w:t>
            </w:r>
          </w:p>
          <w:p w14:paraId="18B6F06F" w14:textId="77777777" w:rsidR="007A40D6" w:rsidRDefault="007A40D6" w:rsidP="007A40D6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>High PAPR</w:t>
            </w:r>
          </w:p>
          <w:p w14:paraId="1280CB09" w14:textId="7724F3BB" w:rsidR="00584393" w:rsidRPr="00C447AF" w:rsidRDefault="00584393" w:rsidP="008453F1">
            <w:pPr>
              <w:pStyle w:val="ListParagraph"/>
              <w:numPr>
                <w:ilvl w:val="0"/>
                <w:numId w:val="7"/>
              </w:numPr>
              <w:spacing w:after="0"/>
            </w:pPr>
            <w:r>
              <w:t xml:space="preserve">Affect Rel-14 coexistence </w:t>
            </w:r>
          </w:p>
        </w:tc>
      </w:tr>
    </w:tbl>
    <w:p w14:paraId="52242653" w14:textId="111FE093" w:rsidR="00C447AF" w:rsidRDefault="00C447AF" w:rsidP="0029756E">
      <w:pPr>
        <w:jc w:val="both"/>
      </w:pPr>
    </w:p>
    <w:p w14:paraId="24F24364" w14:textId="02AED13C" w:rsidR="007A40D6" w:rsidRDefault="007A40D6" w:rsidP="0029756E">
      <w:pPr>
        <w:jc w:val="both"/>
      </w:pPr>
      <w:r>
        <w:t xml:space="preserve">Among the non-transparent schemes above, SFBC should be avoided as it has higher PAPR. Further STBC will outperform PVS in time domain, and PVS </w:t>
      </w:r>
      <w:r w:rsidR="00CC12AD">
        <w:t>does not offer any advantage (ex</w:t>
      </w:r>
      <w:r w:rsidR="00005C0D">
        <w:t>c</w:t>
      </w:r>
      <w:r w:rsidR="00CC12AD">
        <w:t>e</w:t>
      </w:r>
      <w:r w:rsidR="00005C0D">
        <w:t>p</w:t>
      </w:r>
      <w:r w:rsidR="00CC12AD">
        <w:t>t for complexity)</w:t>
      </w:r>
      <w:r w:rsidR="00916D98">
        <w:t xml:space="preserve"> over STBC. STBC has the orphan symbol problem, but we can combine STBC + virtual half symbol STBC for orphan symbol to get the best diversity performance for V2X scenarios.</w:t>
      </w:r>
    </w:p>
    <w:p w14:paraId="4303FAE6" w14:textId="2BAA73CE" w:rsidR="00916D98" w:rsidRDefault="00642B33" w:rsidP="0029756E">
      <w:pPr>
        <w:jc w:val="both"/>
      </w:pPr>
      <w:r>
        <w:t>We can then down-select among the following two transmit diversity schemes:</w:t>
      </w:r>
    </w:p>
    <w:p w14:paraId="452963E0" w14:textId="6B3CB263" w:rsidR="00642B33" w:rsidRPr="008453F1" w:rsidRDefault="00642B33" w:rsidP="008453F1">
      <w:pPr>
        <w:pStyle w:val="ListParagraph"/>
        <w:numPr>
          <w:ilvl w:val="0"/>
          <w:numId w:val="19"/>
        </w:numPr>
        <w:jc w:val="both"/>
      </w:pPr>
      <w:r w:rsidRPr="008453F1">
        <w:t>Transparent – SCDD</w:t>
      </w:r>
    </w:p>
    <w:p w14:paraId="1CA7A78E" w14:textId="569462AC" w:rsidR="00642B33" w:rsidRDefault="00642B33" w:rsidP="008453F1">
      <w:pPr>
        <w:pStyle w:val="ListParagraph"/>
        <w:numPr>
          <w:ilvl w:val="0"/>
          <w:numId w:val="19"/>
        </w:numPr>
        <w:jc w:val="both"/>
      </w:pPr>
      <w:r w:rsidRPr="008453F1">
        <w:t>Non-transparent – STBC with virtual half-symbol STBC for orphan (first) symbol</w:t>
      </w:r>
    </w:p>
    <w:p w14:paraId="4D32589C" w14:textId="77777777" w:rsidR="00642B33" w:rsidRDefault="00642B33">
      <w:pPr>
        <w:jc w:val="both"/>
      </w:pPr>
      <w:r>
        <w:t xml:space="preserve">Selection among the two is related to transparent vs. non-transparent. In our view, while non-transparent schemes provide higher performance improvement, it is expected to affect Rel-14 UEs (RSRP measurements and demodulation of IRC receivers). </w:t>
      </w:r>
    </w:p>
    <w:p w14:paraId="159A4604" w14:textId="6C93F809" w:rsidR="00642B33" w:rsidRDefault="003761E1">
      <w:pPr>
        <w:jc w:val="both"/>
      </w:pPr>
      <w:r>
        <w:t xml:space="preserve">Further, note that the </w:t>
      </w:r>
      <w:r w:rsidR="00642B33">
        <w:t xml:space="preserve">RSRP measurement may be impacted more than 3dB as it depends on the channel estimation / cleaning being done at the Rel-14 UE. For example, if the UE uses channel centre-of-mass estimation for timing correction, then the loss in RSRP measurement will be more than 3dB. In other words, the bi-modal channel being observed at the receiver (with CDM of the two DMRS ports) may result in higher than 3dB loss depending on channel estimation algorithm. </w:t>
      </w:r>
    </w:p>
    <w:p w14:paraId="039F6377" w14:textId="3AB36AAA" w:rsidR="0016086D" w:rsidRDefault="0041682D">
      <w:pPr>
        <w:jc w:val="both"/>
      </w:pPr>
      <w:r>
        <w:t xml:space="preserve">For transparent scheme (SCDD) it was also discussed if any specification is necessary. In our view, we can specify SCDD operation with the delay to </w:t>
      </w:r>
      <w:r w:rsidR="00005C0D">
        <w:t xml:space="preserve">be </w:t>
      </w:r>
      <w:r>
        <w:t>use</w:t>
      </w:r>
      <w:r w:rsidR="00005C0D">
        <w:t>d</w:t>
      </w:r>
      <w:r>
        <w:t xml:space="preserve"> by the transmitter </w:t>
      </w:r>
      <w:r w:rsidR="00005C0D">
        <w:t>being</w:t>
      </w:r>
      <w:r>
        <w:t xml:space="preserve"> provided as a semi-static RRC (pre)configuration. In this regard, RAN1 will not need to discuss the exact maximum value for the delay that the transmitter can use, and </w:t>
      </w:r>
      <w:r w:rsidR="00005C0D">
        <w:t xml:space="preserve">the scheme </w:t>
      </w:r>
      <w:r>
        <w:t xml:space="preserve">is easily adopted in practical scenarios depending on the observed channel delay spread. </w:t>
      </w:r>
    </w:p>
    <w:p w14:paraId="17A30121" w14:textId="4A2064A7" w:rsidR="00CF1071" w:rsidRDefault="00CF1071" w:rsidP="0029756E">
      <w:pPr>
        <w:jc w:val="both"/>
      </w:pPr>
      <w:r w:rsidRPr="008453F1">
        <w:rPr>
          <w:b/>
        </w:rPr>
        <w:t>Observation 2:</w:t>
      </w:r>
      <w:r>
        <w:t xml:space="preserve"> Non-transparent transmit </w:t>
      </w:r>
      <w:r w:rsidR="00863A58">
        <w:t xml:space="preserve">diversity </w:t>
      </w:r>
      <w:r>
        <w:t xml:space="preserve">schemes </w:t>
      </w:r>
      <w:r w:rsidR="00642B33">
        <w:t xml:space="preserve">may affect </w:t>
      </w:r>
      <w:r>
        <w:t>R-14 performance</w:t>
      </w:r>
      <w:r w:rsidR="00934953">
        <w:t>.</w:t>
      </w:r>
    </w:p>
    <w:p w14:paraId="758E6C62" w14:textId="335609A8" w:rsidR="00E470CF" w:rsidRDefault="00E470CF" w:rsidP="0029756E">
      <w:pPr>
        <w:jc w:val="both"/>
      </w:pPr>
      <w:r w:rsidRPr="008453F1">
        <w:rPr>
          <w:b/>
        </w:rPr>
        <w:t>Proposal 1:</w:t>
      </w:r>
      <w:r>
        <w:t xml:space="preserve"> Non-transparent transmit diversity schemes are not supported in V2X phase 2.</w:t>
      </w:r>
    </w:p>
    <w:p w14:paraId="7015DBA0" w14:textId="26A6AEF0" w:rsidR="0041682D" w:rsidRDefault="00E470CF" w:rsidP="0029756E">
      <w:pPr>
        <w:jc w:val="both"/>
      </w:pPr>
      <w:r w:rsidRPr="008453F1">
        <w:rPr>
          <w:b/>
        </w:rPr>
        <w:t>Proposal 2:</w:t>
      </w:r>
      <w:r>
        <w:t xml:space="preserve"> Further discuss s</w:t>
      </w:r>
      <w:r w:rsidR="00642B33" w:rsidRPr="008453F1">
        <w:t xml:space="preserve">upport </w:t>
      </w:r>
      <w:r>
        <w:t xml:space="preserve">of </w:t>
      </w:r>
      <w:r w:rsidR="00052EB8">
        <w:t xml:space="preserve">only </w:t>
      </w:r>
      <w:r w:rsidR="00642B33" w:rsidRPr="008453F1">
        <w:t>small delay CDD as the d</w:t>
      </w:r>
      <w:r w:rsidR="00642B33">
        <w:t>iversity scheme for V2X Phase 2</w:t>
      </w:r>
      <w:r>
        <w:t>.</w:t>
      </w:r>
    </w:p>
    <w:p w14:paraId="3D779B40" w14:textId="4E0CBDC1" w:rsidR="00863A58" w:rsidRDefault="0041682D" w:rsidP="0029756E">
      <w:pPr>
        <w:jc w:val="both"/>
      </w:pPr>
      <w:r w:rsidRPr="008453F1">
        <w:rPr>
          <w:b/>
        </w:rPr>
        <w:t>P</w:t>
      </w:r>
      <w:r w:rsidR="001C0CFF" w:rsidRPr="00E470CF">
        <w:rPr>
          <w:b/>
        </w:rPr>
        <w:t xml:space="preserve">roposal </w:t>
      </w:r>
      <w:r w:rsidR="001C0CFF">
        <w:rPr>
          <w:b/>
        </w:rPr>
        <w:t>3</w:t>
      </w:r>
      <w:r w:rsidRPr="008453F1">
        <w:rPr>
          <w:b/>
        </w:rPr>
        <w:t>:</w:t>
      </w:r>
      <w:r>
        <w:t xml:space="preserve"> </w:t>
      </w:r>
      <w:r w:rsidR="00F365DC">
        <w:t xml:space="preserve">If SCDD is supported the </w:t>
      </w:r>
      <w:r>
        <w:t xml:space="preserve">delay value </w:t>
      </w:r>
      <w:r w:rsidR="00F365DC">
        <w:t xml:space="preserve">should be </w:t>
      </w:r>
      <w:r>
        <w:t xml:space="preserve">provided as a RRC (pre)configuration. </w:t>
      </w:r>
    </w:p>
    <w:p w14:paraId="1A7AF645" w14:textId="08260D8B" w:rsidR="005B630C" w:rsidRDefault="005B630C" w:rsidP="005B630C">
      <w:pPr>
        <w:pStyle w:val="Heading1"/>
      </w:pPr>
      <w:r w:rsidRPr="008453F1">
        <w:t>4</w:t>
      </w:r>
      <w:r>
        <w:tab/>
      </w:r>
      <w:r>
        <w:t>Evaluation results for SCDD</w:t>
      </w:r>
      <w:bookmarkStart w:id="3" w:name="_GoBack"/>
      <w:bookmarkEnd w:id="3"/>
    </w:p>
    <w:p w14:paraId="44C88A49" w14:textId="5B404C73" w:rsidR="00CE08EE" w:rsidRDefault="00CE08EE" w:rsidP="008453F1">
      <w:pPr>
        <w:jc w:val="both"/>
      </w:pPr>
      <w:r>
        <w:t xml:space="preserve">In this section, </w:t>
      </w:r>
      <w:r w:rsidR="00024D50">
        <w:t>we evaluate the performance of S</w:t>
      </w:r>
      <w:r>
        <w:t>mall delay CDD</w:t>
      </w:r>
      <w:r w:rsidR="00B4339B">
        <w:t xml:space="preserve"> for both PSSCH and PSCCH</w:t>
      </w:r>
      <w:r>
        <w:t>.</w:t>
      </w:r>
      <w:r w:rsidR="00F34A71">
        <w:t xml:space="preserve"> The simulation assumptions are similar to Rel-14 V2V/V2X study. Specifically, a Tx UE and a Rx UE move towards each other with speed of 15km/h (urban) or 140km/h (freeway). SCM UMi NLOS channel model is used. The Tx UE transmits a TBS size of 2408 bits (about 300 Bytes) in </w:t>
      </w:r>
      <w:r w:rsidR="00022295">
        <w:t xml:space="preserve">18 </w:t>
      </w:r>
      <w:r w:rsidR="00F34A71">
        <w:t>RBs</w:t>
      </w:r>
      <w:r w:rsidR="00531B52">
        <w:t xml:space="preserve"> with QPSK modulation</w:t>
      </w:r>
      <w:r w:rsidR="00F34A71">
        <w:t xml:space="preserve">. </w:t>
      </w:r>
      <w:r w:rsidR="00B4339B">
        <w:t>Re</w:t>
      </w:r>
      <w:r w:rsidR="003D1CFD">
        <w:t xml:space="preserve">l-14 DMRS pattern is used. </w:t>
      </w:r>
      <w:r w:rsidR="002B594A">
        <w:t xml:space="preserve">The channel bandwidth is 10MHz with FFT size 1024. </w:t>
      </w:r>
      <w:r w:rsidR="00F34A71">
        <w:t xml:space="preserve">We compare two schemes: (1) </w:t>
      </w:r>
      <w:r w:rsidR="00B4339B">
        <w:t xml:space="preserve">Rel-14 scheme with </w:t>
      </w:r>
      <w:r w:rsidR="00F34A71">
        <w:t>1 Tx antenna and 2 Rx antennas; (2) 2 Tx antennas and 2 Rx antennas with Small delay CDD</w:t>
      </w:r>
      <w:r w:rsidR="002B594A">
        <w:t>, where the delay is 2 FFT samples (about 130ns).</w:t>
      </w:r>
    </w:p>
    <w:p w14:paraId="2740BF05" w14:textId="2657E721" w:rsidR="0017134D" w:rsidRPr="00CE08EE" w:rsidRDefault="002B594A" w:rsidP="008453F1">
      <w:pPr>
        <w:jc w:val="both"/>
      </w:pPr>
      <w:r>
        <w:lastRenderedPageBreak/>
        <w:t>Fig. 1 shows</w:t>
      </w:r>
      <w:r w:rsidR="003D1CFD">
        <w:t xml:space="preserve"> the performance of PSSCH. In</w:t>
      </w:r>
      <w:r>
        <w:t xml:space="preserve"> both </w:t>
      </w:r>
      <w:r w:rsidR="0017134D">
        <w:t xml:space="preserve">the </w:t>
      </w:r>
      <w:r>
        <w:t>15km/h and 140km/h cases, SCDD provides better performance (up to 2 dB gain</w:t>
      </w:r>
      <w:r w:rsidR="00510EAF">
        <w:t xml:space="preserve"> at 1% BLER</w:t>
      </w:r>
      <w:r>
        <w:t xml:space="preserve">) at relatively high SNR, but </w:t>
      </w:r>
      <w:r w:rsidR="0017134D">
        <w:t xml:space="preserve">slightly </w:t>
      </w:r>
      <w:r>
        <w:t xml:space="preserve">worse performance at low SNR. </w:t>
      </w:r>
      <w:r w:rsidR="0017134D">
        <w:t xml:space="preserve">Fig. 2 shows the performance of PSCCH. In </w:t>
      </w:r>
      <w:r w:rsidR="00B1403E">
        <w:t>both</w:t>
      </w:r>
      <w:r w:rsidR="0017134D">
        <w:t xml:space="preserve"> cases, SCDD provides a small gain (about 0.7dB at 1% BLER).</w:t>
      </w:r>
    </w:p>
    <w:p w14:paraId="38825144" w14:textId="744EA10A" w:rsidR="00CE08EE" w:rsidRDefault="002B594A" w:rsidP="008B7443">
      <w:pPr>
        <w:jc w:val="center"/>
      </w:pPr>
      <w:r w:rsidRPr="002B594A">
        <w:rPr>
          <w:noProof/>
          <w:lang w:val="en-US"/>
        </w:rPr>
        <w:drawing>
          <wp:inline distT="0" distB="0" distL="0" distR="0" wp14:anchorId="1887F1ED" wp14:editId="6ADE3CE2">
            <wp:extent cx="3733800" cy="27993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059" cy="280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82D2A" w14:textId="103AF8E6" w:rsidR="008B7443" w:rsidRDefault="008B7443" w:rsidP="008B7443">
      <w:pPr>
        <w:jc w:val="center"/>
        <w:rPr>
          <w:b/>
        </w:rPr>
      </w:pPr>
      <w:r w:rsidRPr="009A46AA">
        <w:rPr>
          <w:b/>
        </w:rPr>
        <w:t xml:space="preserve">Figure 1: </w:t>
      </w:r>
      <w:r>
        <w:rPr>
          <w:b/>
        </w:rPr>
        <w:t>PSSCH performance without or without SCDD</w:t>
      </w:r>
    </w:p>
    <w:p w14:paraId="1FCD74DB" w14:textId="6D941C40" w:rsidR="00B1403E" w:rsidRDefault="00B1403E" w:rsidP="00B1403E">
      <w:pPr>
        <w:jc w:val="center"/>
        <w:rPr>
          <w:b/>
        </w:rPr>
      </w:pPr>
      <w:r w:rsidRPr="00B1403E">
        <w:rPr>
          <w:b/>
          <w:noProof/>
          <w:lang w:val="en-US"/>
        </w:rPr>
        <w:drawing>
          <wp:inline distT="0" distB="0" distL="0" distR="0" wp14:anchorId="71DFAE8E" wp14:editId="4CA9D08F">
            <wp:extent cx="3637280" cy="27271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184" cy="273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839AE" w14:textId="58B12B0D" w:rsidR="00B1403E" w:rsidRDefault="00B1403E" w:rsidP="00B1403E">
      <w:pPr>
        <w:jc w:val="center"/>
        <w:rPr>
          <w:b/>
        </w:rPr>
      </w:pPr>
      <w:r>
        <w:rPr>
          <w:b/>
        </w:rPr>
        <w:t>Figure 2</w:t>
      </w:r>
      <w:r w:rsidRPr="009A46AA">
        <w:rPr>
          <w:b/>
        </w:rPr>
        <w:t xml:space="preserve">: </w:t>
      </w:r>
      <w:r>
        <w:rPr>
          <w:b/>
        </w:rPr>
        <w:t>PSCCH performance without or without SCDD</w:t>
      </w:r>
    </w:p>
    <w:p w14:paraId="0E03143B" w14:textId="77777777" w:rsidR="00585904" w:rsidRDefault="00585904" w:rsidP="00CE08EE">
      <w:pPr>
        <w:jc w:val="both"/>
        <w:rPr>
          <w:b/>
        </w:rPr>
      </w:pPr>
    </w:p>
    <w:p w14:paraId="135A94EC" w14:textId="346A7535" w:rsidR="00584393" w:rsidRPr="003319F5" w:rsidRDefault="008B7443" w:rsidP="00584393">
      <w:pPr>
        <w:jc w:val="both"/>
      </w:pPr>
      <w:r w:rsidRPr="00DF25D1">
        <w:rPr>
          <w:b/>
        </w:rPr>
        <w:t xml:space="preserve">Observation </w:t>
      </w:r>
      <w:r w:rsidR="00CF1071">
        <w:rPr>
          <w:b/>
        </w:rPr>
        <w:t>3</w:t>
      </w:r>
      <w:r>
        <w:rPr>
          <w:b/>
        </w:rPr>
        <w:t xml:space="preserve">: </w:t>
      </w:r>
      <w:r w:rsidR="00584393" w:rsidRPr="003A33E4">
        <w:t>Small delay CDD</w:t>
      </w:r>
      <w:r w:rsidR="00584393">
        <w:t xml:space="preserve"> provides </w:t>
      </w:r>
      <w:r w:rsidR="003F7F13">
        <w:t xml:space="preserve">some </w:t>
      </w:r>
      <w:r w:rsidR="00584393">
        <w:t>performance gain to</w:t>
      </w:r>
      <w:r w:rsidR="00584393" w:rsidRPr="003A33E4">
        <w:t xml:space="preserve"> </w:t>
      </w:r>
      <w:r w:rsidR="00584393">
        <w:t xml:space="preserve">PSCCH compared to the Rel-14 scheme. For PSSCH, performance gain </w:t>
      </w:r>
      <w:r w:rsidR="00584393" w:rsidRPr="003A33E4">
        <w:t xml:space="preserve">at relatively high SNR and </w:t>
      </w:r>
      <w:r w:rsidR="00584393">
        <w:t>small</w:t>
      </w:r>
      <w:r w:rsidR="00584393" w:rsidRPr="003A33E4">
        <w:t xml:space="preserve"> degradation at low SNR</w:t>
      </w:r>
      <w:r w:rsidR="00584393">
        <w:t xml:space="preserve"> are observed</w:t>
      </w:r>
      <w:r w:rsidR="00584393" w:rsidRPr="003A33E4">
        <w:t>.</w:t>
      </w:r>
    </w:p>
    <w:p w14:paraId="53524841" w14:textId="2458A634" w:rsidR="00F9749E" w:rsidRDefault="00493C89" w:rsidP="00F9749E">
      <w:pPr>
        <w:pStyle w:val="Heading1"/>
      </w:pPr>
      <w:r w:rsidRPr="008453F1">
        <w:t>4</w:t>
      </w:r>
      <w:r w:rsidR="00F9749E">
        <w:tab/>
        <w:t>Conclusion</w:t>
      </w:r>
    </w:p>
    <w:p w14:paraId="2C0508C9" w14:textId="77ECE910" w:rsidR="006F6F49" w:rsidRDefault="003C4086" w:rsidP="008453F1">
      <w:pPr>
        <w:tabs>
          <w:tab w:val="left" w:pos="2154"/>
        </w:tabs>
        <w:jc w:val="both"/>
        <w:rPr>
          <w:b/>
        </w:rPr>
      </w:pPr>
      <w:r w:rsidRPr="003C4086">
        <w:t xml:space="preserve">In this contribution, we make the following observations </w:t>
      </w:r>
      <w:r w:rsidR="00F608B4">
        <w:t xml:space="preserve">and proposals </w:t>
      </w:r>
      <w:r w:rsidRPr="003C4086">
        <w:t>regarding transmit diversity for V2X.</w:t>
      </w:r>
    </w:p>
    <w:p w14:paraId="7DD2ACEF" w14:textId="77777777" w:rsidR="00F608B4" w:rsidRDefault="00F608B4" w:rsidP="00F608B4">
      <w:pPr>
        <w:jc w:val="both"/>
      </w:pPr>
      <w:r w:rsidRPr="00462FDD">
        <w:rPr>
          <w:b/>
        </w:rPr>
        <w:lastRenderedPageBreak/>
        <w:t>Observation 1:</w:t>
      </w:r>
      <w:r>
        <w:t xml:space="preserve"> </w:t>
      </w:r>
      <w:r w:rsidRPr="00B1403E">
        <w:t xml:space="preserve">Pros and cons of </w:t>
      </w:r>
      <w:r>
        <w:t xml:space="preserve">the candidate </w:t>
      </w:r>
      <w:r w:rsidRPr="00B1403E">
        <w:t>TxD schemes are summarized in Table 1</w:t>
      </w:r>
    </w:p>
    <w:p w14:paraId="0C72EF5F" w14:textId="5BC44E55" w:rsidR="00F608B4" w:rsidRDefault="00F608B4" w:rsidP="00F608B4">
      <w:pPr>
        <w:jc w:val="both"/>
      </w:pPr>
      <w:r w:rsidRPr="00462FDD">
        <w:rPr>
          <w:b/>
        </w:rPr>
        <w:t>Observation 2:</w:t>
      </w:r>
      <w:r>
        <w:t xml:space="preserve"> Non-transparent transmit diversity schemes may affect R-14 performance (sensing and demodulation performance of IRC receivers)</w:t>
      </w:r>
    </w:p>
    <w:p w14:paraId="6E9147F1" w14:textId="30FAD5B4" w:rsidR="00F608B4" w:rsidRPr="003319F5" w:rsidRDefault="00F608B4" w:rsidP="00F608B4">
      <w:pPr>
        <w:jc w:val="both"/>
      </w:pPr>
      <w:r w:rsidRPr="00DF25D1">
        <w:rPr>
          <w:b/>
        </w:rPr>
        <w:t xml:space="preserve">Observation </w:t>
      </w:r>
      <w:r>
        <w:rPr>
          <w:b/>
        </w:rPr>
        <w:t xml:space="preserve">3: </w:t>
      </w:r>
      <w:r w:rsidRPr="003A33E4">
        <w:t>Small delay CDD</w:t>
      </w:r>
      <w:r>
        <w:t xml:space="preserve"> provides </w:t>
      </w:r>
      <w:r w:rsidR="00AE163A">
        <w:t>some</w:t>
      </w:r>
      <w:r>
        <w:t xml:space="preserve"> performance gain to</w:t>
      </w:r>
      <w:r w:rsidRPr="003A33E4">
        <w:t xml:space="preserve"> </w:t>
      </w:r>
      <w:r>
        <w:t xml:space="preserve">PSCCH compared to the Rel-14 scheme. For PSSCH, performance gain </w:t>
      </w:r>
      <w:r w:rsidRPr="003A33E4">
        <w:t xml:space="preserve">at relatively high SNR and </w:t>
      </w:r>
      <w:r>
        <w:t>small</w:t>
      </w:r>
      <w:r w:rsidRPr="003A33E4">
        <w:t xml:space="preserve"> degradation at low SNR</w:t>
      </w:r>
      <w:r>
        <w:t xml:space="preserve"> are observed</w:t>
      </w:r>
      <w:r w:rsidRPr="003A33E4">
        <w:t>.</w:t>
      </w:r>
    </w:p>
    <w:p w14:paraId="14FDFAF5" w14:textId="77777777" w:rsidR="00F608B4" w:rsidRDefault="00F608B4" w:rsidP="00F608B4">
      <w:pPr>
        <w:jc w:val="both"/>
      </w:pPr>
    </w:p>
    <w:p w14:paraId="6EAA4D91" w14:textId="77777777" w:rsidR="001F3E1D" w:rsidRDefault="001F3E1D" w:rsidP="001F3E1D">
      <w:pPr>
        <w:jc w:val="both"/>
      </w:pPr>
      <w:r w:rsidRPr="00462FDD">
        <w:rPr>
          <w:b/>
        </w:rPr>
        <w:t>Proposal 1:</w:t>
      </w:r>
      <w:r>
        <w:t xml:space="preserve"> Non-transparent transmit diversity schemes are not supported in V2X phase 2.</w:t>
      </w:r>
    </w:p>
    <w:p w14:paraId="166EB634" w14:textId="77777777" w:rsidR="001F3E1D" w:rsidRDefault="001F3E1D" w:rsidP="001F3E1D">
      <w:pPr>
        <w:jc w:val="both"/>
      </w:pPr>
      <w:r w:rsidRPr="00462FDD">
        <w:rPr>
          <w:b/>
        </w:rPr>
        <w:t>Proposal 2:</w:t>
      </w:r>
      <w:r>
        <w:t xml:space="preserve"> Further discuss s</w:t>
      </w:r>
      <w:r w:rsidRPr="00462FDD">
        <w:t xml:space="preserve">upport </w:t>
      </w:r>
      <w:r>
        <w:t xml:space="preserve">of only </w:t>
      </w:r>
      <w:r w:rsidRPr="00462FDD">
        <w:t>small delay CDD as the d</w:t>
      </w:r>
      <w:r>
        <w:t>iversity scheme for V2X Phase 2.</w:t>
      </w:r>
    </w:p>
    <w:p w14:paraId="3F38B362" w14:textId="11E44853" w:rsidR="00193553" w:rsidRDefault="001F3E1D" w:rsidP="00193553">
      <w:pPr>
        <w:jc w:val="both"/>
      </w:pPr>
      <w:r w:rsidRPr="00462FDD">
        <w:rPr>
          <w:b/>
        </w:rPr>
        <w:t>P</w:t>
      </w:r>
      <w:r w:rsidRPr="00E470CF">
        <w:rPr>
          <w:b/>
        </w:rPr>
        <w:t xml:space="preserve">roposal </w:t>
      </w:r>
      <w:r>
        <w:rPr>
          <w:b/>
        </w:rPr>
        <w:t>3</w:t>
      </w:r>
      <w:r w:rsidRPr="00462FDD">
        <w:rPr>
          <w:b/>
        </w:rPr>
        <w:t>:</w:t>
      </w:r>
      <w:r>
        <w:t xml:space="preserve"> If SCDD is supported the delay value should be provided as a RRC (pre)configuration. </w:t>
      </w:r>
    </w:p>
    <w:p w14:paraId="32F7E829" w14:textId="587669B0" w:rsidR="00CB1C5B" w:rsidRPr="00986956" w:rsidRDefault="00CB1C5B" w:rsidP="00CB1C5B">
      <w:pPr>
        <w:pStyle w:val="Heading1"/>
        <w:rPr>
          <w:lang w:val="en-US"/>
        </w:rPr>
      </w:pPr>
      <w:r w:rsidRPr="00986956">
        <w:rPr>
          <w:lang w:val="en-US"/>
        </w:rPr>
        <w:t>References</w:t>
      </w:r>
    </w:p>
    <w:p w14:paraId="54538AB5" w14:textId="3F9D3795" w:rsidR="00930A51" w:rsidRDefault="00264160" w:rsidP="0016241C">
      <w:pPr>
        <w:numPr>
          <w:ilvl w:val="0"/>
          <w:numId w:val="1"/>
        </w:numPr>
        <w:spacing w:after="0"/>
        <w:jc w:val="both"/>
      </w:pPr>
      <w:r>
        <w:t>RP-170798, “</w:t>
      </w:r>
      <w:r w:rsidRPr="00264160">
        <w:t>New WID on 3GPP V2X Phase 2</w:t>
      </w:r>
      <w:r>
        <w:t xml:space="preserve">”, </w:t>
      </w:r>
      <w:r w:rsidRPr="00264160">
        <w:t>Huawei, CATT, LG Electronics, HiSilicon, China Unicom</w:t>
      </w:r>
      <w:r>
        <w:t>, March 2017</w:t>
      </w:r>
    </w:p>
    <w:p w14:paraId="1FA0C7AC" w14:textId="7273A485" w:rsidR="0050736D" w:rsidRDefault="0050736D" w:rsidP="0016241C">
      <w:pPr>
        <w:numPr>
          <w:ilvl w:val="0"/>
          <w:numId w:val="1"/>
        </w:numPr>
        <w:spacing w:after="0"/>
        <w:jc w:val="both"/>
      </w:pPr>
      <w:r>
        <w:t>R1</w:t>
      </w:r>
      <w:r>
        <w:rPr>
          <w:rFonts w:ascii="Cambria Math" w:hAnsi="Cambria Math" w:cs="Cambria Math"/>
        </w:rPr>
        <w:t>‑</w:t>
      </w:r>
      <w:r>
        <w:t>091463, “PUSCH transmit diversity”, Qualcomm, May 2009</w:t>
      </w:r>
    </w:p>
    <w:p w14:paraId="7618D631" w14:textId="52DD1AD6" w:rsidR="0050736D" w:rsidRDefault="0050736D" w:rsidP="0016241C">
      <w:pPr>
        <w:numPr>
          <w:ilvl w:val="0"/>
          <w:numId w:val="1"/>
        </w:numPr>
        <w:spacing w:after="0"/>
        <w:jc w:val="both"/>
      </w:pPr>
      <w:r>
        <w:t>R1</w:t>
      </w:r>
      <w:r>
        <w:rPr>
          <w:rFonts w:ascii="Cambria Math" w:hAnsi="Cambria Math" w:cs="Cambria Math"/>
        </w:rPr>
        <w:t>‑</w:t>
      </w:r>
      <w:r>
        <w:t>091546, “Comparison of uplink 2-TX transmit diversity schemes for LTE-Advanced”, Mitsubishi Electric, May 2009</w:t>
      </w:r>
    </w:p>
    <w:p w14:paraId="31DE054C" w14:textId="21CF5DAD" w:rsidR="0050736D" w:rsidRDefault="0050736D" w:rsidP="0016241C">
      <w:pPr>
        <w:numPr>
          <w:ilvl w:val="0"/>
          <w:numId w:val="1"/>
        </w:numPr>
        <w:spacing w:after="0"/>
        <w:jc w:val="both"/>
      </w:pPr>
      <w:r>
        <w:t>R1</w:t>
      </w:r>
      <w:r>
        <w:rPr>
          <w:rFonts w:ascii="Cambria Math" w:hAnsi="Cambria Math" w:cs="Cambria Math"/>
        </w:rPr>
        <w:t>‑</w:t>
      </w:r>
      <w:r>
        <w:t xml:space="preserve">091212, “Performance evaluation of PUSCH 2Tx transmit diversity schemes in LTE-A”, LG Electronics, May 2009 </w:t>
      </w:r>
    </w:p>
    <w:p w14:paraId="2D7DF2E0" w14:textId="362C615A" w:rsidR="0050736D" w:rsidRDefault="0050736D" w:rsidP="0016241C">
      <w:pPr>
        <w:numPr>
          <w:ilvl w:val="0"/>
          <w:numId w:val="1"/>
        </w:numPr>
        <w:spacing w:after="0"/>
        <w:jc w:val="both"/>
      </w:pPr>
      <w:r>
        <w:t>R1</w:t>
      </w:r>
      <w:r>
        <w:rPr>
          <w:rFonts w:ascii="Cambria Math" w:hAnsi="Cambria Math" w:cs="Cambria Math"/>
        </w:rPr>
        <w:t>‑</w:t>
      </w:r>
      <w:r>
        <w:t>091244, “Discussions on UL 2Tx Transmit Diversity Schemes in LTE-A”, Samsung, May 2009</w:t>
      </w:r>
    </w:p>
    <w:p w14:paraId="53DB530A" w14:textId="0C761A36" w:rsidR="0050736D" w:rsidRDefault="0050736D" w:rsidP="0016241C">
      <w:pPr>
        <w:numPr>
          <w:ilvl w:val="0"/>
          <w:numId w:val="1"/>
        </w:numPr>
        <w:spacing w:after="0"/>
        <w:jc w:val="both"/>
      </w:pPr>
      <w:r>
        <w:t>R1</w:t>
      </w:r>
      <w:r>
        <w:rPr>
          <w:rFonts w:ascii="Cambria Math" w:hAnsi="Cambria Math" w:cs="Cambria Math"/>
        </w:rPr>
        <w:t>‑</w:t>
      </w:r>
      <w:r>
        <w:t>091278, “Comparison of UL TX diversity scheme for PUSCH”, Huawei, May 2009</w:t>
      </w:r>
    </w:p>
    <w:p w14:paraId="200D9468" w14:textId="06343873" w:rsidR="0050736D" w:rsidRDefault="0050736D" w:rsidP="0016241C">
      <w:pPr>
        <w:numPr>
          <w:ilvl w:val="0"/>
          <w:numId w:val="1"/>
        </w:numPr>
        <w:spacing w:after="0"/>
        <w:jc w:val="both"/>
      </w:pPr>
      <w:r>
        <w:t>R1</w:t>
      </w:r>
      <w:r>
        <w:rPr>
          <w:rFonts w:ascii="Cambria Math" w:hAnsi="Cambria Math" w:cs="Cambria Math"/>
        </w:rPr>
        <w:t>‑</w:t>
      </w:r>
      <w:r>
        <w:t>091432, “4Tx Transmit Diversity Schemes for PUSCH in LTE-A”, ZTE, May 2009</w:t>
      </w:r>
    </w:p>
    <w:p w14:paraId="0D6A36FC" w14:textId="3080380B" w:rsidR="0050736D" w:rsidRDefault="0050736D" w:rsidP="0016241C">
      <w:pPr>
        <w:numPr>
          <w:ilvl w:val="0"/>
          <w:numId w:val="1"/>
        </w:numPr>
        <w:spacing w:after="0"/>
        <w:jc w:val="both"/>
      </w:pPr>
      <w:r>
        <w:t>R1</w:t>
      </w:r>
      <w:r>
        <w:rPr>
          <w:rFonts w:ascii="Cambria Math" w:hAnsi="Cambria Math" w:cs="Cambria Math"/>
        </w:rPr>
        <w:t>‑</w:t>
      </w:r>
      <w:r>
        <w:t>091489, “UL Transmit Diversity Schemes in LTE-Advanced”, NTT DOCOMO, May 2009</w:t>
      </w:r>
    </w:p>
    <w:p w14:paraId="6F8150DB" w14:textId="03F02EFB" w:rsidR="009B7EB3" w:rsidRDefault="009B7EB3" w:rsidP="0016241C">
      <w:pPr>
        <w:numPr>
          <w:ilvl w:val="0"/>
          <w:numId w:val="1"/>
        </w:numPr>
        <w:spacing w:after="0"/>
        <w:jc w:val="both"/>
      </w:pPr>
      <w:r>
        <w:t>R1-1702601, “</w:t>
      </w:r>
      <w:r w:rsidRPr="009B7EB3">
        <w:t>On UL diversity transmission scheme</w:t>
      </w:r>
      <w:r>
        <w:t xml:space="preserve">”, Qualcomm, </w:t>
      </w:r>
      <w:r w:rsidR="00352187">
        <w:t>Feb 2017</w:t>
      </w:r>
    </w:p>
    <w:p w14:paraId="41F2BE6F" w14:textId="7E21B222" w:rsidR="0050736D" w:rsidRDefault="009B7EB3" w:rsidP="0016241C">
      <w:pPr>
        <w:numPr>
          <w:ilvl w:val="0"/>
          <w:numId w:val="1"/>
        </w:numPr>
        <w:spacing w:after="0"/>
        <w:jc w:val="both"/>
      </w:pPr>
      <w:r>
        <w:t>R1-1701925, “</w:t>
      </w:r>
      <w:r w:rsidRPr="009B7EB3">
        <w:t>PAPR preserving SFBC for DFT</w:t>
      </w:r>
      <w:r w:rsidR="00FC040D">
        <w:t>-</w:t>
      </w:r>
      <w:r w:rsidRPr="009B7EB3">
        <w:t>s</w:t>
      </w:r>
      <w:r w:rsidR="00FC040D">
        <w:t>-</w:t>
      </w:r>
      <w:r w:rsidRPr="009B7EB3">
        <w:t>OFDM</w:t>
      </w:r>
      <w:r>
        <w:t xml:space="preserve">”, </w:t>
      </w:r>
      <w:r w:rsidRPr="009B7EB3">
        <w:t>Mitsubishi Electric</w:t>
      </w:r>
      <w:r>
        <w:t xml:space="preserve">, </w:t>
      </w:r>
      <w:r w:rsidR="00352187">
        <w:t>Feb 2017</w:t>
      </w:r>
    </w:p>
    <w:p w14:paraId="6DBBC22D" w14:textId="0D3812AE" w:rsidR="00BD5570" w:rsidRDefault="00BD5570" w:rsidP="00BD5570">
      <w:pPr>
        <w:numPr>
          <w:ilvl w:val="0"/>
          <w:numId w:val="1"/>
        </w:numPr>
        <w:spacing w:after="0"/>
        <w:jc w:val="both"/>
      </w:pPr>
      <w:bookmarkStart w:id="4" w:name="_Ref489349430"/>
      <w:r w:rsidRPr="00BD5570">
        <w:t>R1-1705002</w:t>
      </w:r>
      <w:r>
        <w:t>, “</w:t>
      </w:r>
      <w:r w:rsidRPr="00BD5570">
        <w:t>Feasibility and gain of PC5 operation with Transmit Diversity</w:t>
      </w:r>
      <w:r>
        <w:t>”, Qualcomm, Apr 2017</w:t>
      </w:r>
      <w:bookmarkEnd w:id="4"/>
    </w:p>
    <w:p w14:paraId="6C4B0C59" w14:textId="77777777" w:rsidR="00930A51" w:rsidRDefault="00930A51" w:rsidP="00F873E4">
      <w:pPr>
        <w:spacing w:after="0"/>
      </w:pPr>
    </w:p>
    <w:p w14:paraId="1625A93F" w14:textId="64752012" w:rsidR="001A4C95" w:rsidRDefault="001A4C95">
      <w:pPr>
        <w:overflowPunct/>
        <w:autoSpaceDE/>
        <w:autoSpaceDN/>
        <w:adjustRightInd/>
        <w:spacing w:after="0"/>
        <w:textAlignment w:val="auto"/>
      </w:pPr>
    </w:p>
    <w:sectPr w:rsidR="001A4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B5062"/>
    <w:multiLevelType w:val="hybridMultilevel"/>
    <w:tmpl w:val="F8264FE0"/>
    <w:lvl w:ilvl="0" w:tplc="93408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08646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EA64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1A08A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89AE0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AD823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120B3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78C0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EF804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E841A37"/>
    <w:multiLevelType w:val="hybridMultilevel"/>
    <w:tmpl w:val="A3F209D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B8263B"/>
    <w:multiLevelType w:val="hybridMultilevel"/>
    <w:tmpl w:val="36B6589A"/>
    <w:lvl w:ilvl="0" w:tplc="A8D697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46238"/>
    <w:multiLevelType w:val="hybridMultilevel"/>
    <w:tmpl w:val="C1D820E2"/>
    <w:lvl w:ilvl="0" w:tplc="185A95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133F4D"/>
    <w:multiLevelType w:val="hybridMultilevel"/>
    <w:tmpl w:val="6E0E7FEE"/>
    <w:lvl w:ilvl="0" w:tplc="6AFCB4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1D182D"/>
    <w:multiLevelType w:val="hybridMultilevel"/>
    <w:tmpl w:val="45E27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D1D75"/>
    <w:multiLevelType w:val="hybridMultilevel"/>
    <w:tmpl w:val="5950B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00557"/>
    <w:multiLevelType w:val="hybridMultilevel"/>
    <w:tmpl w:val="0B2CE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13344"/>
    <w:multiLevelType w:val="hybridMultilevel"/>
    <w:tmpl w:val="9508F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A30ED"/>
    <w:multiLevelType w:val="hybridMultilevel"/>
    <w:tmpl w:val="87124D6E"/>
    <w:lvl w:ilvl="0" w:tplc="3DB6EC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C34E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A01C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C499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F01CE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326A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EF8C3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8C8015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57B16222"/>
    <w:multiLevelType w:val="hybridMultilevel"/>
    <w:tmpl w:val="812E2860"/>
    <w:lvl w:ilvl="0" w:tplc="6772E37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129BF"/>
    <w:multiLevelType w:val="hybridMultilevel"/>
    <w:tmpl w:val="6DB671F2"/>
    <w:lvl w:ilvl="0" w:tplc="3DB6EC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20D17"/>
    <w:multiLevelType w:val="hybridMultilevel"/>
    <w:tmpl w:val="4484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218B7"/>
    <w:multiLevelType w:val="hybridMultilevel"/>
    <w:tmpl w:val="D3BEC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52786"/>
    <w:multiLevelType w:val="hybridMultilevel"/>
    <w:tmpl w:val="026C35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5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2"/>
  </w:num>
  <w:num w:numId="10">
    <w:abstractNumId w:val="16"/>
  </w:num>
  <w:num w:numId="11">
    <w:abstractNumId w:val="3"/>
  </w:num>
  <w:num w:numId="12">
    <w:abstractNumId w:val="8"/>
  </w:num>
  <w:num w:numId="13">
    <w:abstractNumId w:val="7"/>
  </w:num>
  <w:num w:numId="14">
    <w:abstractNumId w:val="1"/>
  </w:num>
  <w:num w:numId="15">
    <w:abstractNumId w:val="14"/>
  </w:num>
  <w:num w:numId="16">
    <w:abstractNumId w:val="13"/>
  </w:num>
  <w:num w:numId="17">
    <w:abstractNumId w:val="15"/>
  </w:num>
  <w:num w:numId="18">
    <w:abstractNumId w:val="9"/>
  </w:num>
  <w:num w:numId="1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5C0D"/>
    <w:rsid w:val="00006D93"/>
    <w:rsid w:val="0001102B"/>
    <w:rsid w:val="00015268"/>
    <w:rsid w:val="00015C04"/>
    <w:rsid w:val="00017CEE"/>
    <w:rsid w:val="00020AB8"/>
    <w:rsid w:val="00021364"/>
    <w:rsid w:val="00022295"/>
    <w:rsid w:val="00024C64"/>
    <w:rsid w:val="00024D2F"/>
    <w:rsid w:val="00024D50"/>
    <w:rsid w:val="00030B16"/>
    <w:rsid w:val="00031084"/>
    <w:rsid w:val="000322FA"/>
    <w:rsid w:val="00035170"/>
    <w:rsid w:val="00035257"/>
    <w:rsid w:val="00036273"/>
    <w:rsid w:val="0004018A"/>
    <w:rsid w:val="000436DA"/>
    <w:rsid w:val="00043C85"/>
    <w:rsid w:val="00045725"/>
    <w:rsid w:val="000468F3"/>
    <w:rsid w:val="00046B05"/>
    <w:rsid w:val="00046EFD"/>
    <w:rsid w:val="0005066F"/>
    <w:rsid w:val="000522C1"/>
    <w:rsid w:val="00052EB8"/>
    <w:rsid w:val="00054B46"/>
    <w:rsid w:val="0005702C"/>
    <w:rsid w:val="00061A7A"/>
    <w:rsid w:val="000627E6"/>
    <w:rsid w:val="00063525"/>
    <w:rsid w:val="00064426"/>
    <w:rsid w:val="0006562E"/>
    <w:rsid w:val="00066D09"/>
    <w:rsid w:val="000674C0"/>
    <w:rsid w:val="0007187C"/>
    <w:rsid w:val="000728E7"/>
    <w:rsid w:val="00072EA0"/>
    <w:rsid w:val="00080100"/>
    <w:rsid w:val="0008017F"/>
    <w:rsid w:val="000810A5"/>
    <w:rsid w:val="00081B65"/>
    <w:rsid w:val="00081F4C"/>
    <w:rsid w:val="000846BD"/>
    <w:rsid w:val="00086962"/>
    <w:rsid w:val="00091749"/>
    <w:rsid w:val="000924F3"/>
    <w:rsid w:val="00096447"/>
    <w:rsid w:val="00096451"/>
    <w:rsid w:val="00097C42"/>
    <w:rsid w:val="000A07B1"/>
    <w:rsid w:val="000A24C0"/>
    <w:rsid w:val="000A3668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0C05"/>
    <w:rsid w:val="000E14DC"/>
    <w:rsid w:val="000E1573"/>
    <w:rsid w:val="000E164A"/>
    <w:rsid w:val="000E4CC8"/>
    <w:rsid w:val="000E67F5"/>
    <w:rsid w:val="000F08B7"/>
    <w:rsid w:val="000F0D1B"/>
    <w:rsid w:val="000F363B"/>
    <w:rsid w:val="000F3BF6"/>
    <w:rsid w:val="000F56E1"/>
    <w:rsid w:val="000F5C2A"/>
    <w:rsid w:val="000F71FB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6B23"/>
    <w:rsid w:val="001276A8"/>
    <w:rsid w:val="00127B21"/>
    <w:rsid w:val="0013285C"/>
    <w:rsid w:val="00133D6E"/>
    <w:rsid w:val="00134FF5"/>
    <w:rsid w:val="00136F15"/>
    <w:rsid w:val="001407C9"/>
    <w:rsid w:val="00141B75"/>
    <w:rsid w:val="001437A6"/>
    <w:rsid w:val="00143C8B"/>
    <w:rsid w:val="001442B2"/>
    <w:rsid w:val="00145099"/>
    <w:rsid w:val="001450E5"/>
    <w:rsid w:val="001455D3"/>
    <w:rsid w:val="00147701"/>
    <w:rsid w:val="00147C38"/>
    <w:rsid w:val="00150194"/>
    <w:rsid w:val="0015171E"/>
    <w:rsid w:val="00154044"/>
    <w:rsid w:val="0015507E"/>
    <w:rsid w:val="00155E5E"/>
    <w:rsid w:val="00156EF6"/>
    <w:rsid w:val="00157BDF"/>
    <w:rsid w:val="001603D9"/>
    <w:rsid w:val="00160583"/>
    <w:rsid w:val="0016086D"/>
    <w:rsid w:val="0016241C"/>
    <w:rsid w:val="00162507"/>
    <w:rsid w:val="0016374B"/>
    <w:rsid w:val="001642FF"/>
    <w:rsid w:val="00167082"/>
    <w:rsid w:val="00167642"/>
    <w:rsid w:val="00170228"/>
    <w:rsid w:val="0017134D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553"/>
    <w:rsid w:val="00193914"/>
    <w:rsid w:val="00193CD5"/>
    <w:rsid w:val="00196A7A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CFF"/>
    <w:rsid w:val="001C12F4"/>
    <w:rsid w:val="001C2590"/>
    <w:rsid w:val="001C3A1E"/>
    <w:rsid w:val="001C44CC"/>
    <w:rsid w:val="001C534A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36CD"/>
    <w:rsid w:val="001F3E1D"/>
    <w:rsid w:val="001F4437"/>
    <w:rsid w:val="001F4F07"/>
    <w:rsid w:val="001F7834"/>
    <w:rsid w:val="00200F68"/>
    <w:rsid w:val="0020104E"/>
    <w:rsid w:val="002020A2"/>
    <w:rsid w:val="002047DB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76D2"/>
    <w:rsid w:val="002300B2"/>
    <w:rsid w:val="00231510"/>
    <w:rsid w:val="00232B83"/>
    <w:rsid w:val="00233E03"/>
    <w:rsid w:val="0023484F"/>
    <w:rsid w:val="00236686"/>
    <w:rsid w:val="00236EFB"/>
    <w:rsid w:val="0024057D"/>
    <w:rsid w:val="00241BBA"/>
    <w:rsid w:val="00242697"/>
    <w:rsid w:val="00242DB7"/>
    <w:rsid w:val="00243E4D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160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8742D"/>
    <w:rsid w:val="002914E1"/>
    <w:rsid w:val="0029243D"/>
    <w:rsid w:val="00296356"/>
    <w:rsid w:val="00297268"/>
    <w:rsid w:val="0029756E"/>
    <w:rsid w:val="002A011C"/>
    <w:rsid w:val="002A07E1"/>
    <w:rsid w:val="002A09A5"/>
    <w:rsid w:val="002A0ACF"/>
    <w:rsid w:val="002A271A"/>
    <w:rsid w:val="002A51D4"/>
    <w:rsid w:val="002A5315"/>
    <w:rsid w:val="002A5421"/>
    <w:rsid w:val="002A6F90"/>
    <w:rsid w:val="002B4F06"/>
    <w:rsid w:val="002B527F"/>
    <w:rsid w:val="002B54EC"/>
    <w:rsid w:val="002B594A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0E2F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285C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5FDE"/>
    <w:rsid w:val="00306164"/>
    <w:rsid w:val="00310C67"/>
    <w:rsid w:val="0031223A"/>
    <w:rsid w:val="00317899"/>
    <w:rsid w:val="00317DA1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19F5"/>
    <w:rsid w:val="003337B6"/>
    <w:rsid w:val="00341DDA"/>
    <w:rsid w:val="00346FDB"/>
    <w:rsid w:val="00350C50"/>
    <w:rsid w:val="00352187"/>
    <w:rsid w:val="00355EBA"/>
    <w:rsid w:val="00355EC4"/>
    <w:rsid w:val="003575D7"/>
    <w:rsid w:val="00357865"/>
    <w:rsid w:val="00357C58"/>
    <w:rsid w:val="003611FE"/>
    <w:rsid w:val="00361BAD"/>
    <w:rsid w:val="00364F84"/>
    <w:rsid w:val="00366A2B"/>
    <w:rsid w:val="00366BB9"/>
    <w:rsid w:val="003730D7"/>
    <w:rsid w:val="003761E1"/>
    <w:rsid w:val="00376325"/>
    <w:rsid w:val="00381CA0"/>
    <w:rsid w:val="0039250F"/>
    <w:rsid w:val="003943C6"/>
    <w:rsid w:val="00394642"/>
    <w:rsid w:val="00394BC6"/>
    <w:rsid w:val="00395DCA"/>
    <w:rsid w:val="003966AC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3E4"/>
    <w:rsid w:val="003A3DE6"/>
    <w:rsid w:val="003A483F"/>
    <w:rsid w:val="003A5D2D"/>
    <w:rsid w:val="003A7BB7"/>
    <w:rsid w:val="003B53D8"/>
    <w:rsid w:val="003B5D47"/>
    <w:rsid w:val="003C02F9"/>
    <w:rsid w:val="003C26F7"/>
    <w:rsid w:val="003C2ADC"/>
    <w:rsid w:val="003C4086"/>
    <w:rsid w:val="003C4A78"/>
    <w:rsid w:val="003C50B7"/>
    <w:rsid w:val="003D1CFD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52A"/>
    <w:rsid w:val="003F695A"/>
    <w:rsid w:val="003F7F13"/>
    <w:rsid w:val="00400660"/>
    <w:rsid w:val="00406894"/>
    <w:rsid w:val="00410201"/>
    <w:rsid w:val="0041682D"/>
    <w:rsid w:val="00416E8E"/>
    <w:rsid w:val="00420632"/>
    <w:rsid w:val="00427613"/>
    <w:rsid w:val="0043085C"/>
    <w:rsid w:val="00432A1D"/>
    <w:rsid w:val="00433832"/>
    <w:rsid w:val="00434610"/>
    <w:rsid w:val="0043533D"/>
    <w:rsid w:val="00435AAA"/>
    <w:rsid w:val="00437D5A"/>
    <w:rsid w:val="00442BF7"/>
    <w:rsid w:val="00442E74"/>
    <w:rsid w:val="00443B0F"/>
    <w:rsid w:val="00444C11"/>
    <w:rsid w:val="00447EF0"/>
    <w:rsid w:val="004507D0"/>
    <w:rsid w:val="00452FA9"/>
    <w:rsid w:val="004549F3"/>
    <w:rsid w:val="00456830"/>
    <w:rsid w:val="00457927"/>
    <w:rsid w:val="00462482"/>
    <w:rsid w:val="00462759"/>
    <w:rsid w:val="00462A4C"/>
    <w:rsid w:val="00463CC9"/>
    <w:rsid w:val="0046474A"/>
    <w:rsid w:val="0047048E"/>
    <w:rsid w:val="00470F4E"/>
    <w:rsid w:val="00472DBE"/>
    <w:rsid w:val="00473194"/>
    <w:rsid w:val="0047496A"/>
    <w:rsid w:val="00474F19"/>
    <w:rsid w:val="0047676B"/>
    <w:rsid w:val="004808D9"/>
    <w:rsid w:val="00480CC2"/>
    <w:rsid w:val="004817D7"/>
    <w:rsid w:val="0048448A"/>
    <w:rsid w:val="00485065"/>
    <w:rsid w:val="00485E08"/>
    <w:rsid w:val="00486FEC"/>
    <w:rsid w:val="00487DF0"/>
    <w:rsid w:val="0049062E"/>
    <w:rsid w:val="0049078E"/>
    <w:rsid w:val="0049173D"/>
    <w:rsid w:val="00492EBD"/>
    <w:rsid w:val="00493C89"/>
    <w:rsid w:val="004942F1"/>
    <w:rsid w:val="0049681E"/>
    <w:rsid w:val="0049769A"/>
    <w:rsid w:val="004A0817"/>
    <w:rsid w:val="004B0B49"/>
    <w:rsid w:val="004B121D"/>
    <w:rsid w:val="004B3714"/>
    <w:rsid w:val="004C0ECC"/>
    <w:rsid w:val="004C129B"/>
    <w:rsid w:val="004C228D"/>
    <w:rsid w:val="004C28A4"/>
    <w:rsid w:val="004C3BF5"/>
    <w:rsid w:val="004C4B23"/>
    <w:rsid w:val="004C5DDE"/>
    <w:rsid w:val="004D1403"/>
    <w:rsid w:val="004D1BA4"/>
    <w:rsid w:val="004D27BF"/>
    <w:rsid w:val="004D4D04"/>
    <w:rsid w:val="004E16D7"/>
    <w:rsid w:val="004E4D46"/>
    <w:rsid w:val="004E5659"/>
    <w:rsid w:val="004F0663"/>
    <w:rsid w:val="004F2B58"/>
    <w:rsid w:val="004F60BB"/>
    <w:rsid w:val="004F66D2"/>
    <w:rsid w:val="00500B91"/>
    <w:rsid w:val="00501E2D"/>
    <w:rsid w:val="00503D35"/>
    <w:rsid w:val="00504551"/>
    <w:rsid w:val="005050BD"/>
    <w:rsid w:val="0050736D"/>
    <w:rsid w:val="00507D85"/>
    <w:rsid w:val="00510AE5"/>
    <w:rsid w:val="00510D16"/>
    <w:rsid w:val="00510EAF"/>
    <w:rsid w:val="00512AE3"/>
    <w:rsid w:val="00513655"/>
    <w:rsid w:val="00513B40"/>
    <w:rsid w:val="005140DC"/>
    <w:rsid w:val="0051462C"/>
    <w:rsid w:val="00514C50"/>
    <w:rsid w:val="005155AC"/>
    <w:rsid w:val="005178BD"/>
    <w:rsid w:val="00517D25"/>
    <w:rsid w:val="00520A6C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1B52"/>
    <w:rsid w:val="00532006"/>
    <w:rsid w:val="00541FC8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5945"/>
    <w:rsid w:val="00581057"/>
    <w:rsid w:val="005813DB"/>
    <w:rsid w:val="0058391F"/>
    <w:rsid w:val="00583B43"/>
    <w:rsid w:val="00584393"/>
    <w:rsid w:val="00584C6C"/>
    <w:rsid w:val="00585034"/>
    <w:rsid w:val="00585904"/>
    <w:rsid w:val="00586098"/>
    <w:rsid w:val="00590021"/>
    <w:rsid w:val="005918BB"/>
    <w:rsid w:val="005950ED"/>
    <w:rsid w:val="005A07CF"/>
    <w:rsid w:val="005A0C17"/>
    <w:rsid w:val="005A2FA9"/>
    <w:rsid w:val="005A4AA8"/>
    <w:rsid w:val="005A5290"/>
    <w:rsid w:val="005A5770"/>
    <w:rsid w:val="005A7E74"/>
    <w:rsid w:val="005B2746"/>
    <w:rsid w:val="005B4F10"/>
    <w:rsid w:val="005B565B"/>
    <w:rsid w:val="005B5BFF"/>
    <w:rsid w:val="005B630C"/>
    <w:rsid w:val="005D0BD0"/>
    <w:rsid w:val="005D37EF"/>
    <w:rsid w:val="005D3D38"/>
    <w:rsid w:val="005D6A8D"/>
    <w:rsid w:val="005E111E"/>
    <w:rsid w:val="005E1A8C"/>
    <w:rsid w:val="005E33C4"/>
    <w:rsid w:val="005E4B76"/>
    <w:rsid w:val="005F0946"/>
    <w:rsid w:val="005F1371"/>
    <w:rsid w:val="005F2933"/>
    <w:rsid w:val="00600E3B"/>
    <w:rsid w:val="00604F35"/>
    <w:rsid w:val="0061041D"/>
    <w:rsid w:val="00613D08"/>
    <w:rsid w:val="006140C9"/>
    <w:rsid w:val="00615125"/>
    <w:rsid w:val="0061580A"/>
    <w:rsid w:val="00616B88"/>
    <w:rsid w:val="00621AEF"/>
    <w:rsid w:val="0062228A"/>
    <w:rsid w:val="00623853"/>
    <w:rsid w:val="00624195"/>
    <w:rsid w:val="00626D0B"/>
    <w:rsid w:val="00633E45"/>
    <w:rsid w:val="00634DA7"/>
    <w:rsid w:val="0064105F"/>
    <w:rsid w:val="00642B33"/>
    <w:rsid w:val="00644905"/>
    <w:rsid w:val="00646C91"/>
    <w:rsid w:val="00647067"/>
    <w:rsid w:val="00650983"/>
    <w:rsid w:val="00651965"/>
    <w:rsid w:val="00651A4E"/>
    <w:rsid w:val="006524BA"/>
    <w:rsid w:val="006542E3"/>
    <w:rsid w:val="00654756"/>
    <w:rsid w:val="00655DB4"/>
    <w:rsid w:val="0066004D"/>
    <w:rsid w:val="006622D9"/>
    <w:rsid w:val="006645C7"/>
    <w:rsid w:val="00665D87"/>
    <w:rsid w:val="006679CA"/>
    <w:rsid w:val="00667CF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4B5"/>
    <w:rsid w:val="006B0634"/>
    <w:rsid w:val="006B291D"/>
    <w:rsid w:val="006B4473"/>
    <w:rsid w:val="006B509A"/>
    <w:rsid w:val="006B6037"/>
    <w:rsid w:val="006C0012"/>
    <w:rsid w:val="006C17D4"/>
    <w:rsid w:val="006C2BD4"/>
    <w:rsid w:val="006C3381"/>
    <w:rsid w:val="006D1609"/>
    <w:rsid w:val="006D3B75"/>
    <w:rsid w:val="006D5305"/>
    <w:rsid w:val="006D6465"/>
    <w:rsid w:val="006D723E"/>
    <w:rsid w:val="006D7B16"/>
    <w:rsid w:val="006E270C"/>
    <w:rsid w:val="006E6655"/>
    <w:rsid w:val="006E7A40"/>
    <w:rsid w:val="006F2146"/>
    <w:rsid w:val="006F2AEC"/>
    <w:rsid w:val="006F6F49"/>
    <w:rsid w:val="00700A4B"/>
    <w:rsid w:val="00701855"/>
    <w:rsid w:val="0070483C"/>
    <w:rsid w:val="00704FC6"/>
    <w:rsid w:val="00705100"/>
    <w:rsid w:val="00707D21"/>
    <w:rsid w:val="0071150C"/>
    <w:rsid w:val="00714096"/>
    <w:rsid w:val="00714963"/>
    <w:rsid w:val="007161F2"/>
    <w:rsid w:val="00717D46"/>
    <w:rsid w:val="0072219D"/>
    <w:rsid w:val="00722C0C"/>
    <w:rsid w:val="00724973"/>
    <w:rsid w:val="00724EA0"/>
    <w:rsid w:val="00727D96"/>
    <w:rsid w:val="00733319"/>
    <w:rsid w:val="00735272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0AF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A40D6"/>
    <w:rsid w:val="007B021E"/>
    <w:rsid w:val="007B0809"/>
    <w:rsid w:val="007B107C"/>
    <w:rsid w:val="007B22A2"/>
    <w:rsid w:val="007B419C"/>
    <w:rsid w:val="007B4346"/>
    <w:rsid w:val="007B492B"/>
    <w:rsid w:val="007B5C68"/>
    <w:rsid w:val="007D0503"/>
    <w:rsid w:val="007D10BD"/>
    <w:rsid w:val="007D26D6"/>
    <w:rsid w:val="007D3F6C"/>
    <w:rsid w:val="007E5949"/>
    <w:rsid w:val="007E69E6"/>
    <w:rsid w:val="007E787A"/>
    <w:rsid w:val="007F543F"/>
    <w:rsid w:val="007F63E2"/>
    <w:rsid w:val="00802879"/>
    <w:rsid w:val="00803451"/>
    <w:rsid w:val="008068CC"/>
    <w:rsid w:val="00807B1F"/>
    <w:rsid w:val="00810453"/>
    <w:rsid w:val="00811626"/>
    <w:rsid w:val="008152B7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3F1"/>
    <w:rsid w:val="00845C8C"/>
    <w:rsid w:val="00847688"/>
    <w:rsid w:val="00847C11"/>
    <w:rsid w:val="00847C99"/>
    <w:rsid w:val="00850187"/>
    <w:rsid w:val="008521A5"/>
    <w:rsid w:val="00852C5D"/>
    <w:rsid w:val="008610DE"/>
    <w:rsid w:val="00861F24"/>
    <w:rsid w:val="0086211E"/>
    <w:rsid w:val="00862219"/>
    <w:rsid w:val="0086253A"/>
    <w:rsid w:val="008638E7"/>
    <w:rsid w:val="00863A58"/>
    <w:rsid w:val="00870376"/>
    <w:rsid w:val="00873B08"/>
    <w:rsid w:val="008740D7"/>
    <w:rsid w:val="00875215"/>
    <w:rsid w:val="00884249"/>
    <w:rsid w:val="0088578F"/>
    <w:rsid w:val="00885A97"/>
    <w:rsid w:val="0088651B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23CC"/>
    <w:rsid w:val="008A48EB"/>
    <w:rsid w:val="008A4DAD"/>
    <w:rsid w:val="008A5D2C"/>
    <w:rsid w:val="008A7191"/>
    <w:rsid w:val="008B368F"/>
    <w:rsid w:val="008B39AE"/>
    <w:rsid w:val="008B7443"/>
    <w:rsid w:val="008C0247"/>
    <w:rsid w:val="008C03E9"/>
    <w:rsid w:val="008C0454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C2C"/>
    <w:rsid w:val="008F1EEF"/>
    <w:rsid w:val="008F2883"/>
    <w:rsid w:val="008F4EAB"/>
    <w:rsid w:val="008F6C86"/>
    <w:rsid w:val="00900D21"/>
    <w:rsid w:val="00902FBD"/>
    <w:rsid w:val="00906895"/>
    <w:rsid w:val="009114BA"/>
    <w:rsid w:val="009124C0"/>
    <w:rsid w:val="00912E64"/>
    <w:rsid w:val="00914337"/>
    <w:rsid w:val="00914A7E"/>
    <w:rsid w:val="00916D98"/>
    <w:rsid w:val="00922671"/>
    <w:rsid w:val="00924C40"/>
    <w:rsid w:val="00927032"/>
    <w:rsid w:val="009273C5"/>
    <w:rsid w:val="00930A51"/>
    <w:rsid w:val="00930E6C"/>
    <w:rsid w:val="00931BC5"/>
    <w:rsid w:val="00933CD2"/>
    <w:rsid w:val="00934953"/>
    <w:rsid w:val="00934CBA"/>
    <w:rsid w:val="00935C19"/>
    <w:rsid w:val="00936BA2"/>
    <w:rsid w:val="009376CB"/>
    <w:rsid w:val="0094508A"/>
    <w:rsid w:val="00945855"/>
    <w:rsid w:val="00945EB3"/>
    <w:rsid w:val="00947C83"/>
    <w:rsid w:val="00951364"/>
    <w:rsid w:val="00953C42"/>
    <w:rsid w:val="009550DE"/>
    <w:rsid w:val="00955E0A"/>
    <w:rsid w:val="00960595"/>
    <w:rsid w:val="00961399"/>
    <w:rsid w:val="0096437B"/>
    <w:rsid w:val="009651BB"/>
    <w:rsid w:val="00965B92"/>
    <w:rsid w:val="00966865"/>
    <w:rsid w:val="009671D8"/>
    <w:rsid w:val="0097403B"/>
    <w:rsid w:val="00977F88"/>
    <w:rsid w:val="009852E7"/>
    <w:rsid w:val="00987BA3"/>
    <w:rsid w:val="00987BC1"/>
    <w:rsid w:val="00991F47"/>
    <w:rsid w:val="00992D05"/>
    <w:rsid w:val="0099377B"/>
    <w:rsid w:val="0099379B"/>
    <w:rsid w:val="009941DF"/>
    <w:rsid w:val="00995160"/>
    <w:rsid w:val="00995D60"/>
    <w:rsid w:val="0099636A"/>
    <w:rsid w:val="009A0DE7"/>
    <w:rsid w:val="009A11CA"/>
    <w:rsid w:val="009A153A"/>
    <w:rsid w:val="009A17AF"/>
    <w:rsid w:val="009A39C4"/>
    <w:rsid w:val="009A3D07"/>
    <w:rsid w:val="009A4016"/>
    <w:rsid w:val="009A6A73"/>
    <w:rsid w:val="009A7B28"/>
    <w:rsid w:val="009B06DC"/>
    <w:rsid w:val="009B19A9"/>
    <w:rsid w:val="009B3B0E"/>
    <w:rsid w:val="009B41A7"/>
    <w:rsid w:val="009B4384"/>
    <w:rsid w:val="009B7EB3"/>
    <w:rsid w:val="009C261A"/>
    <w:rsid w:val="009C6038"/>
    <w:rsid w:val="009C74E7"/>
    <w:rsid w:val="009D002E"/>
    <w:rsid w:val="009D10AC"/>
    <w:rsid w:val="009D1AB1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07920"/>
    <w:rsid w:val="00A12A29"/>
    <w:rsid w:val="00A14ACE"/>
    <w:rsid w:val="00A14F4A"/>
    <w:rsid w:val="00A169FF"/>
    <w:rsid w:val="00A201A2"/>
    <w:rsid w:val="00A20BA2"/>
    <w:rsid w:val="00A20C7B"/>
    <w:rsid w:val="00A20E50"/>
    <w:rsid w:val="00A24874"/>
    <w:rsid w:val="00A24DED"/>
    <w:rsid w:val="00A25093"/>
    <w:rsid w:val="00A3069D"/>
    <w:rsid w:val="00A3267B"/>
    <w:rsid w:val="00A35CEA"/>
    <w:rsid w:val="00A43EF2"/>
    <w:rsid w:val="00A442EC"/>
    <w:rsid w:val="00A44C91"/>
    <w:rsid w:val="00A46FE8"/>
    <w:rsid w:val="00A47908"/>
    <w:rsid w:val="00A513AE"/>
    <w:rsid w:val="00A51E99"/>
    <w:rsid w:val="00A53D12"/>
    <w:rsid w:val="00A547F9"/>
    <w:rsid w:val="00A608E2"/>
    <w:rsid w:val="00A60D89"/>
    <w:rsid w:val="00A60DAC"/>
    <w:rsid w:val="00A62392"/>
    <w:rsid w:val="00A67B4A"/>
    <w:rsid w:val="00A71795"/>
    <w:rsid w:val="00A726DF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2428"/>
    <w:rsid w:val="00AB2812"/>
    <w:rsid w:val="00AB4E36"/>
    <w:rsid w:val="00AB5E61"/>
    <w:rsid w:val="00AB76B1"/>
    <w:rsid w:val="00AB7A3D"/>
    <w:rsid w:val="00AC0544"/>
    <w:rsid w:val="00AC2BA2"/>
    <w:rsid w:val="00AC37FB"/>
    <w:rsid w:val="00AC3DCC"/>
    <w:rsid w:val="00AD0766"/>
    <w:rsid w:val="00AE04A9"/>
    <w:rsid w:val="00AE13C9"/>
    <w:rsid w:val="00AE163A"/>
    <w:rsid w:val="00AE25F2"/>
    <w:rsid w:val="00AE2CCB"/>
    <w:rsid w:val="00AE2EBA"/>
    <w:rsid w:val="00AE4FE5"/>
    <w:rsid w:val="00AE59DC"/>
    <w:rsid w:val="00AE5B2D"/>
    <w:rsid w:val="00AE5C04"/>
    <w:rsid w:val="00AE63BF"/>
    <w:rsid w:val="00AF075F"/>
    <w:rsid w:val="00AF35C3"/>
    <w:rsid w:val="00AF41DE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03E"/>
    <w:rsid w:val="00B14857"/>
    <w:rsid w:val="00B151FD"/>
    <w:rsid w:val="00B165FD"/>
    <w:rsid w:val="00B2176A"/>
    <w:rsid w:val="00B21A9A"/>
    <w:rsid w:val="00B25DF9"/>
    <w:rsid w:val="00B26411"/>
    <w:rsid w:val="00B26C78"/>
    <w:rsid w:val="00B32C7C"/>
    <w:rsid w:val="00B35280"/>
    <w:rsid w:val="00B35A25"/>
    <w:rsid w:val="00B36410"/>
    <w:rsid w:val="00B36C9C"/>
    <w:rsid w:val="00B4339B"/>
    <w:rsid w:val="00B43EF9"/>
    <w:rsid w:val="00B445A3"/>
    <w:rsid w:val="00B46039"/>
    <w:rsid w:val="00B50370"/>
    <w:rsid w:val="00B513D9"/>
    <w:rsid w:val="00B521FB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262F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6C4"/>
    <w:rsid w:val="00BB290A"/>
    <w:rsid w:val="00BB2C03"/>
    <w:rsid w:val="00BB3D95"/>
    <w:rsid w:val="00BB4BF1"/>
    <w:rsid w:val="00BB7D99"/>
    <w:rsid w:val="00BC0881"/>
    <w:rsid w:val="00BC5F8F"/>
    <w:rsid w:val="00BC691C"/>
    <w:rsid w:val="00BD1677"/>
    <w:rsid w:val="00BD52BA"/>
    <w:rsid w:val="00BD531B"/>
    <w:rsid w:val="00BD5570"/>
    <w:rsid w:val="00BD6198"/>
    <w:rsid w:val="00BD6D31"/>
    <w:rsid w:val="00BE1EC9"/>
    <w:rsid w:val="00BE6930"/>
    <w:rsid w:val="00BF08D7"/>
    <w:rsid w:val="00BF234D"/>
    <w:rsid w:val="00BF4BAD"/>
    <w:rsid w:val="00BF50A0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1BA3"/>
    <w:rsid w:val="00C12244"/>
    <w:rsid w:val="00C12AF2"/>
    <w:rsid w:val="00C15369"/>
    <w:rsid w:val="00C17344"/>
    <w:rsid w:val="00C20096"/>
    <w:rsid w:val="00C209B5"/>
    <w:rsid w:val="00C226C8"/>
    <w:rsid w:val="00C22790"/>
    <w:rsid w:val="00C2308A"/>
    <w:rsid w:val="00C23278"/>
    <w:rsid w:val="00C255CD"/>
    <w:rsid w:val="00C25E92"/>
    <w:rsid w:val="00C27564"/>
    <w:rsid w:val="00C31E7B"/>
    <w:rsid w:val="00C32CAF"/>
    <w:rsid w:val="00C33E2F"/>
    <w:rsid w:val="00C34EB7"/>
    <w:rsid w:val="00C35D72"/>
    <w:rsid w:val="00C35D7E"/>
    <w:rsid w:val="00C3638E"/>
    <w:rsid w:val="00C36DB9"/>
    <w:rsid w:val="00C447AF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2B35"/>
    <w:rsid w:val="00C82DE6"/>
    <w:rsid w:val="00C85C2B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C6C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C12AD"/>
    <w:rsid w:val="00CC2691"/>
    <w:rsid w:val="00CC2F63"/>
    <w:rsid w:val="00CC50AB"/>
    <w:rsid w:val="00CC5F6B"/>
    <w:rsid w:val="00CC7DC9"/>
    <w:rsid w:val="00CD1EB7"/>
    <w:rsid w:val="00CD24B7"/>
    <w:rsid w:val="00CD64F8"/>
    <w:rsid w:val="00CD66E2"/>
    <w:rsid w:val="00CD67F2"/>
    <w:rsid w:val="00CD701F"/>
    <w:rsid w:val="00CE08EE"/>
    <w:rsid w:val="00CE09EE"/>
    <w:rsid w:val="00CE2A7D"/>
    <w:rsid w:val="00CE3E26"/>
    <w:rsid w:val="00CE7978"/>
    <w:rsid w:val="00CE7E49"/>
    <w:rsid w:val="00CF1071"/>
    <w:rsid w:val="00CF34D9"/>
    <w:rsid w:val="00CF6FD2"/>
    <w:rsid w:val="00CF7360"/>
    <w:rsid w:val="00D00568"/>
    <w:rsid w:val="00D01A62"/>
    <w:rsid w:val="00D0269A"/>
    <w:rsid w:val="00D05AA5"/>
    <w:rsid w:val="00D105DF"/>
    <w:rsid w:val="00D124FC"/>
    <w:rsid w:val="00D14143"/>
    <w:rsid w:val="00D167AB"/>
    <w:rsid w:val="00D16EE3"/>
    <w:rsid w:val="00D17D13"/>
    <w:rsid w:val="00D2288F"/>
    <w:rsid w:val="00D23867"/>
    <w:rsid w:val="00D26183"/>
    <w:rsid w:val="00D2667A"/>
    <w:rsid w:val="00D32AB6"/>
    <w:rsid w:val="00D34BC3"/>
    <w:rsid w:val="00D35DA8"/>
    <w:rsid w:val="00D366FF"/>
    <w:rsid w:val="00D3673D"/>
    <w:rsid w:val="00D40CB5"/>
    <w:rsid w:val="00D445EE"/>
    <w:rsid w:val="00D44E23"/>
    <w:rsid w:val="00D462B5"/>
    <w:rsid w:val="00D467B3"/>
    <w:rsid w:val="00D518E6"/>
    <w:rsid w:val="00D57CA5"/>
    <w:rsid w:val="00D57E7A"/>
    <w:rsid w:val="00D60EDE"/>
    <w:rsid w:val="00D622E8"/>
    <w:rsid w:val="00D660DA"/>
    <w:rsid w:val="00D70577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28DD"/>
    <w:rsid w:val="00D940AF"/>
    <w:rsid w:val="00D96CF9"/>
    <w:rsid w:val="00DA03EB"/>
    <w:rsid w:val="00DA2028"/>
    <w:rsid w:val="00DA295A"/>
    <w:rsid w:val="00DA34A9"/>
    <w:rsid w:val="00DA39C1"/>
    <w:rsid w:val="00DA5A1A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25D1"/>
    <w:rsid w:val="00DF47C3"/>
    <w:rsid w:val="00DF7373"/>
    <w:rsid w:val="00E02253"/>
    <w:rsid w:val="00E0301C"/>
    <w:rsid w:val="00E07950"/>
    <w:rsid w:val="00E13CC7"/>
    <w:rsid w:val="00E15271"/>
    <w:rsid w:val="00E176BE"/>
    <w:rsid w:val="00E20A2B"/>
    <w:rsid w:val="00E21159"/>
    <w:rsid w:val="00E23AA8"/>
    <w:rsid w:val="00E24842"/>
    <w:rsid w:val="00E26A7C"/>
    <w:rsid w:val="00E33AB9"/>
    <w:rsid w:val="00E341A2"/>
    <w:rsid w:val="00E35B8D"/>
    <w:rsid w:val="00E36956"/>
    <w:rsid w:val="00E3786C"/>
    <w:rsid w:val="00E4607D"/>
    <w:rsid w:val="00E470CF"/>
    <w:rsid w:val="00E472F1"/>
    <w:rsid w:val="00E47DA8"/>
    <w:rsid w:val="00E47F3C"/>
    <w:rsid w:val="00E507B8"/>
    <w:rsid w:val="00E51985"/>
    <w:rsid w:val="00E51CE3"/>
    <w:rsid w:val="00E52CAC"/>
    <w:rsid w:val="00E535C4"/>
    <w:rsid w:val="00E538DE"/>
    <w:rsid w:val="00E53B05"/>
    <w:rsid w:val="00E54E5C"/>
    <w:rsid w:val="00E5601C"/>
    <w:rsid w:val="00E561B8"/>
    <w:rsid w:val="00E56450"/>
    <w:rsid w:val="00E60463"/>
    <w:rsid w:val="00E60809"/>
    <w:rsid w:val="00E60D56"/>
    <w:rsid w:val="00E6254E"/>
    <w:rsid w:val="00E6435C"/>
    <w:rsid w:val="00E6499D"/>
    <w:rsid w:val="00E66D85"/>
    <w:rsid w:val="00E706D9"/>
    <w:rsid w:val="00E72322"/>
    <w:rsid w:val="00E724D9"/>
    <w:rsid w:val="00E72DCE"/>
    <w:rsid w:val="00E744D6"/>
    <w:rsid w:val="00E75928"/>
    <w:rsid w:val="00E75961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148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47CE"/>
    <w:rsid w:val="00EC66F6"/>
    <w:rsid w:val="00ED04DF"/>
    <w:rsid w:val="00ED1002"/>
    <w:rsid w:val="00ED15B5"/>
    <w:rsid w:val="00ED2F14"/>
    <w:rsid w:val="00EE1338"/>
    <w:rsid w:val="00EE3ADF"/>
    <w:rsid w:val="00EE4446"/>
    <w:rsid w:val="00EE50ED"/>
    <w:rsid w:val="00EE6D3A"/>
    <w:rsid w:val="00EE74FE"/>
    <w:rsid w:val="00EE7A94"/>
    <w:rsid w:val="00EF1F08"/>
    <w:rsid w:val="00EF37DA"/>
    <w:rsid w:val="00EF3CFD"/>
    <w:rsid w:val="00F017E8"/>
    <w:rsid w:val="00F0524A"/>
    <w:rsid w:val="00F0587B"/>
    <w:rsid w:val="00F12D23"/>
    <w:rsid w:val="00F14CFB"/>
    <w:rsid w:val="00F158AA"/>
    <w:rsid w:val="00F167A8"/>
    <w:rsid w:val="00F16DAA"/>
    <w:rsid w:val="00F20179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2A69"/>
    <w:rsid w:val="00F337F3"/>
    <w:rsid w:val="00F34A71"/>
    <w:rsid w:val="00F35BD9"/>
    <w:rsid w:val="00F3611E"/>
    <w:rsid w:val="00F36575"/>
    <w:rsid w:val="00F365DC"/>
    <w:rsid w:val="00F37FEE"/>
    <w:rsid w:val="00F44FC0"/>
    <w:rsid w:val="00F45CFF"/>
    <w:rsid w:val="00F45E86"/>
    <w:rsid w:val="00F471C8"/>
    <w:rsid w:val="00F47318"/>
    <w:rsid w:val="00F510F4"/>
    <w:rsid w:val="00F55232"/>
    <w:rsid w:val="00F56251"/>
    <w:rsid w:val="00F60787"/>
    <w:rsid w:val="00F608B4"/>
    <w:rsid w:val="00F60A8A"/>
    <w:rsid w:val="00F61B43"/>
    <w:rsid w:val="00F61CA1"/>
    <w:rsid w:val="00F61DEF"/>
    <w:rsid w:val="00F644B0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1AC3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40D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E2FE7"/>
    <w:rsid w:val="00FE6116"/>
    <w:rsid w:val="00FF096C"/>
    <w:rsid w:val="00FF13B8"/>
    <w:rsid w:val="00FF2071"/>
    <w:rsid w:val="00FF2888"/>
    <w:rsid w:val="00FF402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86069686-FB91-4F7C-B812-5129FED1A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N6KZ5FJUH56N-2-3611</_dlc_DocId>
    <_dlc_DocIdUrl xmlns="61b4827f-6107-4548-85d2-bee677143c1f">
      <Url>https://projects.qualcomm.com/sites/avante/_layouts/15/DocIdRedir.aspx?ID=N6KZ5FJUH56N-2-3611</Url>
      <Description>N6KZ5FJUH56N-2-3611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D3651-B172-4A09-8104-1E477165A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6044EB-8103-47F2-96D0-EA271955D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Libin Jiang</dc:creator>
  <cp:keywords/>
  <dc:description/>
  <cp:lastModifiedBy>Qualcomm</cp:lastModifiedBy>
  <cp:revision>57</cp:revision>
  <cp:lastPrinted>2017-03-24T18:16:00Z</cp:lastPrinted>
  <dcterms:created xsi:type="dcterms:W3CDTF">2017-08-08T15:28:00Z</dcterms:created>
  <dcterms:modified xsi:type="dcterms:W3CDTF">2017-08-11T20:38:00Z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96ebabe1-000a-45cf-8493-c695fba87d24</vt:lpwstr>
  </property>
  <property fmtid="{D5CDD505-2E9C-101B-9397-08002B2CF9AE}" pid="3" name="ContentTypeId">
    <vt:lpwstr>0x010100433FF1C4E697BF4B975503316F4D99DE</vt:lpwstr>
  </property>
</Properties>
</file>