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3F3363B2" w:rsidR="00A85E54" w:rsidRPr="00C87B22" w:rsidRDefault="00A85E54" w:rsidP="00A85E54">
      <w:pPr>
        <w:pStyle w:val="Header"/>
        <w:tabs>
          <w:tab w:val="clear" w:pos="4536"/>
        </w:tabs>
        <w:rPr>
          <w:i/>
          <w:lang w:val="de-DE"/>
        </w:rPr>
      </w:pPr>
      <w:bookmarkStart w:id="0" w:name="_GoBack"/>
      <w:bookmarkEnd w:id="0"/>
      <w:r w:rsidRPr="00C87B22">
        <w:rPr>
          <w:lang w:val="de-DE"/>
        </w:rPr>
        <w:t>TSG-RAN WG1</w:t>
      </w:r>
      <w:r w:rsidR="006556BF" w:rsidRPr="00C87B22">
        <w:rPr>
          <w:lang w:val="de-DE"/>
        </w:rPr>
        <w:t>#88bis</w:t>
      </w:r>
      <w:r w:rsidRPr="00C87B22">
        <w:rPr>
          <w:lang w:val="de-DE"/>
        </w:rPr>
        <w:tab/>
      </w:r>
      <w:r w:rsidR="006556BF" w:rsidRPr="00C87B22">
        <w:rPr>
          <w:lang w:val="de-DE"/>
        </w:rPr>
        <w:t>R1-17</w:t>
      </w:r>
      <w:r w:rsidR="00D04820">
        <w:rPr>
          <w:lang w:val="de-DE"/>
        </w:rPr>
        <w:t>06058</w:t>
      </w:r>
    </w:p>
    <w:p w14:paraId="4587AF62" w14:textId="2740D6E7" w:rsidR="00A85E54" w:rsidRPr="000833FA" w:rsidRDefault="00543494" w:rsidP="00A85E54">
      <w:pPr>
        <w:pStyle w:val="Header"/>
        <w:rPr>
          <w:color w:val="000000"/>
        </w:rPr>
      </w:pPr>
      <w:r>
        <w:t>Spokane, WA</w:t>
      </w:r>
      <w:r w:rsidR="00D11960">
        <w:t>, USA</w:t>
      </w:r>
      <w:r w:rsidR="0056282E">
        <w:t xml:space="preserve">, </w:t>
      </w:r>
      <w:r w:rsidR="006556BF">
        <w:t>April 3 – 7,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745B9B84" w:rsidR="00FE5799" w:rsidRPr="00E220C0" w:rsidRDefault="00FE5799" w:rsidP="00FE5799">
      <w:pPr>
        <w:pStyle w:val="Header"/>
        <w:tabs>
          <w:tab w:val="clear" w:pos="4536"/>
          <w:tab w:val="left" w:pos="1800"/>
        </w:tabs>
      </w:pPr>
      <w:r w:rsidRPr="0003368D">
        <w:t>Title:</w:t>
      </w:r>
      <w:bookmarkStart w:id="1" w:name="Title"/>
      <w:bookmarkEnd w:id="1"/>
      <w:r w:rsidRPr="0003368D">
        <w:tab/>
      </w:r>
      <w:r w:rsidR="002B3B98">
        <w:rPr>
          <w:iCs/>
          <w:lang w:eastAsia="ja-JP"/>
        </w:rPr>
        <w:t xml:space="preserve">On </w:t>
      </w:r>
      <w:r w:rsidR="00D04820">
        <w:rPr>
          <w:iCs/>
          <w:lang w:eastAsia="ja-JP"/>
        </w:rPr>
        <w:t>Carrier A</w:t>
      </w:r>
      <w:r w:rsidR="00B977A0">
        <w:rPr>
          <w:iCs/>
          <w:lang w:eastAsia="ja-JP"/>
        </w:rPr>
        <w:t>ggregation for NR</w:t>
      </w:r>
    </w:p>
    <w:p w14:paraId="7DAFFA69" w14:textId="1FE69F8F" w:rsidR="00FE5799" w:rsidRPr="00E220C0" w:rsidRDefault="00FE5799" w:rsidP="00FE5799">
      <w:pPr>
        <w:pStyle w:val="Header"/>
        <w:tabs>
          <w:tab w:val="left" w:pos="1800"/>
        </w:tabs>
      </w:pPr>
      <w:r w:rsidRPr="00E220C0">
        <w:t>Agenda Item:</w:t>
      </w:r>
      <w:bookmarkStart w:id="2" w:name="Source"/>
      <w:bookmarkEnd w:id="2"/>
      <w:r w:rsidRPr="00E220C0">
        <w:tab/>
      </w:r>
      <w:r w:rsidR="00113113">
        <w:t>8.1.3.</w:t>
      </w:r>
      <w:r w:rsidR="002B3B98">
        <w:t>4</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01944FB8" w14:textId="5BDD803C" w:rsidR="00EB78BF" w:rsidRPr="00EB78BF" w:rsidRDefault="00EB78BF" w:rsidP="00EB78BF">
      <w:pPr>
        <w:pStyle w:val="BodyText"/>
      </w:pPr>
      <w:r>
        <w:t>In this contribution some aspects of NR carrier aggregation are discussed.</w:t>
      </w:r>
    </w:p>
    <w:p w14:paraId="643B3910" w14:textId="6B7CB22C" w:rsidR="000A74B8" w:rsidRDefault="00113113" w:rsidP="000A74B8">
      <w:pPr>
        <w:pStyle w:val="Heading1"/>
      </w:pPr>
      <w:r>
        <w:t>Discussion</w:t>
      </w:r>
    </w:p>
    <w:p w14:paraId="29CC3E71" w14:textId="13D85BC0" w:rsidR="00C16DB9" w:rsidRDefault="00C16DB9" w:rsidP="00C16DB9">
      <w:pPr>
        <w:pStyle w:val="BodyText"/>
      </w:pPr>
      <w:r>
        <w:t>In LTE, carrier aggregation includes the possibility for</w:t>
      </w:r>
    </w:p>
    <w:p w14:paraId="6E448124" w14:textId="10036584" w:rsidR="00C16DB9" w:rsidRDefault="00C16DB9" w:rsidP="00C16DB9">
      <w:pPr>
        <w:pStyle w:val="BodyText"/>
        <w:numPr>
          <w:ilvl w:val="0"/>
          <w:numId w:val="15"/>
        </w:numPr>
      </w:pPr>
      <w:r>
        <w:t xml:space="preserve">cross-carrier and same-carrier scheduling </w:t>
      </w:r>
    </w:p>
    <w:p w14:paraId="2D20B9B2" w14:textId="17B8D8AD" w:rsidR="00C16DB9" w:rsidRDefault="00C16DB9" w:rsidP="00C16DB9">
      <w:pPr>
        <w:pStyle w:val="BodyText"/>
        <w:numPr>
          <w:ilvl w:val="0"/>
          <w:numId w:val="15"/>
        </w:numPr>
      </w:pPr>
      <w:r>
        <w:t>uplink control signaling on the primary carrier</w:t>
      </w:r>
    </w:p>
    <w:p w14:paraId="3C0CB04B" w14:textId="295D292F" w:rsidR="00C16DB9" w:rsidRDefault="00C16DB9" w:rsidP="00C16DB9">
      <w:pPr>
        <w:pStyle w:val="BodyText"/>
        <w:numPr>
          <w:ilvl w:val="0"/>
          <w:numId w:val="15"/>
        </w:numPr>
      </w:pPr>
      <w:r>
        <w:t>multiple timing-advance groups</w:t>
      </w:r>
    </w:p>
    <w:p w14:paraId="6294A798" w14:textId="7601BCB9" w:rsidR="00C16DB9" w:rsidRDefault="00C16DB9" w:rsidP="00C16DB9">
      <w:pPr>
        <w:pStyle w:val="BodyText"/>
        <w:numPr>
          <w:ilvl w:val="0"/>
          <w:numId w:val="15"/>
        </w:numPr>
      </w:pPr>
      <w:r>
        <w:t>activation/deactivation of carriers</w:t>
      </w:r>
    </w:p>
    <w:p w14:paraId="693B724F" w14:textId="3BB1FE71" w:rsidR="00C16DB9" w:rsidRDefault="00C16DB9" w:rsidP="00C16DB9">
      <w:pPr>
        <w:pStyle w:val="BodyText"/>
        <w:numPr>
          <w:ilvl w:val="0"/>
          <w:numId w:val="15"/>
        </w:numPr>
      </w:pPr>
      <w:r>
        <w:t>aggregation of carrier with the same as well as different duplexing schemes</w:t>
      </w:r>
    </w:p>
    <w:p w14:paraId="7C032060" w14:textId="5D2444F1" w:rsidR="00C16DB9" w:rsidRDefault="00C16DB9" w:rsidP="00C16DB9">
      <w:pPr>
        <w:pStyle w:val="BodyText"/>
      </w:pPr>
      <w:r>
        <w:t xml:space="preserve">Intra-NR carrier aggregation is part of the NR work and the aspects above are relevant also for NR although NR carriers support multiple numerologies which needs to be considered. </w:t>
      </w:r>
    </w:p>
    <w:p w14:paraId="67B9B73D" w14:textId="3F5938A0" w:rsidR="00C16DB9" w:rsidRDefault="00C16DB9" w:rsidP="00C16DB9">
      <w:pPr>
        <w:pStyle w:val="Heading2"/>
      </w:pPr>
      <w:r>
        <w:t>Cross-carrier scheduling</w:t>
      </w:r>
    </w:p>
    <w:p w14:paraId="07149A46" w14:textId="3189EB39" w:rsidR="00BB73A0" w:rsidRDefault="00C16DB9" w:rsidP="00C16DB9">
      <w:pPr>
        <w:pStyle w:val="BodyText"/>
      </w:pPr>
      <w:r>
        <w:t xml:space="preserve">Cross-carrier scheduling was introduced in LTE </w:t>
      </w:r>
      <w:r w:rsidR="006A4578">
        <w:t>with</w:t>
      </w:r>
      <w:r>
        <w:t xml:space="preserve"> heterogeneous </w:t>
      </w:r>
      <w:r w:rsidR="006A4578">
        <w:t>networks</w:t>
      </w:r>
      <w:r>
        <w:t xml:space="preserve"> as an argument </w:t>
      </w:r>
      <w:r w:rsidR="006A4578">
        <w:t>although</w:t>
      </w:r>
      <w:r>
        <w:t xml:space="preserve"> it later turned out that the carrier aggregation </w:t>
      </w:r>
      <w:r w:rsidR="006A4578">
        <w:t>mechanism</w:t>
      </w:r>
      <w:r>
        <w:t xml:space="preserve"> was less useful in this scenario</w:t>
      </w:r>
      <w:r w:rsidR="00BB73A0">
        <w:t xml:space="preserve">. Although the situation is expected to be similar in NR </w:t>
      </w:r>
      <w:r w:rsidR="006A4578">
        <w:t>cross</w:t>
      </w:r>
      <w:r w:rsidR="00BB73A0">
        <w:t xml:space="preserve">-carrier scheduling </w:t>
      </w:r>
      <w:r w:rsidR="006A4578">
        <w:t>can</w:t>
      </w:r>
      <w:r w:rsidR="00BB73A0">
        <w:t xml:space="preserve"> be useful as a mean to reduce latency. For example, uplink transmissions on a TDD carrier can be scheduled from another carrier (FDD</w:t>
      </w:r>
      <w:r w:rsidR="006A4578">
        <w:t xml:space="preserve"> or TDD)</w:t>
      </w:r>
      <w:r w:rsidR="00BB73A0">
        <w:t xml:space="preserve"> where it is possible to send the scheduling grant in the downlink.</w:t>
      </w:r>
    </w:p>
    <w:p w14:paraId="2F01BC74" w14:textId="78E51ED7" w:rsidR="00BB73A0" w:rsidRDefault="00BB73A0" w:rsidP="00C16DB9">
      <w:pPr>
        <w:pStyle w:val="BodyText"/>
      </w:pPr>
      <w:r>
        <w:t>Cross-carrier scheduling can be realized using a similar structure as in LTE. i.e. by using a carrier index field in the DCI.</w:t>
      </w:r>
    </w:p>
    <w:p w14:paraId="0F9F6592" w14:textId="7C14E49F" w:rsidR="00BB73A0" w:rsidRDefault="00BB73A0" w:rsidP="00BB73A0">
      <w:pPr>
        <w:pStyle w:val="Heading2"/>
      </w:pPr>
      <w:r>
        <w:t>Uplink control on the primary carrier only</w:t>
      </w:r>
      <w:r w:rsidR="00EC1E57">
        <w:t xml:space="preserve"> (‘UCI on </w:t>
      </w:r>
      <w:proofErr w:type="spellStart"/>
      <w:r w:rsidR="00EC1E57">
        <w:t>PCell</w:t>
      </w:r>
      <w:proofErr w:type="spellEnd"/>
      <w:r w:rsidR="00EC1E57">
        <w:t>’)</w:t>
      </w:r>
    </w:p>
    <w:p w14:paraId="5CC1B0E7" w14:textId="6A67E70E" w:rsidR="00BB73A0" w:rsidRDefault="00BB73A0" w:rsidP="00BB73A0">
      <w:pPr>
        <w:pStyle w:val="BodyText"/>
      </w:pPr>
      <w:r>
        <w:t xml:space="preserve">Uplink control on the primary carrier only allows </w:t>
      </w:r>
      <w:proofErr w:type="spellStart"/>
      <w:r>
        <w:t>SCells</w:t>
      </w:r>
      <w:proofErr w:type="spellEnd"/>
      <w:r>
        <w:t xml:space="preserve"> in the downlink to be deactivated. It can also be used as a tool to support low latency or improved coverage by allowing the hybrid-ARQ acknowledgement to be transmitted on another carrier (frequency band) than the downlink data.</w:t>
      </w:r>
    </w:p>
    <w:p w14:paraId="2F17FF32" w14:textId="5B8D5370" w:rsidR="00BB73A0" w:rsidRDefault="00BB73A0" w:rsidP="00BB73A0">
      <w:pPr>
        <w:pStyle w:val="BodyText"/>
      </w:pPr>
      <w:r>
        <w:t xml:space="preserve">Uplink control on the primary carrier only can be realized </w:t>
      </w:r>
      <w:r w:rsidR="00EC1E57">
        <w:t>similarly</w:t>
      </w:r>
      <w:r>
        <w:t xml:space="preserve"> as in LTE, i.e. by the appropriate UCI/PUCCH formats capable of carrying the required number of bits.</w:t>
      </w:r>
    </w:p>
    <w:p w14:paraId="4DE00B77" w14:textId="49C46D53" w:rsidR="00BB73A0" w:rsidRDefault="00BB73A0" w:rsidP="00BB73A0">
      <w:pPr>
        <w:pStyle w:val="Heading2"/>
      </w:pPr>
      <w:r>
        <w:t>Multiple timing-advance groups</w:t>
      </w:r>
    </w:p>
    <w:p w14:paraId="10CD44DE" w14:textId="46B3195C" w:rsidR="00BB73A0" w:rsidRDefault="00BB73A0" w:rsidP="00BB73A0">
      <w:pPr>
        <w:pStyle w:val="BodyText"/>
      </w:pPr>
      <w:r>
        <w:t>Multiple timing-</w:t>
      </w:r>
      <w:r w:rsidR="006A4578">
        <w:t>advance</w:t>
      </w:r>
      <w:r>
        <w:t xml:space="preserve"> groups (TAGs) was introduced in LTE as a way to support multiple uplink carriers with vastly different propagation delays, e.g. if some carriers are subject to the delay in an amplify-and-forward repeater while others are not. The situation is the same for NR and multiple TAGs are therefore equally relevant in NR as for LTE.</w:t>
      </w:r>
    </w:p>
    <w:p w14:paraId="1D76BFB0" w14:textId="107BF76A" w:rsidR="00BB73A0" w:rsidRDefault="00BB73A0" w:rsidP="00BB73A0">
      <w:pPr>
        <w:pStyle w:val="BodyText"/>
      </w:pPr>
      <w:r>
        <w:t>Multiple TAGs can be supported in a similar way as in LTE.</w:t>
      </w:r>
    </w:p>
    <w:p w14:paraId="7ECF5567" w14:textId="6D47CD8F" w:rsidR="00BB73A0" w:rsidRDefault="00BB73A0" w:rsidP="00BB73A0">
      <w:pPr>
        <w:pStyle w:val="Heading2"/>
      </w:pPr>
      <w:r>
        <w:t>Activation/deactivation of carriers</w:t>
      </w:r>
    </w:p>
    <w:p w14:paraId="1E101D1D" w14:textId="4985A578" w:rsidR="00EC1E57" w:rsidRDefault="00BB73A0" w:rsidP="00BB73A0">
      <w:pPr>
        <w:pStyle w:val="BodyText"/>
      </w:pPr>
      <w:r>
        <w:t>Deactivation of downlink carriers is a way to reduce the UE power consumption by allowing the UE to monitor DCI only on one (</w:t>
      </w:r>
      <w:r w:rsidR="006A4578">
        <w:t>or</w:t>
      </w:r>
      <w:r>
        <w:t xml:space="preserve"> a small number of) carriers. This is an important tool for reducing the UE power consumption and should be supported in NR as well. However, the activation/deactivation time should be significantly reduced compared to LTE which may call for different signaling mechanisms than MAC control elements. </w:t>
      </w:r>
    </w:p>
    <w:p w14:paraId="3184C109" w14:textId="3F572CB8" w:rsidR="00BB73A0" w:rsidRDefault="00EC1E57" w:rsidP="00BB73A0">
      <w:pPr>
        <w:pStyle w:val="BodyText"/>
      </w:pPr>
      <w:r>
        <w:t xml:space="preserve">Activation of a </w:t>
      </w:r>
      <w:proofErr w:type="spellStart"/>
      <w:r>
        <w:t>SCell</w:t>
      </w:r>
      <w:proofErr w:type="spellEnd"/>
      <w:r>
        <w:t xml:space="preserve"> is in many respects similar to the </w:t>
      </w:r>
      <w:r w:rsidR="00EB78BF">
        <w:t xml:space="preserve">adaptive </w:t>
      </w:r>
      <w:r>
        <w:t xml:space="preserve">bandwidth adaptation in NR, where the PDSCH </w:t>
      </w:r>
      <w:r w:rsidR="006A4578">
        <w:t>bandwidth</w:t>
      </w:r>
      <w:r>
        <w:t xml:space="preserve"> can be increased with short notice by using cross-slot </w:t>
      </w:r>
      <w:r w:rsidR="006A4578">
        <w:t>scheduling</w:t>
      </w:r>
      <w:r>
        <w:t xml:space="preserve">. A similar mechanism can be applied </w:t>
      </w:r>
      <w:r>
        <w:lastRenderedPageBreak/>
        <w:t xml:space="preserve">to </w:t>
      </w:r>
      <w:proofErr w:type="spellStart"/>
      <w:r>
        <w:t>SCell</w:t>
      </w:r>
      <w:proofErr w:type="spellEnd"/>
      <w:r>
        <w:t xml:space="preserve"> activation, e.g. the </w:t>
      </w:r>
      <w:r w:rsidR="006A4578">
        <w:t>scheduling</w:t>
      </w:r>
      <w:r>
        <w:t xml:space="preserve"> assignment on the </w:t>
      </w:r>
      <w:proofErr w:type="spellStart"/>
      <w:r>
        <w:t>PCell</w:t>
      </w:r>
      <w:proofErr w:type="spellEnd"/>
      <w:r>
        <w:t xml:space="preserve"> in the previous slot can result in a </w:t>
      </w:r>
      <w:proofErr w:type="spellStart"/>
      <w:r>
        <w:t>SCell</w:t>
      </w:r>
      <w:proofErr w:type="spellEnd"/>
      <w:r>
        <w:t xml:space="preserve"> </w:t>
      </w:r>
      <w:r w:rsidR="006A4578">
        <w:t>being</w:t>
      </w:r>
      <w:r>
        <w:t xml:space="preserve"> activated </w:t>
      </w:r>
      <w:r w:rsidR="006A4578">
        <w:t>in</w:t>
      </w:r>
      <w:r>
        <w:t xml:space="preserve"> </w:t>
      </w:r>
      <w:r w:rsidR="006A4578">
        <w:t>the</w:t>
      </w:r>
      <w:r>
        <w:t xml:space="preserve"> next slot.</w:t>
      </w:r>
    </w:p>
    <w:p w14:paraId="17429B71" w14:textId="56E86CE2" w:rsidR="00EC1E57" w:rsidRDefault="00EC1E57" w:rsidP="00EC1E57">
      <w:pPr>
        <w:pStyle w:val="Heading2"/>
      </w:pPr>
      <w:r>
        <w:t>Aggregation across duplex schemes</w:t>
      </w:r>
    </w:p>
    <w:p w14:paraId="2DA61091" w14:textId="72829F22" w:rsidR="00EC1E57" w:rsidRDefault="006A4578" w:rsidP="00EC1E57">
      <w:pPr>
        <w:pStyle w:val="BodyText"/>
      </w:pPr>
      <w:r>
        <w:t>Carrier</w:t>
      </w:r>
      <w:r w:rsidR="00EC1E57">
        <w:t xml:space="preserve"> aggregation </w:t>
      </w:r>
      <w:r>
        <w:t>across</w:t>
      </w:r>
      <w:r w:rsidR="00EC1E57">
        <w:t xml:space="preserve"> different duplex schemes should be possible (and is possible in later versions of LTE) as a way to efficiently exploit the available spectrum resources. It can also, as discussed above, be </w:t>
      </w:r>
      <w:r>
        <w:t>used in</w:t>
      </w:r>
      <w:r w:rsidR="00EC1E57">
        <w:t xml:space="preserve"> combination with cross-carrier scheduling and UCI on </w:t>
      </w:r>
      <w:proofErr w:type="spellStart"/>
      <w:r w:rsidR="00EC1E57">
        <w:t>PCell</w:t>
      </w:r>
      <w:proofErr w:type="spellEnd"/>
      <w:r w:rsidR="00EC1E57">
        <w:t xml:space="preserve"> be used to improve coverage or reduce latency.</w:t>
      </w:r>
    </w:p>
    <w:p w14:paraId="2C7FFD68" w14:textId="46C659A2" w:rsidR="00EC1E57" w:rsidRDefault="00EC1E57" w:rsidP="00EC1E57">
      <w:pPr>
        <w:pStyle w:val="BodyText"/>
      </w:pPr>
      <w:r>
        <w:t>Carrier aggregation across duplex schemes should be supported.</w:t>
      </w:r>
    </w:p>
    <w:p w14:paraId="426984AD" w14:textId="655F3C5D" w:rsidR="00EC1E57" w:rsidRDefault="00EC1E57" w:rsidP="00EC1E57">
      <w:pPr>
        <w:pStyle w:val="Heading2"/>
      </w:pPr>
      <w:r>
        <w:t>Carrier aggregation across numerologies</w:t>
      </w:r>
    </w:p>
    <w:p w14:paraId="1B909473" w14:textId="163B9D51" w:rsidR="00DC32CC" w:rsidRDefault="00EC1E57" w:rsidP="00EC1E57">
      <w:pPr>
        <w:pStyle w:val="BodyText"/>
      </w:pPr>
      <w:r>
        <w:t xml:space="preserve">Multiple </w:t>
      </w:r>
      <w:r w:rsidR="006A4578">
        <w:t>numerologies</w:t>
      </w:r>
      <w:r>
        <w:t xml:space="preserve"> are supported in NR, unlike LTE. A relevant question is therefore whether </w:t>
      </w:r>
      <w:r w:rsidR="006A4578">
        <w:t>cross</w:t>
      </w:r>
      <w:r>
        <w:t>-</w:t>
      </w:r>
      <w:r w:rsidR="006A4578">
        <w:t>numerology</w:t>
      </w:r>
      <w:r>
        <w:t xml:space="preserve"> aggregation should </w:t>
      </w:r>
      <w:r w:rsidR="006A4578">
        <w:t>be</w:t>
      </w:r>
      <w:r>
        <w:t xml:space="preserve"> supported or not.  Since different frequency bands may call for different numerologies, inter-band aggregation can sometimes require aggregation of carriers with different numerologies. This relatively straight forward </w:t>
      </w:r>
      <w:r w:rsidR="006A4578">
        <w:t>although</w:t>
      </w:r>
      <w:r>
        <w:t xml:space="preserve"> some numerology </w:t>
      </w:r>
      <w:r w:rsidR="006A4578">
        <w:t>combinations</w:t>
      </w:r>
      <w:r>
        <w:t xml:space="preserve"> may call for additional care. For example, a </w:t>
      </w:r>
      <w:r w:rsidR="00DC32CC">
        <w:t xml:space="preserve">single OFDM symbol PDCCH on a </w:t>
      </w:r>
      <w:r>
        <w:t>low-</w:t>
      </w:r>
      <w:r w:rsidR="006A4578">
        <w:t>numerology</w:t>
      </w:r>
      <w:r w:rsidR="00DC32CC">
        <w:t xml:space="preserve"> carrier can </w:t>
      </w:r>
      <w:r w:rsidR="006A4578">
        <w:t>have</w:t>
      </w:r>
      <w:r w:rsidR="00DC32CC">
        <w:t xml:space="preserve"> a duration which is in the same order as a whole slot on a high-</w:t>
      </w:r>
      <w:r w:rsidR="006A4578">
        <w:t>numerology</w:t>
      </w:r>
      <w:r w:rsidR="00DC32CC">
        <w:t xml:space="preserve"> PDSCH carrier. However, this is similar to the situation of mixed numerologies on the same carrier, or different numerologies on uplink and downlink, and can be handled in a similar way (e.g. by not supporting some of the less relevant corner cases).</w:t>
      </w:r>
    </w:p>
    <w:p w14:paraId="080EEBD2" w14:textId="1287592F" w:rsidR="000E395D" w:rsidRDefault="000E395D" w:rsidP="000E395D">
      <w:pPr>
        <w:pStyle w:val="Heading2"/>
      </w:pPr>
      <w:r>
        <w:t>Hybrid-ARQ retransmissions</w:t>
      </w:r>
    </w:p>
    <w:p w14:paraId="6D751FD6" w14:textId="3E5E0122" w:rsidR="000E395D" w:rsidRPr="000E395D" w:rsidRDefault="000E395D" w:rsidP="000E395D">
      <w:pPr>
        <w:pStyle w:val="BodyText"/>
      </w:pPr>
      <w:r>
        <w:t>In LTE hybrid-ARQ retransmissions occur on the same carrier as the original transmission. Although moving retransmissions across component carriers could be considered from a principal perspective the gains are questionable and it may also impact the possibilities for parallelization where each carrier is processed independently of the other carriers. It is therefore suggested to restrict hybrid-ARQ retransmissions to the same carrier as the original hybrid-ARQ transmission.</w:t>
      </w:r>
    </w:p>
    <w:p w14:paraId="28284343" w14:textId="56B66754" w:rsidR="007A018A" w:rsidRDefault="007A018A" w:rsidP="007A018A">
      <w:pPr>
        <w:pStyle w:val="Heading1"/>
      </w:pPr>
      <w:r>
        <w:t>Conclusion</w:t>
      </w:r>
    </w:p>
    <w:p w14:paraId="2EA6D36A" w14:textId="2B664289" w:rsidR="00DC32CC" w:rsidRDefault="00DC32CC" w:rsidP="00DC32CC">
      <w:pPr>
        <w:pStyle w:val="BodyText"/>
      </w:pPr>
      <w:r>
        <w:t xml:space="preserve">Carrier aggregation in NR </w:t>
      </w:r>
      <w:proofErr w:type="gramStart"/>
      <w:r>
        <w:t>can to</w:t>
      </w:r>
      <w:proofErr w:type="gramEnd"/>
      <w:r>
        <w:t xml:space="preserve"> a large extent follow the same principles as used in LTE. In addition, aggregation of carriers with different </w:t>
      </w:r>
      <w:r w:rsidR="006A4578">
        <w:t>numerologies</w:t>
      </w:r>
      <w:r>
        <w:t xml:space="preserve"> should be supported.</w:t>
      </w:r>
    </w:p>
    <w:p w14:paraId="0D133972" w14:textId="01BD50DF" w:rsidR="000E395D" w:rsidRDefault="000E395D" w:rsidP="000E395D">
      <w:pPr>
        <w:pStyle w:val="BodyText"/>
        <w:numPr>
          <w:ilvl w:val="0"/>
          <w:numId w:val="16"/>
        </w:numPr>
      </w:pPr>
      <w:r>
        <w:t>Self-scheduling and cross-carrier scheduling is supported</w:t>
      </w:r>
    </w:p>
    <w:p w14:paraId="6B3642B0" w14:textId="50D89CB7" w:rsidR="000E395D" w:rsidRDefault="000E395D" w:rsidP="000E395D">
      <w:pPr>
        <w:pStyle w:val="BodyText"/>
        <w:numPr>
          <w:ilvl w:val="0"/>
          <w:numId w:val="16"/>
        </w:numPr>
      </w:pPr>
      <w:r>
        <w:t xml:space="preserve">Uplink control relating to downlink carrier </w:t>
      </w:r>
      <w:r w:rsidRPr="000E395D">
        <w:rPr>
          <w:i/>
        </w:rPr>
        <w:t>n</w:t>
      </w:r>
      <w:r>
        <w:t xml:space="preserve"> can be transmitted </w:t>
      </w:r>
      <w:r w:rsidR="00DB3CF0">
        <w:t xml:space="preserve">the associated </w:t>
      </w:r>
      <w:r>
        <w:t xml:space="preserve">carrier as well as on the </w:t>
      </w:r>
      <w:proofErr w:type="spellStart"/>
      <w:r>
        <w:t>PCell</w:t>
      </w:r>
      <w:proofErr w:type="spellEnd"/>
    </w:p>
    <w:p w14:paraId="4AD16A60" w14:textId="19166BBE" w:rsidR="000E395D" w:rsidRDefault="000E395D" w:rsidP="000E395D">
      <w:pPr>
        <w:pStyle w:val="BodyText"/>
        <w:numPr>
          <w:ilvl w:val="0"/>
          <w:numId w:val="16"/>
        </w:numPr>
      </w:pPr>
      <w:r>
        <w:t>Multiple timing-advance groups are supported as in LTE</w:t>
      </w:r>
    </w:p>
    <w:p w14:paraId="0C301039" w14:textId="5927B983" w:rsidR="000E395D" w:rsidRDefault="000E395D" w:rsidP="000E395D">
      <w:pPr>
        <w:pStyle w:val="BodyText"/>
        <w:numPr>
          <w:ilvl w:val="0"/>
          <w:numId w:val="16"/>
        </w:numPr>
      </w:pPr>
      <w:r>
        <w:t xml:space="preserve">An </w:t>
      </w:r>
      <w:proofErr w:type="spellStart"/>
      <w:r>
        <w:t>SCell</w:t>
      </w:r>
      <w:proofErr w:type="spellEnd"/>
      <w:r>
        <w:t xml:space="preserve"> may be activated/deactivated but on a much faster time scale than in LTE</w:t>
      </w:r>
    </w:p>
    <w:p w14:paraId="3D9B2D6A" w14:textId="41234A61" w:rsidR="000E395D" w:rsidRDefault="000E395D" w:rsidP="000E395D">
      <w:pPr>
        <w:pStyle w:val="BodyText"/>
        <w:numPr>
          <w:ilvl w:val="0"/>
          <w:numId w:val="16"/>
        </w:numPr>
      </w:pPr>
      <w:r>
        <w:t>Carrier aggregation across duplexing schemes is supported</w:t>
      </w:r>
    </w:p>
    <w:p w14:paraId="63B94FC3" w14:textId="58EF0586" w:rsidR="000E395D" w:rsidRDefault="000E395D" w:rsidP="000E395D">
      <w:pPr>
        <w:pStyle w:val="BodyText"/>
        <w:numPr>
          <w:ilvl w:val="0"/>
          <w:numId w:val="16"/>
        </w:numPr>
      </w:pPr>
      <w:r>
        <w:t>Carrier aggregation across numerologies is supported</w:t>
      </w:r>
    </w:p>
    <w:p w14:paraId="01E93319" w14:textId="7C4A3FD6" w:rsidR="000E395D" w:rsidRDefault="000E395D" w:rsidP="000E395D">
      <w:pPr>
        <w:pStyle w:val="BodyText"/>
        <w:numPr>
          <w:ilvl w:val="0"/>
          <w:numId w:val="16"/>
        </w:numPr>
      </w:pPr>
      <w:r>
        <w:t>Hybrid-ARQ retransmissions occur on the same component carrier as the initial hybrid ARQ transmission</w:t>
      </w:r>
    </w:p>
    <w:p w14:paraId="0F983DE7" w14:textId="77777777" w:rsidR="007A018A" w:rsidRDefault="007A018A" w:rsidP="003A1F9F">
      <w:pPr>
        <w:pStyle w:val="BodyText"/>
      </w:pPr>
    </w:p>
    <w:sectPr w:rsidR="007A018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A6E25" w14:textId="77777777" w:rsidR="006D397D" w:rsidRDefault="006D397D">
      <w:r>
        <w:separator/>
      </w:r>
    </w:p>
  </w:endnote>
  <w:endnote w:type="continuationSeparator" w:id="0">
    <w:p w14:paraId="31C8EAFA" w14:textId="77777777" w:rsidR="006D397D" w:rsidRDefault="006D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71158" w14:textId="77777777" w:rsidR="006D397D" w:rsidRDefault="006D397D">
      <w:r>
        <w:separator/>
      </w:r>
    </w:p>
  </w:footnote>
  <w:footnote w:type="continuationSeparator" w:id="0">
    <w:p w14:paraId="255619A8" w14:textId="77777777" w:rsidR="006D397D" w:rsidRDefault="006D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6D397D"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4"/>
  </w:num>
  <w:num w:numId="2">
    <w:abstractNumId w:val="12"/>
  </w:num>
  <w:num w:numId="3">
    <w:abstractNumId w:val="8"/>
  </w:num>
  <w:num w:numId="4">
    <w:abstractNumId w:val="5"/>
  </w:num>
  <w:num w:numId="5">
    <w:abstractNumId w:val="4"/>
  </w:num>
  <w:num w:numId="6">
    <w:abstractNumId w:val="7"/>
  </w:num>
  <w:num w:numId="7">
    <w:abstractNumId w:val="10"/>
  </w:num>
  <w:num w:numId="8">
    <w:abstractNumId w:val="15"/>
  </w:num>
  <w:num w:numId="9">
    <w:abstractNumId w:val="1"/>
  </w:num>
  <w:num w:numId="10">
    <w:abstractNumId w:val="0"/>
  </w:num>
  <w:num w:numId="11">
    <w:abstractNumId w:val="2"/>
  </w:num>
  <w:num w:numId="12">
    <w:abstractNumId w:val="9"/>
  </w:num>
  <w:num w:numId="13">
    <w:abstractNumId w:val="11"/>
  </w:num>
  <w:num w:numId="14">
    <w:abstractNumId w:val="3"/>
  </w:num>
  <w:num w:numId="15">
    <w:abstractNumId w:val="1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9038A"/>
    <w:rsid w:val="000944E4"/>
    <w:rsid w:val="000A258F"/>
    <w:rsid w:val="000A4E5A"/>
    <w:rsid w:val="000A74B8"/>
    <w:rsid w:val="000C02AC"/>
    <w:rsid w:val="000E395D"/>
    <w:rsid w:val="0010025E"/>
    <w:rsid w:val="001018DF"/>
    <w:rsid w:val="001027FF"/>
    <w:rsid w:val="00112E18"/>
    <w:rsid w:val="00113113"/>
    <w:rsid w:val="00114B6A"/>
    <w:rsid w:val="00120E84"/>
    <w:rsid w:val="00141448"/>
    <w:rsid w:val="00142260"/>
    <w:rsid w:val="00171B31"/>
    <w:rsid w:val="0017310F"/>
    <w:rsid w:val="00175D32"/>
    <w:rsid w:val="00191E60"/>
    <w:rsid w:val="001B4110"/>
    <w:rsid w:val="001B66ED"/>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43A18"/>
    <w:rsid w:val="00350180"/>
    <w:rsid w:val="00361CA8"/>
    <w:rsid w:val="00363390"/>
    <w:rsid w:val="003875A3"/>
    <w:rsid w:val="003A1F9F"/>
    <w:rsid w:val="003A3E47"/>
    <w:rsid w:val="003B5644"/>
    <w:rsid w:val="003C040C"/>
    <w:rsid w:val="003E2560"/>
    <w:rsid w:val="004067C0"/>
    <w:rsid w:val="004165C9"/>
    <w:rsid w:val="004217B5"/>
    <w:rsid w:val="00422F7B"/>
    <w:rsid w:val="00437ACB"/>
    <w:rsid w:val="004837C7"/>
    <w:rsid w:val="00492A78"/>
    <w:rsid w:val="004B57FD"/>
    <w:rsid w:val="004C321E"/>
    <w:rsid w:val="004C4387"/>
    <w:rsid w:val="004D7360"/>
    <w:rsid w:val="004E70DB"/>
    <w:rsid w:val="00511453"/>
    <w:rsid w:val="005119B0"/>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E80"/>
    <w:rsid w:val="005A2873"/>
    <w:rsid w:val="005A4D1F"/>
    <w:rsid w:val="005B0522"/>
    <w:rsid w:val="005C439D"/>
    <w:rsid w:val="005D67F9"/>
    <w:rsid w:val="005E0AF0"/>
    <w:rsid w:val="005E2BCF"/>
    <w:rsid w:val="005F57CF"/>
    <w:rsid w:val="0060203F"/>
    <w:rsid w:val="0061336B"/>
    <w:rsid w:val="0062673F"/>
    <w:rsid w:val="006348C5"/>
    <w:rsid w:val="00636F01"/>
    <w:rsid w:val="0064164A"/>
    <w:rsid w:val="00643A16"/>
    <w:rsid w:val="006549E5"/>
    <w:rsid w:val="006556BF"/>
    <w:rsid w:val="00665E2A"/>
    <w:rsid w:val="00670FD9"/>
    <w:rsid w:val="006A286A"/>
    <w:rsid w:val="006A4578"/>
    <w:rsid w:val="006B271B"/>
    <w:rsid w:val="006D397D"/>
    <w:rsid w:val="006E0D45"/>
    <w:rsid w:val="00714D20"/>
    <w:rsid w:val="00726A12"/>
    <w:rsid w:val="00726C96"/>
    <w:rsid w:val="00741E68"/>
    <w:rsid w:val="007506C7"/>
    <w:rsid w:val="0075384C"/>
    <w:rsid w:val="007563CC"/>
    <w:rsid w:val="007569CA"/>
    <w:rsid w:val="00762DF4"/>
    <w:rsid w:val="0076348D"/>
    <w:rsid w:val="00765485"/>
    <w:rsid w:val="00777330"/>
    <w:rsid w:val="007A018A"/>
    <w:rsid w:val="007A01C0"/>
    <w:rsid w:val="007B0A12"/>
    <w:rsid w:val="007C217E"/>
    <w:rsid w:val="007C7C69"/>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A7E9E"/>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421E3"/>
    <w:rsid w:val="00B42F5C"/>
    <w:rsid w:val="00B52C5F"/>
    <w:rsid w:val="00B5516A"/>
    <w:rsid w:val="00B63298"/>
    <w:rsid w:val="00B8400F"/>
    <w:rsid w:val="00B85DCB"/>
    <w:rsid w:val="00B977A0"/>
    <w:rsid w:val="00BA2CDD"/>
    <w:rsid w:val="00BA3D9B"/>
    <w:rsid w:val="00BA76BC"/>
    <w:rsid w:val="00BB73A0"/>
    <w:rsid w:val="00BF7E13"/>
    <w:rsid w:val="00C04B3F"/>
    <w:rsid w:val="00C073DB"/>
    <w:rsid w:val="00C13452"/>
    <w:rsid w:val="00C1560A"/>
    <w:rsid w:val="00C16DB9"/>
    <w:rsid w:val="00C325A2"/>
    <w:rsid w:val="00C326A6"/>
    <w:rsid w:val="00C50B3C"/>
    <w:rsid w:val="00C55346"/>
    <w:rsid w:val="00C61496"/>
    <w:rsid w:val="00C76E90"/>
    <w:rsid w:val="00C87B22"/>
    <w:rsid w:val="00C93774"/>
    <w:rsid w:val="00CA11AB"/>
    <w:rsid w:val="00CB4D3D"/>
    <w:rsid w:val="00CE02E7"/>
    <w:rsid w:val="00CE1E70"/>
    <w:rsid w:val="00CE28B2"/>
    <w:rsid w:val="00CE3E00"/>
    <w:rsid w:val="00CE4E11"/>
    <w:rsid w:val="00CE7F2E"/>
    <w:rsid w:val="00CF2225"/>
    <w:rsid w:val="00CF67BE"/>
    <w:rsid w:val="00CF7534"/>
    <w:rsid w:val="00D02349"/>
    <w:rsid w:val="00D03119"/>
    <w:rsid w:val="00D04257"/>
    <w:rsid w:val="00D04820"/>
    <w:rsid w:val="00D11960"/>
    <w:rsid w:val="00D23CBA"/>
    <w:rsid w:val="00D338CE"/>
    <w:rsid w:val="00D350E3"/>
    <w:rsid w:val="00D516DD"/>
    <w:rsid w:val="00D63209"/>
    <w:rsid w:val="00D650BD"/>
    <w:rsid w:val="00D701A0"/>
    <w:rsid w:val="00D83B62"/>
    <w:rsid w:val="00DA110D"/>
    <w:rsid w:val="00DB3BC8"/>
    <w:rsid w:val="00DB3CF0"/>
    <w:rsid w:val="00DC085D"/>
    <w:rsid w:val="00DC0996"/>
    <w:rsid w:val="00DC32CC"/>
    <w:rsid w:val="00DD1935"/>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57CED"/>
    <w:rsid w:val="00E6268C"/>
    <w:rsid w:val="00E63D88"/>
    <w:rsid w:val="00E83054"/>
    <w:rsid w:val="00E92A9B"/>
    <w:rsid w:val="00EA148A"/>
    <w:rsid w:val="00EA172F"/>
    <w:rsid w:val="00EA1984"/>
    <w:rsid w:val="00EA479A"/>
    <w:rsid w:val="00EB78BF"/>
    <w:rsid w:val="00EC1E57"/>
    <w:rsid w:val="00EC61BE"/>
    <w:rsid w:val="00EC76D4"/>
    <w:rsid w:val="00EE478D"/>
    <w:rsid w:val="00EF4B30"/>
    <w:rsid w:val="00F0587F"/>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27AE6-B664-4094-87D8-BEF494C62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901</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10</cp:revision>
  <cp:lastPrinted>2017-03-14T12:16:00Z</cp:lastPrinted>
  <dcterms:created xsi:type="dcterms:W3CDTF">2017-03-20T13:43:00Z</dcterms:created>
  <dcterms:modified xsi:type="dcterms:W3CDTF">2017-03-25T02:28:00Z</dcterms:modified>
</cp:coreProperties>
</file>