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16BF7" w14:textId="0EB1D20A" w:rsidR="00A85E54" w:rsidRPr="00DD362C" w:rsidRDefault="00A85E54" w:rsidP="00A85E54">
      <w:pPr>
        <w:pStyle w:val="Header"/>
        <w:tabs>
          <w:tab w:val="clear" w:pos="4536"/>
        </w:tabs>
        <w:rPr>
          <w:i/>
          <w:lang w:val="de-DE"/>
        </w:rPr>
      </w:pPr>
      <w:r w:rsidRPr="00DD362C">
        <w:rPr>
          <w:lang w:val="de-DE"/>
        </w:rPr>
        <w:t>TSG-RAN WG1</w:t>
      </w:r>
      <w:r w:rsidR="00AC4F06">
        <w:rPr>
          <w:lang w:val="de-DE"/>
        </w:rPr>
        <w:t xml:space="preserve"> Meeting</w:t>
      </w:r>
      <w:r w:rsidR="006556BF" w:rsidRPr="00DD362C">
        <w:rPr>
          <w:lang w:val="de-DE"/>
        </w:rPr>
        <w:t>#88bis</w:t>
      </w:r>
      <w:r w:rsidRPr="00DD362C">
        <w:rPr>
          <w:lang w:val="de-DE"/>
        </w:rPr>
        <w:tab/>
      </w:r>
      <w:r w:rsidR="006556BF" w:rsidRPr="00DD362C">
        <w:rPr>
          <w:lang w:val="de-DE"/>
        </w:rPr>
        <w:t>R1-17</w:t>
      </w:r>
      <w:r w:rsidR="00AC4F06">
        <w:rPr>
          <w:lang w:val="de-DE"/>
        </w:rPr>
        <w:t>06053</w:t>
      </w:r>
    </w:p>
    <w:p w14:paraId="4587AF62" w14:textId="2740D6E7" w:rsidR="00A85E54" w:rsidRPr="000833FA" w:rsidRDefault="00543494" w:rsidP="00A85E54">
      <w:pPr>
        <w:pStyle w:val="Header"/>
        <w:rPr>
          <w:color w:val="000000"/>
        </w:rPr>
      </w:pPr>
      <w:r>
        <w:t>Spokane, WA</w:t>
      </w:r>
      <w:r w:rsidR="00D11960">
        <w:t>, USA</w:t>
      </w:r>
      <w:r w:rsidR="0056282E">
        <w:t xml:space="preserve">, </w:t>
      </w:r>
      <w:r w:rsidR="006556BF">
        <w:t>April 3 – 7, 2017</w:t>
      </w:r>
    </w:p>
    <w:p w14:paraId="0160157A" w14:textId="77777777" w:rsidR="00A85E54" w:rsidRPr="000833FA" w:rsidRDefault="00A85E54" w:rsidP="00A85E54">
      <w:pPr>
        <w:pStyle w:val="Header"/>
      </w:pPr>
    </w:p>
    <w:p w14:paraId="5E2498C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D04D6C4" w14:textId="14FC1AB5" w:rsidR="00FE5799" w:rsidRPr="00E220C0" w:rsidRDefault="00FE5799" w:rsidP="00FE5799">
      <w:pPr>
        <w:pStyle w:val="Header"/>
        <w:tabs>
          <w:tab w:val="clear" w:pos="4536"/>
          <w:tab w:val="left" w:pos="1800"/>
        </w:tabs>
      </w:pPr>
      <w:r w:rsidRPr="0003368D">
        <w:t>Title:</w:t>
      </w:r>
      <w:bookmarkStart w:id="0" w:name="Title"/>
      <w:bookmarkEnd w:id="0"/>
      <w:r w:rsidRPr="0003368D">
        <w:tab/>
      </w:r>
      <w:r w:rsidR="00AC4F06">
        <w:rPr>
          <w:iCs/>
          <w:lang w:eastAsia="ja-JP"/>
        </w:rPr>
        <w:t>On Scheduling Aspects to Achieve Low L</w:t>
      </w:r>
      <w:r w:rsidR="002B3B98" w:rsidRPr="002B3B98">
        <w:rPr>
          <w:iCs/>
          <w:lang w:eastAsia="ja-JP"/>
        </w:rPr>
        <w:t>atency</w:t>
      </w:r>
    </w:p>
    <w:p w14:paraId="7DAFFA69" w14:textId="26B54006" w:rsidR="00FE5799" w:rsidRPr="00E220C0" w:rsidRDefault="00FE5799" w:rsidP="00FE5799">
      <w:pPr>
        <w:pStyle w:val="Header"/>
        <w:tabs>
          <w:tab w:val="left" w:pos="1800"/>
        </w:tabs>
      </w:pPr>
      <w:r w:rsidRPr="00E220C0">
        <w:t>Agenda Item:</w:t>
      </w:r>
      <w:bookmarkStart w:id="1" w:name="Source"/>
      <w:bookmarkEnd w:id="1"/>
      <w:r w:rsidRPr="00E220C0">
        <w:tab/>
      </w:r>
      <w:r w:rsidR="00113113">
        <w:t>8.1.3.</w:t>
      </w:r>
      <w:r w:rsidR="002B3B98">
        <w:t>3.4</w:t>
      </w:r>
    </w:p>
    <w:p w14:paraId="63268CD9"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8F640AA" w14:textId="77777777" w:rsidR="00FE5799" w:rsidRPr="002100D2" w:rsidRDefault="00FE5799" w:rsidP="00FE5799">
      <w:pPr>
        <w:pBdr>
          <w:bottom w:val="single" w:sz="4" w:space="1" w:color="auto"/>
        </w:pBdr>
        <w:tabs>
          <w:tab w:val="left" w:pos="2552"/>
        </w:tabs>
      </w:pPr>
    </w:p>
    <w:p w14:paraId="7A1B9FCF" w14:textId="68817AB1" w:rsidR="0056282E" w:rsidRDefault="0056282E" w:rsidP="00FE5799">
      <w:pPr>
        <w:pStyle w:val="Heading1"/>
        <w:spacing w:before="180"/>
        <w:ind w:left="562" w:hanging="562"/>
      </w:pPr>
      <w:r>
        <w:t>Introduction</w:t>
      </w:r>
    </w:p>
    <w:p w14:paraId="60DC9641" w14:textId="523C002B" w:rsidR="00A57560" w:rsidRDefault="003A1F9F" w:rsidP="003A1F9F">
      <w:pPr>
        <w:pStyle w:val="BodyText"/>
      </w:pPr>
      <w:r>
        <w:t xml:space="preserve">Low latency support is not unique to URLLC but also important for eMBB. In the NR work item </w:t>
      </w:r>
      <w:r w:rsidR="00E8339A">
        <w:t>phase,</w:t>
      </w:r>
      <w:r w:rsidR="00113113">
        <w:t xml:space="preserve"> it has been agreed to “b</w:t>
      </w:r>
      <w:r w:rsidR="00777330" w:rsidRPr="00113113">
        <w:t>y December 2017: complete Stage 3 for Non-Standalone 5G-NR eMBB (incl. low latency support) with Option 3</w:t>
      </w:r>
      <w:r w:rsidR="00113113">
        <w:t xml:space="preserve">”, i.e. the low-latency part of URLLC is to be addressed from the start while specification of the ultra-reliable aspects </w:t>
      </w:r>
      <w:r>
        <w:t>is</w:t>
      </w:r>
      <w:r w:rsidR="00113113">
        <w:t xml:space="preserve"> to be started after RAN#78.</w:t>
      </w:r>
    </w:p>
    <w:p w14:paraId="217C0232" w14:textId="317CB433" w:rsidR="00113113" w:rsidRPr="00113113" w:rsidRDefault="00113113" w:rsidP="00113113">
      <w:pPr>
        <w:pStyle w:val="BodyText"/>
      </w:pPr>
      <w:r>
        <w:t>In this contribution we discuss</w:t>
      </w:r>
      <w:r w:rsidR="00E6268C">
        <w:t xml:space="preserve"> some scheduling aspects specific to low latency support.</w:t>
      </w:r>
    </w:p>
    <w:p w14:paraId="643B3910" w14:textId="036D685E" w:rsidR="000A74B8" w:rsidRDefault="00113113" w:rsidP="000A74B8">
      <w:pPr>
        <w:pStyle w:val="Heading1"/>
      </w:pPr>
      <w:r>
        <w:t>Discussion</w:t>
      </w:r>
    </w:p>
    <w:p w14:paraId="4C9DE4C8" w14:textId="1819CF0A" w:rsidR="003A1F9F" w:rsidRDefault="003A1F9F" w:rsidP="003A1F9F">
      <w:pPr>
        <w:pStyle w:val="BodyText"/>
      </w:pPr>
      <w:r>
        <w:t xml:space="preserve">The UE monitors for downlink control information at configurable time instants, typically at the beginning of a slot although more frequent control channel monitoring can be configured if motivated from a latency perspective. Upon detecting valid control information, the UE acts accordingly, e.g. receives data in the downlink or transmits data in the uplink. </w:t>
      </w:r>
      <w:r w:rsidR="007A018A">
        <w:t>The same structure can be used for slots as well as for mini-slots</w:t>
      </w:r>
      <w:r w:rsidR="00DD48EB">
        <w:t xml:space="preserve"> </w:t>
      </w:r>
      <w:r w:rsidR="00DD48EB">
        <w:fldChar w:fldCharType="begin"/>
      </w:r>
      <w:r w:rsidR="00DD48EB">
        <w:instrText xml:space="preserve"> REF _Ref477780983 \r \h </w:instrText>
      </w:r>
      <w:r w:rsidR="00DD48EB">
        <w:fldChar w:fldCharType="separate"/>
      </w:r>
      <w:r w:rsidR="00DD48EB">
        <w:t>[1]</w:t>
      </w:r>
      <w:r w:rsidR="00DD48EB">
        <w:fldChar w:fldCharType="end"/>
      </w:r>
      <w:r w:rsidR="007A018A">
        <w:t>.</w:t>
      </w:r>
    </w:p>
    <w:p w14:paraId="31286330" w14:textId="2C1DB8B5" w:rsidR="00E6268C" w:rsidRDefault="00E6268C" w:rsidP="003A1F9F">
      <w:pPr>
        <w:pStyle w:val="BodyText"/>
      </w:pPr>
      <w:r>
        <w:t xml:space="preserve">This basic structure is capable of supporting low latency. </w:t>
      </w:r>
    </w:p>
    <w:p w14:paraId="0B43BB31" w14:textId="0EF637A9" w:rsidR="00E6268C" w:rsidRDefault="00E6268C" w:rsidP="00E6268C">
      <w:pPr>
        <w:pStyle w:val="BodyText"/>
        <w:numPr>
          <w:ilvl w:val="0"/>
          <w:numId w:val="12"/>
        </w:numPr>
      </w:pPr>
      <w:r>
        <w:t xml:space="preserve">Downlink scheduling assignments points to data </w:t>
      </w:r>
      <w:r>
        <w:rPr>
          <w:i/>
        </w:rPr>
        <w:t>in the same (mini)slot</w:t>
      </w:r>
      <w:r>
        <w:t xml:space="preserve"> as the downlink control signaling.</w:t>
      </w:r>
    </w:p>
    <w:p w14:paraId="361C8902" w14:textId="2CC8CE2C" w:rsidR="00E6268C" w:rsidRDefault="00E6268C" w:rsidP="00E6268C">
      <w:pPr>
        <w:pStyle w:val="BodyText"/>
        <w:numPr>
          <w:ilvl w:val="1"/>
          <w:numId w:val="12"/>
        </w:numPr>
      </w:pPr>
      <w:r>
        <w:t>This is the same time relation as used in LTE.</w:t>
      </w:r>
    </w:p>
    <w:p w14:paraId="5FC7BAAE" w14:textId="2E9A4640" w:rsidR="00E6268C" w:rsidRDefault="00E6268C" w:rsidP="003A1F9F">
      <w:pPr>
        <w:pStyle w:val="BodyText"/>
        <w:numPr>
          <w:ilvl w:val="0"/>
          <w:numId w:val="12"/>
        </w:numPr>
      </w:pPr>
      <w:r>
        <w:t>Uplink scheduling grants points to uplink transmissions in the “same slot” as the downlink control signaling.</w:t>
      </w:r>
    </w:p>
    <w:p w14:paraId="6F85DE0A" w14:textId="424A53E4" w:rsidR="00E6268C" w:rsidRDefault="00E6268C" w:rsidP="00E6268C">
      <w:pPr>
        <w:pStyle w:val="BodyText"/>
        <w:numPr>
          <w:ilvl w:val="1"/>
          <w:numId w:val="12"/>
        </w:numPr>
      </w:pPr>
      <w:r>
        <w:t>This requires sufficiently fast processing in the UE and is subject to the appropriate UE capabilities.</w:t>
      </w:r>
    </w:p>
    <w:p w14:paraId="67CB5F9F" w14:textId="562FEEC1" w:rsidR="00E6268C" w:rsidRDefault="00E6268C" w:rsidP="00E6268C">
      <w:pPr>
        <w:pStyle w:val="BodyText"/>
      </w:pPr>
      <w:r>
        <w:t xml:space="preserve">To indicate to the </w:t>
      </w:r>
      <w:proofErr w:type="spellStart"/>
      <w:r>
        <w:t>gNodeB</w:t>
      </w:r>
      <w:proofErr w:type="spellEnd"/>
      <w:r>
        <w:t xml:space="preserve"> scheduler the need for an uplink resource, a scheduling request can be transmitted by the UE. Such SR resources can be configured to occur at regular time intervals. Low latency obviously requires frequently occurring SR opportunities and in many case</w:t>
      </w:r>
      <w:r w:rsidR="00672422">
        <w:t>s</w:t>
      </w:r>
      <w:r>
        <w:t xml:space="preserve"> the periodicity of the SR opportunities for a UE is the limiting factor rather than the delay from a scheduling grant to an uplink transmission. The possibility for </w:t>
      </w:r>
      <w:r w:rsidR="00FE4427">
        <w:t>frequent</w:t>
      </w:r>
      <w:r>
        <w:t xml:space="preserve"> SR occasions is therefore important. One possibility is to semi-statically configure a set of SR opportunities for a terminal and, when the system situation so allows, dynamically indicate additional SR opportunities using the group-common PDCCH </w:t>
      </w:r>
      <w:r>
        <w:fldChar w:fldCharType="begin"/>
      </w:r>
      <w:r>
        <w:instrText xml:space="preserve"> REF _Ref477783988 \r \h </w:instrText>
      </w:r>
      <w:r>
        <w:fldChar w:fldCharType="separate"/>
      </w:r>
      <w:r>
        <w:t>[3]</w:t>
      </w:r>
      <w:r>
        <w:fldChar w:fldCharType="end"/>
      </w:r>
      <w:r>
        <w:t xml:space="preserve">.  </w:t>
      </w:r>
    </w:p>
    <w:p w14:paraId="47EBAC80" w14:textId="37881988" w:rsidR="00E6268C" w:rsidRDefault="00E6268C" w:rsidP="00E6268C">
      <w:pPr>
        <w:pStyle w:val="BodyText"/>
      </w:pPr>
      <w:r>
        <w:t xml:space="preserve">Furthermore, low latency support can benefit from various schemes for “grant free transmission” </w:t>
      </w:r>
      <w:r>
        <w:fldChar w:fldCharType="begin"/>
      </w:r>
      <w:r>
        <w:instrText xml:space="preserve"> REF _Ref477783707 \r \h </w:instrText>
      </w:r>
      <w:r>
        <w:fldChar w:fldCharType="separate"/>
      </w:r>
      <w:r>
        <w:t>[2]</w:t>
      </w:r>
      <w:r>
        <w:fldChar w:fldCharType="end"/>
      </w:r>
      <w:r>
        <w:t xml:space="preserve"> where the UE is given permission in advance to use certain resources, thereby avoiding the request-grant phase typically associated with scheduling-based transmission schemes.</w:t>
      </w:r>
    </w:p>
    <w:p w14:paraId="7B48350B" w14:textId="29CF3184" w:rsidR="00B421E3" w:rsidRDefault="00B421E3" w:rsidP="00E6268C">
      <w:pPr>
        <w:pStyle w:val="BodyText"/>
      </w:pPr>
      <w:r>
        <w:t xml:space="preserve">To be able to quickly schedule </w:t>
      </w:r>
      <w:r w:rsidR="00E8339A">
        <w:t>retransmissions</w:t>
      </w:r>
      <w:r>
        <w:t xml:space="preserve"> when needed, the possibility for a fast acknowledgement in the “same slot” as the downlink data transmission is important.</w:t>
      </w:r>
    </w:p>
    <w:p w14:paraId="28284343" w14:textId="77623D7E" w:rsidR="007A018A" w:rsidRDefault="007A018A" w:rsidP="007A018A">
      <w:pPr>
        <w:pStyle w:val="Heading1"/>
      </w:pPr>
      <w:r>
        <w:t>Conclusion</w:t>
      </w:r>
    </w:p>
    <w:p w14:paraId="14F91B62" w14:textId="77777777" w:rsidR="00B421E3" w:rsidRDefault="00E6268C" w:rsidP="007A018A">
      <w:pPr>
        <w:pStyle w:val="BodyText"/>
      </w:pPr>
      <w:r>
        <w:t xml:space="preserve">It is important to </w:t>
      </w:r>
      <w:r w:rsidR="00B421E3">
        <w:t xml:space="preserve">enable </w:t>
      </w:r>
    </w:p>
    <w:p w14:paraId="19222632" w14:textId="397BB6E6" w:rsidR="00B421E3" w:rsidRDefault="00B421E3" w:rsidP="00B421E3">
      <w:pPr>
        <w:pStyle w:val="BodyText"/>
        <w:numPr>
          <w:ilvl w:val="0"/>
          <w:numId w:val="12"/>
        </w:numPr>
      </w:pPr>
      <w:r>
        <w:t>quick turn-around from grant to data transmission</w:t>
      </w:r>
    </w:p>
    <w:p w14:paraId="4CACC1AD" w14:textId="5A246EF1" w:rsidR="00B421E3" w:rsidRDefault="00B421E3" w:rsidP="00B421E3">
      <w:pPr>
        <w:pStyle w:val="BodyText"/>
        <w:numPr>
          <w:ilvl w:val="0"/>
          <w:numId w:val="12"/>
        </w:numPr>
      </w:pPr>
      <w:r>
        <w:t>rapid acknowledgement in the “same slot” as the downlink data</w:t>
      </w:r>
    </w:p>
    <w:p w14:paraId="1DABA0B1" w14:textId="6E333051" w:rsidR="007A018A" w:rsidRDefault="00B421E3" w:rsidP="00B421E3">
      <w:pPr>
        <w:pStyle w:val="BodyText"/>
        <w:numPr>
          <w:ilvl w:val="0"/>
          <w:numId w:val="12"/>
        </w:numPr>
      </w:pPr>
      <w:r>
        <w:t>grant-free transmission</w:t>
      </w:r>
    </w:p>
    <w:p w14:paraId="3CD1841E" w14:textId="20066B45" w:rsidR="00DD362C" w:rsidRDefault="00DD362C" w:rsidP="00B421E3">
      <w:pPr>
        <w:pStyle w:val="BodyText"/>
        <w:numPr>
          <w:ilvl w:val="0"/>
          <w:numId w:val="12"/>
        </w:numPr>
      </w:pPr>
      <w:r>
        <w:t>possibility for frequent SR opportunities</w:t>
      </w:r>
    </w:p>
    <w:p w14:paraId="7ADD3ABA" w14:textId="1B568E57" w:rsidR="007A018A" w:rsidRDefault="007A018A" w:rsidP="007A018A">
      <w:pPr>
        <w:pStyle w:val="Heading1"/>
      </w:pPr>
      <w:r>
        <w:t>References</w:t>
      </w:r>
    </w:p>
    <w:p w14:paraId="629F5C25" w14:textId="77777777" w:rsidR="007A018A" w:rsidRPr="007A018A" w:rsidRDefault="007A018A" w:rsidP="007A018A">
      <w:pPr>
        <w:pStyle w:val="BodyText"/>
      </w:pPr>
    </w:p>
    <w:p w14:paraId="78439FF6" w14:textId="275058B9" w:rsidR="007A018A" w:rsidRDefault="00E8339A" w:rsidP="00DD48EB">
      <w:pPr>
        <w:pStyle w:val="BodyText"/>
        <w:numPr>
          <w:ilvl w:val="0"/>
          <w:numId w:val="10"/>
        </w:numPr>
      </w:pPr>
      <w:bookmarkStart w:id="3" w:name="_Ref477780983"/>
      <w:r w:rsidRPr="00FC2CA7">
        <w:lastRenderedPageBreak/>
        <w:t>R1-1705777</w:t>
      </w:r>
      <w:r w:rsidR="00DD48EB">
        <w:t>, “</w:t>
      </w:r>
      <w:r w:rsidR="00DD48EB" w:rsidRPr="00DD48EB">
        <w:t>On slot and mini-slot description</w:t>
      </w:r>
      <w:r w:rsidR="00DD48EB">
        <w:t>”, Ericsson</w:t>
      </w:r>
      <w:bookmarkEnd w:id="3"/>
    </w:p>
    <w:p w14:paraId="7A9FF51C" w14:textId="638B4BF9" w:rsidR="00FE4427" w:rsidRDefault="00C84AEF" w:rsidP="003A1F9F">
      <w:pPr>
        <w:pStyle w:val="BodyText"/>
        <w:numPr>
          <w:ilvl w:val="0"/>
          <w:numId w:val="10"/>
        </w:numPr>
      </w:pPr>
      <w:bookmarkStart w:id="4" w:name="_Ref477783707"/>
      <w:r>
        <w:t>R1-1706052</w:t>
      </w:r>
      <w:r w:rsidR="00E6268C">
        <w:t>,</w:t>
      </w:r>
      <w:r>
        <w:t xml:space="preserve"> “Semi-Persistent Scheduling for NR</w:t>
      </w:r>
      <w:bookmarkStart w:id="5" w:name="_GoBack"/>
      <w:bookmarkEnd w:id="5"/>
      <w:r w:rsidR="00E6268C">
        <w:t>”, Ericsson</w:t>
      </w:r>
      <w:bookmarkStart w:id="6" w:name="_Ref477783988"/>
      <w:bookmarkEnd w:id="4"/>
    </w:p>
    <w:p w14:paraId="0F983DE7" w14:textId="5321AA08" w:rsidR="007A018A" w:rsidRDefault="00AC4F06" w:rsidP="003A1F9F">
      <w:pPr>
        <w:pStyle w:val="BodyText"/>
        <w:numPr>
          <w:ilvl w:val="0"/>
          <w:numId w:val="10"/>
        </w:numPr>
      </w:pPr>
      <w:r>
        <w:t>R1-1706029</w:t>
      </w:r>
      <w:r w:rsidR="00FE4427">
        <w:t>, “</w:t>
      </w:r>
      <w:r w:rsidR="00FE4427" w:rsidRPr="00FE4427">
        <w:t>On UE Procedures Related to ‘Group Common PDCCH’</w:t>
      </w:r>
      <w:bookmarkEnd w:id="6"/>
      <w:r w:rsidR="00FE4427">
        <w:t>”, Ericsson</w:t>
      </w:r>
    </w:p>
    <w:sectPr w:rsidR="007A018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35087" w14:textId="77777777" w:rsidR="006B2B9F" w:rsidRDefault="006B2B9F">
      <w:r>
        <w:separator/>
      </w:r>
    </w:p>
  </w:endnote>
  <w:endnote w:type="continuationSeparator" w:id="0">
    <w:p w14:paraId="61440714" w14:textId="77777777" w:rsidR="006B2B9F" w:rsidRDefault="006B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2DBA0" w14:textId="77777777" w:rsidR="006B2B9F" w:rsidRDefault="006B2B9F">
      <w:r>
        <w:separator/>
      </w:r>
    </w:p>
  </w:footnote>
  <w:footnote w:type="continuationSeparator" w:id="0">
    <w:p w14:paraId="770B396E" w14:textId="77777777" w:rsidR="006B2B9F" w:rsidRDefault="006B2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2151F" w14:textId="77777777" w:rsidR="004D4F57" w:rsidRDefault="006B2B9F"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512E63"/>
    <w:multiLevelType w:val="hybridMultilevel"/>
    <w:tmpl w:val="A3882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97515"/>
    <w:multiLevelType w:val="hybridMultilevel"/>
    <w:tmpl w:val="4D4A9D2A"/>
    <w:lvl w:ilvl="0" w:tplc="478C237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2E7B81"/>
    <w:multiLevelType w:val="hybridMultilevel"/>
    <w:tmpl w:val="AA9A43FC"/>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1"/>
  </w:num>
  <w:num w:numId="2">
    <w:abstractNumId w:val="10"/>
  </w:num>
  <w:num w:numId="3">
    <w:abstractNumId w:val="6"/>
  </w:num>
  <w:num w:numId="4">
    <w:abstractNumId w:val="4"/>
  </w:num>
  <w:num w:numId="5">
    <w:abstractNumId w:val="3"/>
  </w:num>
  <w:num w:numId="6">
    <w:abstractNumId w:val="5"/>
  </w:num>
  <w:num w:numId="7">
    <w:abstractNumId w:val="8"/>
  </w:num>
  <w:num w:numId="8">
    <w:abstractNumId w:val="12"/>
  </w:num>
  <w:num w:numId="9">
    <w:abstractNumId w:val="1"/>
  </w:num>
  <w:num w:numId="10">
    <w:abstractNumId w:val="0"/>
  </w:num>
  <w:num w:numId="11">
    <w:abstractNumId w:val="2"/>
  </w:num>
  <w:num w:numId="12">
    <w:abstractNumId w:val="7"/>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7C51"/>
    <w:rsid w:val="00041947"/>
    <w:rsid w:val="0004251E"/>
    <w:rsid w:val="00055C3F"/>
    <w:rsid w:val="00056F8C"/>
    <w:rsid w:val="00087760"/>
    <w:rsid w:val="0009038A"/>
    <w:rsid w:val="000944E4"/>
    <w:rsid w:val="000A258F"/>
    <w:rsid w:val="000A4E5A"/>
    <w:rsid w:val="000A74B8"/>
    <w:rsid w:val="000C02AC"/>
    <w:rsid w:val="0010025E"/>
    <w:rsid w:val="001018DF"/>
    <w:rsid w:val="001027FF"/>
    <w:rsid w:val="00112E18"/>
    <w:rsid w:val="00113113"/>
    <w:rsid w:val="00114B6A"/>
    <w:rsid w:val="00120E84"/>
    <w:rsid w:val="00141448"/>
    <w:rsid w:val="00142260"/>
    <w:rsid w:val="0017310F"/>
    <w:rsid w:val="00175D32"/>
    <w:rsid w:val="00191E60"/>
    <w:rsid w:val="001B4110"/>
    <w:rsid w:val="001C5CE9"/>
    <w:rsid w:val="001D5808"/>
    <w:rsid w:val="002029F5"/>
    <w:rsid w:val="00205AF2"/>
    <w:rsid w:val="00210105"/>
    <w:rsid w:val="0021013F"/>
    <w:rsid w:val="00214784"/>
    <w:rsid w:val="0023314F"/>
    <w:rsid w:val="0025780D"/>
    <w:rsid w:val="002634F0"/>
    <w:rsid w:val="00264D4E"/>
    <w:rsid w:val="00290099"/>
    <w:rsid w:val="00290F9F"/>
    <w:rsid w:val="002B139C"/>
    <w:rsid w:val="002B3B98"/>
    <w:rsid w:val="002B5439"/>
    <w:rsid w:val="002C0453"/>
    <w:rsid w:val="002C3A4F"/>
    <w:rsid w:val="002D0AB6"/>
    <w:rsid w:val="002E6A70"/>
    <w:rsid w:val="00304706"/>
    <w:rsid w:val="0031422F"/>
    <w:rsid w:val="00343A18"/>
    <w:rsid w:val="00350180"/>
    <w:rsid w:val="00361CA8"/>
    <w:rsid w:val="00363390"/>
    <w:rsid w:val="003875A3"/>
    <w:rsid w:val="003A1F9F"/>
    <w:rsid w:val="003A3E47"/>
    <w:rsid w:val="003B5644"/>
    <w:rsid w:val="003C040C"/>
    <w:rsid w:val="003E2560"/>
    <w:rsid w:val="004067C0"/>
    <w:rsid w:val="004165C9"/>
    <w:rsid w:val="004217B5"/>
    <w:rsid w:val="00422F7B"/>
    <w:rsid w:val="00437ACB"/>
    <w:rsid w:val="004837C7"/>
    <w:rsid w:val="00492A78"/>
    <w:rsid w:val="004B57FD"/>
    <w:rsid w:val="004C321E"/>
    <w:rsid w:val="004C4387"/>
    <w:rsid w:val="004D7360"/>
    <w:rsid w:val="004E70DB"/>
    <w:rsid w:val="00511453"/>
    <w:rsid w:val="00525831"/>
    <w:rsid w:val="00525911"/>
    <w:rsid w:val="005260BE"/>
    <w:rsid w:val="005278F6"/>
    <w:rsid w:val="00537B4C"/>
    <w:rsid w:val="0054164C"/>
    <w:rsid w:val="00541E43"/>
    <w:rsid w:val="00543494"/>
    <w:rsid w:val="0054555D"/>
    <w:rsid w:val="0055264E"/>
    <w:rsid w:val="00554025"/>
    <w:rsid w:val="0056282E"/>
    <w:rsid w:val="00566F92"/>
    <w:rsid w:val="00570BCE"/>
    <w:rsid w:val="00580C05"/>
    <w:rsid w:val="00580D67"/>
    <w:rsid w:val="00587AD2"/>
    <w:rsid w:val="00594C69"/>
    <w:rsid w:val="005A0E80"/>
    <w:rsid w:val="005A2873"/>
    <w:rsid w:val="005A4D1F"/>
    <w:rsid w:val="005B0522"/>
    <w:rsid w:val="005C439D"/>
    <w:rsid w:val="005D67F9"/>
    <w:rsid w:val="005E0AF0"/>
    <w:rsid w:val="005E2BCF"/>
    <w:rsid w:val="005F57CF"/>
    <w:rsid w:val="0060203F"/>
    <w:rsid w:val="0061336B"/>
    <w:rsid w:val="0062673F"/>
    <w:rsid w:val="006348C5"/>
    <w:rsid w:val="00636F01"/>
    <w:rsid w:val="0064164A"/>
    <w:rsid w:val="00643A16"/>
    <w:rsid w:val="006549E5"/>
    <w:rsid w:val="006556BF"/>
    <w:rsid w:val="00665E2A"/>
    <w:rsid w:val="00670FD9"/>
    <w:rsid w:val="00672422"/>
    <w:rsid w:val="006A286A"/>
    <w:rsid w:val="006B271B"/>
    <w:rsid w:val="006B2B9F"/>
    <w:rsid w:val="006E0D45"/>
    <w:rsid w:val="00714D20"/>
    <w:rsid w:val="00726A12"/>
    <w:rsid w:val="00726C96"/>
    <w:rsid w:val="00741E68"/>
    <w:rsid w:val="007506C7"/>
    <w:rsid w:val="0075384C"/>
    <w:rsid w:val="007563CC"/>
    <w:rsid w:val="007569CA"/>
    <w:rsid w:val="00762DF4"/>
    <w:rsid w:val="0076348D"/>
    <w:rsid w:val="00765485"/>
    <w:rsid w:val="00777330"/>
    <w:rsid w:val="007A018A"/>
    <w:rsid w:val="007A01C0"/>
    <w:rsid w:val="007C217E"/>
    <w:rsid w:val="007C7C69"/>
    <w:rsid w:val="007E2C96"/>
    <w:rsid w:val="007F3F65"/>
    <w:rsid w:val="00815566"/>
    <w:rsid w:val="008302A2"/>
    <w:rsid w:val="0083401B"/>
    <w:rsid w:val="00834DE7"/>
    <w:rsid w:val="0083689E"/>
    <w:rsid w:val="00841BE8"/>
    <w:rsid w:val="00843FE9"/>
    <w:rsid w:val="00854EA0"/>
    <w:rsid w:val="0086087F"/>
    <w:rsid w:val="008739DF"/>
    <w:rsid w:val="00890159"/>
    <w:rsid w:val="008A0B64"/>
    <w:rsid w:val="008A3AF2"/>
    <w:rsid w:val="008B1B81"/>
    <w:rsid w:val="008B23D4"/>
    <w:rsid w:val="008B38BA"/>
    <w:rsid w:val="008D1E1F"/>
    <w:rsid w:val="008E31D2"/>
    <w:rsid w:val="008E7AA2"/>
    <w:rsid w:val="008F77A7"/>
    <w:rsid w:val="0091488F"/>
    <w:rsid w:val="00944B89"/>
    <w:rsid w:val="0096027F"/>
    <w:rsid w:val="00973F8C"/>
    <w:rsid w:val="0097401A"/>
    <w:rsid w:val="00977B9E"/>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70C1"/>
    <w:rsid w:val="00A677A0"/>
    <w:rsid w:val="00A7428A"/>
    <w:rsid w:val="00A757B8"/>
    <w:rsid w:val="00A808F6"/>
    <w:rsid w:val="00A81AA1"/>
    <w:rsid w:val="00A81EFF"/>
    <w:rsid w:val="00A85E54"/>
    <w:rsid w:val="00A93AEC"/>
    <w:rsid w:val="00AA0A42"/>
    <w:rsid w:val="00AA13EF"/>
    <w:rsid w:val="00AA7952"/>
    <w:rsid w:val="00AB6372"/>
    <w:rsid w:val="00AC2A5F"/>
    <w:rsid w:val="00AC4F06"/>
    <w:rsid w:val="00AD5F57"/>
    <w:rsid w:val="00AE3947"/>
    <w:rsid w:val="00AE7A97"/>
    <w:rsid w:val="00B00FDB"/>
    <w:rsid w:val="00B20FBD"/>
    <w:rsid w:val="00B34FDB"/>
    <w:rsid w:val="00B368D9"/>
    <w:rsid w:val="00B421E3"/>
    <w:rsid w:val="00B42F5C"/>
    <w:rsid w:val="00B52C5F"/>
    <w:rsid w:val="00B5516A"/>
    <w:rsid w:val="00B63298"/>
    <w:rsid w:val="00B8400F"/>
    <w:rsid w:val="00B85DCB"/>
    <w:rsid w:val="00BA2CDD"/>
    <w:rsid w:val="00BA3D9B"/>
    <w:rsid w:val="00BA76BC"/>
    <w:rsid w:val="00BF7E13"/>
    <w:rsid w:val="00C04B3F"/>
    <w:rsid w:val="00C073DB"/>
    <w:rsid w:val="00C13452"/>
    <w:rsid w:val="00C1560A"/>
    <w:rsid w:val="00C325A2"/>
    <w:rsid w:val="00C326A6"/>
    <w:rsid w:val="00C50B3C"/>
    <w:rsid w:val="00C55346"/>
    <w:rsid w:val="00C61496"/>
    <w:rsid w:val="00C76E90"/>
    <w:rsid w:val="00C84AEF"/>
    <w:rsid w:val="00C93774"/>
    <w:rsid w:val="00CB4D3D"/>
    <w:rsid w:val="00CE02E7"/>
    <w:rsid w:val="00CE1E70"/>
    <w:rsid w:val="00CE28B2"/>
    <w:rsid w:val="00CE3E00"/>
    <w:rsid w:val="00CE4E11"/>
    <w:rsid w:val="00CE7F2E"/>
    <w:rsid w:val="00CF2225"/>
    <w:rsid w:val="00CF67BE"/>
    <w:rsid w:val="00CF7534"/>
    <w:rsid w:val="00D02349"/>
    <w:rsid w:val="00D03119"/>
    <w:rsid w:val="00D04257"/>
    <w:rsid w:val="00D11960"/>
    <w:rsid w:val="00D23CBA"/>
    <w:rsid w:val="00D338CE"/>
    <w:rsid w:val="00D350E3"/>
    <w:rsid w:val="00D516DD"/>
    <w:rsid w:val="00D63209"/>
    <w:rsid w:val="00D650BD"/>
    <w:rsid w:val="00D701A0"/>
    <w:rsid w:val="00D83B62"/>
    <w:rsid w:val="00DA110D"/>
    <w:rsid w:val="00DB3BC8"/>
    <w:rsid w:val="00DC085D"/>
    <w:rsid w:val="00DC0996"/>
    <w:rsid w:val="00DD1935"/>
    <w:rsid w:val="00DD362C"/>
    <w:rsid w:val="00DD4245"/>
    <w:rsid w:val="00DD48EB"/>
    <w:rsid w:val="00DE3421"/>
    <w:rsid w:val="00DE5946"/>
    <w:rsid w:val="00DE63BC"/>
    <w:rsid w:val="00DF49ED"/>
    <w:rsid w:val="00DF6135"/>
    <w:rsid w:val="00DF71DB"/>
    <w:rsid w:val="00DF762C"/>
    <w:rsid w:val="00E0407B"/>
    <w:rsid w:val="00E13BDA"/>
    <w:rsid w:val="00E220C0"/>
    <w:rsid w:val="00E30E59"/>
    <w:rsid w:val="00E31041"/>
    <w:rsid w:val="00E45EB0"/>
    <w:rsid w:val="00E57CED"/>
    <w:rsid w:val="00E6268C"/>
    <w:rsid w:val="00E63D88"/>
    <w:rsid w:val="00E83054"/>
    <w:rsid w:val="00E8339A"/>
    <w:rsid w:val="00E92A9B"/>
    <w:rsid w:val="00EA148A"/>
    <w:rsid w:val="00EA172F"/>
    <w:rsid w:val="00EA1984"/>
    <w:rsid w:val="00EA479A"/>
    <w:rsid w:val="00EC61BE"/>
    <w:rsid w:val="00EC76D4"/>
    <w:rsid w:val="00EE478D"/>
    <w:rsid w:val="00EF4B30"/>
    <w:rsid w:val="00F0587F"/>
    <w:rsid w:val="00F21365"/>
    <w:rsid w:val="00F24DDE"/>
    <w:rsid w:val="00F302D9"/>
    <w:rsid w:val="00F37D49"/>
    <w:rsid w:val="00F4190F"/>
    <w:rsid w:val="00F47068"/>
    <w:rsid w:val="00F51EB4"/>
    <w:rsid w:val="00F87832"/>
    <w:rsid w:val="00FA3B0E"/>
    <w:rsid w:val="00FB04C4"/>
    <w:rsid w:val="00FB1B57"/>
    <w:rsid w:val="00FD4D0F"/>
    <w:rsid w:val="00FD6BED"/>
    <w:rsid w:val="00FE304E"/>
    <w:rsid w:val="00FE4427"/>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56094"/>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C58D2-6E36-4A47-B556-D23AE9BFE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2704</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Sorour Falahati</cp:lastModifiedBy>
  <cp:revision>2</cp:revision>
  <cp:lastPrinted>2017-03-14T12:16:00Z</cp:lastPrinted>
  <dcterms:created xsi:type="dcterms:W3CDTF">2017-03-25T01:59:00Z</dcterms:created>
  <dcterms:modified xsi:type="dcterms:W3CDTF">2017-03-25T01:59:00Z</dcterms:modified>
</cp:coreProperties>
</file>