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257E7355" w14:textId="0698D4F8" w:rsidR="00706C61" w:rsidRPr="00327997" w:rsidRDefault="00706C61" w:rsidP="00706C61">
      <w:pPr>
        <w:pStyle w:val="3GPPHeader"/>
        <w:rPr>
          <w:highlight w:val="yellow"/>
        </w:rPr>
      </w:pPr>
      <w:r w:rsidRPr="00327997">
        <w:t>3GPP TSG-RAN WG1</w:t>
      </w:r>
      <w:r>
        <w:t xml:space="preserve"> Meeting#88bis</w:t>
      </w:r>
      <w:r w:rsidRPr="00327997">
        <w:tab/>
      </w:r>
      <w:r w:rsidRPr="00872FA7">
        <w:t>R1-17</w:t>
      </w:r>
      <w:r w:rsidR="00EC6F06" w:rsidRPr="00872FA7">
        <w:t>06029</w:t>
      </w:r>
    </w:p>
    <w:p w14:paraId="7F1B3CE5" w14:textId="77777777" w:rsidR="00706C61" w:rsidRDefault="00706C61" w:rsidP="00706C61">
      <w:pPr>
        <w:pStyle w:val="3GPPHeader"/>
      </w:pPr>
      <w:r w:rsidRPr="00CA2E78">
        <w:t xml:space="preserve">Spokane, </w:t>
      </w:r>
      <w:r>
        <w:t>USA, 3</w:t>
      </w:r>
      <w:r w:rsidRPr="00A85C6C">
        <w:rPr>
          <w:vertAlign w:val="superscript"/>
        </w:rPr>
        <w:t>th</w:t>
      </w:r>
      <w:r>
        <w:t xml:space="preserve"> </w:t>
      </w:r>
      <w:r w:rsidRPr="009C6832">
        <w:t xml:space="preserve">– </w:t>
      </w:r>
      <w:r>
        <w:t>7</w:t>
      </w:r>
      <w:r w:rsidRPr="00A85C6C">
        <w:rPr>
          <w:vertAlign w:val="superscript"/>
        </w:rPr>
        <w:t>th</w:t>
      </w:r>
      <w:r>
        <w:t xml:space="preserve"> April</w:t>
      </w:r>
      <w:r w:rsidRPr="009C6832">
        <w:t>, 20</w:t>
      </w:r>
      <w:r>
        <w:t>17</w:t>
      </w:r>
    </w:p>
    <w:p w14:paraId="04B6C64A" w14:textId="77777777" w:rsidR="00706C61" w:rsidRDefault="00706C61" w:rsidP="00C07E87">
      <w:pPr>
        <w:pStyle w:val="3GPPHeader"/>
        <w:rPr>
          <w:sz w:val="22"/>
          <w:szCs w:val="22"/>
        </w:rPr>
      </w:pPr>
    </w:p>
    <w:p w14:paraId="293CC8DE" w14:textId="1C44567D"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706C61">
        <w:rPr>
          <w:sz w:val="22"/>
          <w:szCs w:val="22"/>
        </w:rPr>
        <w:t>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BA2BBCF"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DD6998">
        <w:rPr>
          <w:sz w:val="22"/>
          <w:szCs w:val="22"/>
        </w:rPr>
        <w:t xml:space="preserve">UE Procedures Related to </w:t>
      </w:r>
      <w:r w:rsidR="00D22346">
        <w:rPr>
          <w:sz w:val="22"/>
          <w:szCs w:val="22"/>
        </w:rPr>
        <w:t>‘Group Common PDCCH’</w:t>
      </w:r>
      <w:r w:rsidR="00043E0D">
        <w:rPr>
          <w:sz w:val="22"/>
          <w:szCs w:val="22"/>
        </w:rPr>
        <w:t xml:space="preserve"> </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2ABD5B08" w14:textId="7F456666" w:rsidR="00706C61" w:rsidRDefault="00706C61" w:rsidP="00BE3726">
      <w:pPr>
        <w:pStyle w:val="BodyText"/>
        <w:rPr>
          <w:rFonts w:eastAsia="MS Mincho"/>
          <w:lang w:eastAsia="ja-JP"/>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872FA7">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Pr="00F600E4">
        <w:rPr>
          <w:rFonts w:cs="Arial"/>
        </w:rPr>
        <w:t xml:space="preserve">was as well approved in </w:t>
      </w:r>
      <w:r w:rsidRPr="00F600E4">
        <w:rPr>
          <w:rFonts w:cs="Arial"/>
        </w:rPr>
        <w:fldChar w:fldCharType="begin"/>
      </w:r>
      <w:r w:rsidRPr="008116DC">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872FA7">
        <w:rPr>
          <w:rFonts w:cs="Arial"/>
        </w:rPr>
        <w:t>[2]</w:t>
      </w:r>
      <w:r w:rsidRPr="00F600E4">
        <w:rPr>
          <w:rFonts w:cs="Arial"/>
        </w:rPr>
        <w:fldChar w:fldCharType="end"/>
      </w:r>
      <w:r w:rsidRPr="00F600E4">
        <w:rPr>
          <w:rFonts w:cs="Arial"/>
        </w:rPr>
        <w:t xml:space="preserve"> where t</w:t>
      </w:r>
      <w:r w:rsidRPr="008116DC">
        <w:rPr>
          <w:rFonts w:cs="Arial"/>
        </w:rPr>
        <w:t xml:space="preserve">he WI targets to meet both eMBB and URLLC related 5G requirements in Rel-15. </w:t>
      </w:r>
      <w:r w:rsidRPr="008116DC">
        <w:t>The design of DL control channel is an essential part of the WI</w:t>
      </w:r>
    </w:p>
    <w:p w14:paraId="6AE3F4F5" w14:textId="49B05AEA" w:rsidR="00F4764A" w:rsidRPr="002B5943" w:rsidRDefault="00EA38BD" w:rsidP="00BE3726">
      <w:pPr>
        <w:pStyle w:val="BodyText"/>
        <w:rPr>
          <w:rFonts w:eastAsia="MS Mincho"/>
          <w:lang w:eastAsia="ja-JP"/>
        </w:rPr>
      </w:pPr>
      <w:r w:rsidRPr="002B5943">
        <w:rPr>
          <w:rFonts w:eastAsia="MS Mincho"/>
          <w:lang w:eastAsia="ja-JP"/>
        </w:rPr>
        <w:t>In previous meeting</w:t>
      </w:r>
      <w:r w:rsidR="00F11E74">
        <w:rPr>
          <w:rFonts w:eastAsia="MS Mincho"/>
          <w:lang w:eastAsia="ja-JP"/>
        </w:rPr>
        <w:t>s</w:t>
      </w:r>
      <w:r w:rsidR="00FB705D" w:rsidRPr="002B5943">
        <w:rPr>
          <w:rFonts w:eastAsia="MS Mincho"/>
          <w:lang w:eastAsia="ja-JP"/>
        </w:rPr>
        <w:t xml:space="preserve">, the need </w:t>
      </w:r>
      <w:r w:rsidR="00FB705D">
        <w:rPr>
          <w:rFonts w:eastAsia="MS Mincho"/>
          <w:lang w:eastAsia="ja-JP"/>
        </w:rPr>
        <w:t xml:space="preserve">and </w:t>
      </w:r>
      <w:r w:rsidR="00924D26">
        <w:rPr>
          <w:rFonts w:eastAsia="MS Mincho"/>
          <w:lang w:eastAsia="ja-JP"/>
        </w:rPr>
        <w:t xml:space="preserve">corresponding </w:t>
      </w:r>
      <w:r w:rsidR="00FB705D">
        <w:rPr>
          <w:rFonts w:eastAsia="MS Mincho"/>
          <w:lang w:eastAsia="ja-JP"/>
        </w:rPr>
        <w:t>issues for</w:t>
      </w:r>
      <w:r w:rsidR="00FB705D" w:rsidRPr="002B5943">
        <w:rPr>
          <w:rFonts w:eastAsia="MS Mincho"/>
          <w:lang w:eastAsia="ja-JP"/>
        </w:rPr>
        <w:t xml:space="preserve"> </w:t>
      </w:r>
      <w:r w:rsidR="00924D26">
        <w:rPr>
          <w:rFonts w:eastAsia="MS Mincho"/>
          <w:lang w:eastAsia="ja-JP"/>
        </w:rPr>
        <w:t xml:space="preserve">supporting 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dcast channel were</w:t>
      </w:r>
      <w:r w:rsidR="00FB705D">
        <w:rPr>
          <w:rFonts w:eastAsia="MS Mincho"/>
          <w:lang w:eastAsia="ja-JP"/>
        </w:rPr>
        <w:t xml:space="preserve"> discussed</w:t>
      </w:r>
      <w:r w:rsidR="0029606A">
        <w:rPr>
          <w:rFonts w:eastAsia="MS Mincho"/>
          <w:lang w:eastAsia="ja-JP"/>
        </w:rPr>
        <w:t xml:space="preserve"> </w:t>
      </w:r>
      <w:r w:rsidR="00444DE6">
        <w:rPr>
          <w:rFonts w:eastAsia="MS Mincho"/>
          <w:lang w:eastAsia="ja-JP"/>
        </w:rPr>
        <w:fldChar w:fldCharType="begin"/>
      </w:r>
      <w:r w:rsidR="00444DE6">
        <w:rPr>
          <w:rFonts w:eastAsia="MS Mincho"/>
          <w:lang w:eastAsia="ja-JP"/>
        </w:rPr>
        <w:instrText xml:space="preserve"> REF _Ref477814154 \n \h </w:instrText>
      </w:r>
      <w:r w:rsidR="00444DE6">
        <w:rPr>
          <w:rFonts w:eastAsia="MS Mincho"/>
          <w:lang w:eastAsia="ja-JP"/>
        </w:rPr>
      </w:r>
      <w:r w:rsidR="00444DE6">
        <w:rPr>
          <w:rFonts w:eastAsia="MS Mincho"/>
          <w:lang w:eastAsia="ja-JP"/>
        </w:rPr>
        <w:fldChar w:fldCharType="separate"/>
      </w:r>
      <w:r w:rsidR="00872FA7">
        <w:rPr>
          <w:rFonts w:eastAsia="MS Mincho"/>
          <w:lang w:eastAsia="ja-JP"/>
        </w:rPr>
        <w:t>[3]</w:t>
      </w:r>
      <w:r w:rsidR="00444DE6">
        <w:rPr>
          <w:rFonts w:eastAsia="MS Mincho"/>
          <w:lang w:eastAsia="ja-JP"/>
        </w:rPr>
        <w:fldChar w:fldCharType="end"/>
      </w:r>
      <w:r w:rsidR="00FB705D">
        <w:rPr>
          <w:rFonts w:eastAsia="MS Mincho"/>
          <w:lang w:eastAsia="ja-JP"/>
        </w:rPr>
        <w:t>. I</w:t>
      </w:r>
      <w:r w:rsidR="00924D26">
        <w:rPr>
          <w:rFonts w:eastAsia="MS Mincho"/>
          <w:lang w:eastAsia="ja-JP"/>
        </w:rPr>
        <w:t>t was concluded</w:t>
      </w:r>
      <w:r w:rsidR="002B5943">
        <w:rPr>
          <w:rFonts w:eastAsia="MS Mincho"/>
          <w:lang w:eastAsia="ja-JP"/>
        </w:rPr>
        <w:t xml:space="preserve"> that</w:t>
      </w:r>
      <w:r w:rsidR="0029606A" w:rsidRPr="0029606A">
        <w:rPr>
          <w:rFonts w:eastAsia="MS Mincho"/>
          <w:lang w:eastAsia="ja-JP"/>
        </w:rPr>
        <w:t xml:space="preserve"> </w:t>
      </w:r>
      <w:r w:rsidR="0029606A">
        <w:rPr>
          <w:rFonts w:eastAsia="MS Mincho"/>
          <w:lang w:eastAsia="ja-JP"/>
        </w:rPr>
        <w:t>such a signal for</w:t>
      </w:r>
      <w:r w:rsidR="0029606A" w:rsidRPr="002B5943">
        <w:rPr>
          <w:rFonts w:eastAsia="MS Mincho"/>
          <w:lang w:eastAsia="ja-JP"/>
        </w:rPr>
        <w:t xml:space="preserve"> a group of UEs</w:t>
      </w:r>
      <w:r w:rsidR="0029606A">
        <w:rPr>
          <w:rFonts w:eastAsia="MS Mincho"/>
          <w:lang w:eastAsia="ja-JP"/>
        </w:rPr>
        <w:t xml:space="preserve"> (referred to as a ‘group common PDCCH’) </w:t>
      </w:r>
      <w:r w:rsidR="002B5943">
        <w:rPr>
          <w:rFonts w:eastAsia="MS Mincho"/>
          <w:lang w:eastAsia="ja-JP"/>
        </w:rPr>
        <w:t xml:space="preserve">can be supported in NR but reception of such signal is not necessary for detection of PDCCH for data reception. </w:t>
      </w:r>
      <w:r w:rsidR="00924D26">
        <w:rPr>
          <w:rFonts w:eastAsia="MS Mincho"/>
          <w:lang w:eastAsia="ja-JP"/>
        </w:rPr>
        <w:t xml:space="preserve">However, this signal if detected can provide additional information to the UE which can potentially improve the UE performance. Based on </w:t>
      </w:r>
      <w:bookmarkStart w:id="0" w:name="_GoBack"/>
      <w:bookmarkEnd w:id="0"/>
      <w:r w:rsidR="00924D26">
        <w:rPr>
          <w:rFonts w:eastAsia="MS Mincho"/>
          <w:lang w:eastAsia="ja-JP"/>
        </w:rPr>
        <w:t>the discussion the following agreements related to the ‘group common PDCCH’ were made</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sidR="00872FA7">
        <w:rPr>
          <w:rFonts w:eastAsia="MS Mincho"/>
          <w:lang w:eastAsia="ja-JP"/>
        </w:rPr>
        <w:t>[4]</w:t>
      </w:r>
      <w:r w:rsidR="008F7E54">
        <w:rPr>
          <w:rFonts w:eastAsia="MS Mincho"/>
          <w:lang w:eastAsia="ja-JP"/>
        </w:rPr>
        <w:fldChar w:fldCharType="end"/>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7C3185BC" w14:textId="77777777" w:rsidR="004C691A" w:rsidRPr="00174E40" w:rsidRDefault="004C691A" w:rsidP="004C691A">
      <w:pPr>
        <w:numPr>
          <w:ilvl w:val="1"/>
          <w:numId w:val="42"/>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2E46FDE" w14:textId="77777777" w:rsidR="004C691A" w:rsidRPr="005F5317" w:rsidRDefault="004C691A" w:rsidP="004C691A">
      <w:pPr>
        <w:ind w:leftChars="7" w:left="14"/>
        <w:rPr>
          <w:rFonts w:eastAsia="MS Mincho"/>
          <w:b/>
          <w:i/>
          <w:iCs/>
          <w:color w:val="4472C4" w:themeColor="accent5"/>
          <w:lang w:eastAsia="ja-JP"/>
        </w:rPr>
      </w:pPr>
    </w:p>
    <w:p w14:paraId="60A440C8" w14:textId="77777777"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7777777" w:rsidR="004C691A" w:rsidRPr="00BE3726" w:rsidRDefault="004C691A" w:rsidP="004C691A">
      <w:pPr>
        <w:pStyle w:val="ListParagraph"/>
        <w:numPr>
          <w:ilvl w:val="0"/>
          <w:numId w:val="43"/>
        </w:numPr>
        <w:contextualSpacing/>
        <w:rPr>
          <w:rFonts w:eastAsia="MS Mincho"/>
          <w:szCs w:val="20"/>
          <w:lang w:val="en-US" w:eastAsia="ja-JP"/>
        </w:rPr>
      </w:pPr>
      <w:r w:rsidRPr="00BE3726">
        <w:rPr>
          <w:rFonts w:eastAsia="MS Mincho"/>
          <w:szCs w:val="20"/>
          <w:lang w:val="en-US" w:eastAsia="ja-JP"/>
        </w:rPr>
        <w:t>The staring position of downlink data in a slot can be explicitly and dynamically indicated to the UE.</w:t>
      </w:r>
    </w:p>
    <w:p w14:paraId="3D351416" w14:textId="77777777" w:rsidR="004C691A" w:rsidRPr="00BE3726" w:rsidRDefault="004C691A" w:rsidP="004C691A">
      <w:pPr>
        <w:pStyle w:val="ListParagraph"/>
        <w:numPr>
          <w:ilvl w:val="1"/>
          <w:numId w:val="43"/>
        </w:numPr>
        <w:contextualSpacing/>
        <w:rPr>
          <w:rFonts w:eastAsia="MS Mincho"/>
          <w:szCs w:val="20"/>
          <w:lang w:val="en-US" w:eastAsia="ja-JP"/>
        </w:rPr>
      </w:pPr>
      <w:r w:rsidRPr="00BE3726">
        <w:rPr>
          <w:rFonts w:eastAsia="MS Mincho"/>
          <w:szCs w:val="20"/>
          <w:lang w:val="en-US" w:eastAsia="ja-JP"/>
        </w:rPr>
        <w:t>FFS: signaled in the UE-specific DCI and/or a ‘group-common PDCCH’</w:t>
      </w:r>
    </w:p>
    <w:p w14:paraId="3850773F" w14:textId="77777777" w:rsidR="004C691A" w:rsidRPr="00BE3726" w:rsidRDefault="004C691A" w:rsidP="004C691A">
      <w:pPr>
        <w:pStyle w:val="ListParagraph"/>
        <w:numPr>
          <w:ilvl w:val="1"/>
          <w:numId w:val="43"/>
        </w:numPr>
        <w:contextualSpacing/>
        <w:rPr>
          <w:rFonts w:eastAsia="MS Mincho"/>
          <w:szCs w:val="20"/>
          <w:lang w:val="en-US" w:eastAsia="ja-JP"/>
        </w:rPr>
      </w:pPr>
      <w:r w:rsidRPr="00BE3726">
        <w:rPr>
          <w:rFonts w:eastAsia="MS Mincho"/>
          <w:szCs w:val="20"/>
          <w:lang w:val="en-US" w:eastAsia="ja-JP"/>
        </w:rPr>
        <w:t>FFS: how and with what granularity the unused control resource set(s) can be used for data</w:t>
      </w:r>
    </w:p>
    <w:p w14:paraId="01FB6AE8" w14:textId="77777777"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The UE will have the possibility to determine whether some blind decodings can be skipped based on information on a ‘group common PDCCH’ (if present).</w:t>
      </w:r>
    </w:p>
    <w:p w14:paraId="4758C90F"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FFS: if the data starting position is signaled on the group common PDCCH, the UE may exploit this information to skip some blind decodings</w:t>
      </w:r>
    </w:p>
    <w:p w14:paraId="342616A6"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FFS: if the end of the control resource set is signaled on the ‘group common PDCCH’, the UE may exploit this information to skip some blind decodings</w:t>
      </w:r>
    </w:p>
    <w:p w14:paraId="343F9BBF"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lastRenderedPageBreak/>
        <w:t>FFS: how to handle the case when there is no ‘group common PDCCH’ in a slot</w:t>
      </w:r>
    </w:p>
    <w:p w14:paraId="0746C622"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When monitoring for a PDCCH, the UE should be able to process a detected PDCCH irrespective of whether the ‘group common PDCCH’ is received or not</w:t>
      </w:r>
    </w:p>
    <w:p w14:paraId="412BAE5D" w14:textId="77777777"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5F5317" w:rsidRDefault="004C691A" w:rsidP="004C691A">
      <w:pPr>
        <w:pStyle w:val="ListParagraph"/>
        <w:numPr>
          <w:ilvl w:val="0"/>
          <w:numId w:val="46"/>
        </w:numPr>
        <w:rPr>
          <w:rFonts w:eastAsia="MS Mincho"/>
          <w:b/>
          <w:i/>
          <w:iCs/>
          <w:color w:val="4472C4" w:themeColor="accent5"/>
          <w:lang w:eastAsia="ja-JP"/>
        </w:rPr>
      </w:pPr>
      <w:r w:rsidRPr="00BA7C2D">
        <w:rPr>
          <w:rFonts w:eastAsia="MS Mincho" w:hint="eastAsia"/>
          <w:szCs w:val="20"/>
          <w:lang w:val="en-US" w:eastAsia="ja-JP"/>
        </w:rPr>
        <w:t xml:space="preserve">FFS: </w:t>
      </w:r>
      <w:r w:rsidRPr="00476354">
        <w:rPr>
          <w:szCs w:val="20"/>
          <w:lang w:val="en-US" w:eastAsia="ja-JP"/>
        </w:rPr>
        <w:t>Can help the UE skip some of the semi-statically configured blind decodings. If not received, the UE performs all blind decodings</w:t>
      </w:r>
    </w:p>
    <w:p w14:paraId="2A23CB4B" w14:textId="6F01509C" w:rsidR="005261FA" w:rsidRDefault="005261FA" w:rsidP="005261FA"/>
    <w:p w14:paraId="207E7440" w14:textId="14B8BE2D" w:rsidR="00856434" w:rsidRDefault="00C43FE1" w:rsidP="005261FA">
      <w:r>
        <w:t xml:space="preserve">In </w:t>
      </w:r>
      <w:r w:rsidR="00043E0D">
        <w:t>our companion</w:t>
      </w:r>
      <w:r>
        <w:t xml:space="preserve"> contribution we discuss our view on the structure </w:t>
      </w:r>
      <w:r w:rsidR="00043E0D">
        <w:t xml:space="preserve">and </w:t>
      </w:r>
      <w:r w:rsidR="00DD6998">
        <w:t>configuration</w:t>
      </w:r>
      <w:r w:rsidR="00043E0D">
        <w:t xml:space="preserve"> </w:t>
      </w:r>
      <w:r>
        <w:t>of the ‘group common PDCCH</w:t>
      </w:r>
      <w:r w:rsidR="002A7A8C">
        <w:t>’</w:t>
      </w:r>
      <w:r w:rsidR="00043E0D">
        <w:t xml:space="preserve">. In this discussion </w:t>
      </w:r>
      <w:r w:rsidR="00DD6998">
        <w:t>we focus on the corresponding fields</w:t>
      </w:r>
      <w:r w:rsidR="00043E0D">
        <w:t xml:space="preserve"> of this signal and</w:t>
      </w:r>
      <w:r w:rsidR="00DD6998">
        <w:t xml:space="preserve"> related</w:t>
      </w:r>
      <w:r w:rsidR="00043E0D">
        <w:t xml:space="preserve"> UE procedures.</w:t>
      </w:r>
    </w:p>
    <w:p w14:paraId="623B3C48" w14:textId="36483FFA" w:rsidR="005261FA" w:rsidRPr="005261FA" w:rsidRDefault="005261FA" w:rsidP="005261FA">
      <w:pPr>
        <w:pStyle w:val="Heading1"/>
      </w:pPr>
      <w:r>
        <w:t>Discussion</w:t>
      </w:r>
    </w:p>
    <w:p w14:paraId="355A8CA2" w14:textId="6765DC32" w:rsidR="00BE3726" w:rsidRPr="00BE3726" w:rsidRDefault="00286C66" w:rsidP="00AE553B">
      <w:r w:rsidRPr="00BE3726">
        <w:t xml:space="preserve">In this section we discuss our view on the </w:t>
      </w:r>
      <w:r w:rsidR="00DD6998">
        <w:t>fields</w:t>
      </w:r>
      <w:r w:rsidRPr="00BE3726">
        <w:t xml:space="preserve"> </w:t>
      </w:r>
      <w:r w:rsidR="00DD6998">
        <w:t>in</w:t>
      </w:r>
      <w:r w:rsidRPr="00BE3726">
        <w:t xml:space="preserve"> the ‘group common PDCCH’ and </w:t>
      </w:r>
      <w:r w:rsidR="009B3C90">
        <w:t>the</w:t>
      </w:r>
      <w:r w:rsidRPr="00BE3726">
        <w:t xml:space="preserve"> corresponding </w:t>
      </w:r>
      <w:r w:rsidR="009B3C90">
        <w:t>UE behavior</w:t>
      </w:r>
      <w:r w:rsidRPr="00BE3726">
        <w:t>.</w:t>
      </w:r>
    </w:p>
    <w:p w14:paraId="0C292BEB" w14:textId="4CD25BA6" w:rsidR="00DD6998" w:rsidRDefault="00DD6998" w:rsidP="00DD6998">
      <w:r>
        <w:t xml:space="preserve">Different functionalities such as UE’s processing time improvement, cross-link interference mitigations, reduction of number of blind decodes and UE’s power saving are claimed to be beneficial to be enabled by means of a ‘group common PDCCH’ </w:t>
      </w:r>
      <w:r>
        <w:fldChar w:fldCharType="begin"/>
      </w:r>
      <w:r>
        <w:instrText xml:space="preserve"> REF _Ref477814154 \n \h </w:instrText>
      </w:r>
      <w:r>
        <w:fldChar w:fldCharType="separate"/>
      </w:r>
      <w:r w:rsidR="00872FA7">
        <w:t>[3]</w:t>
      </w:r>
      <w:r>
        <w:fldChar w:fldCharType="end"/>
      </w:r>
      <w:r>
        <w:t xml:space="preserve"> which were as well intensively discussed in the previous meeting. Depending on the functionality, diverse views were expressed on whether the ‘group common PDCCH’ should be considered as enablers if such functionalities.</w:t>
      </w:r>
    </w:p>
    <w:p w14:paraId="22868AF9" w14:textId="77777777" w:rsidR="00DD6998" w:rsidRDefault="00DD6998" w:rsidP="00DD6998">
      <w:r>
        <w:t>It was agreed to support a field in the ‘group common PDCCH’ to provide the ‘</w:t>
      </w:r>
      <w:r w:rsidRPr="003B598D">
        <w:rPr>
          <w:i/>
        </w:rPr>
        <w:t>slot format related information’</w:t>
      </w:r>
      <w:r>
        <w:t xml:space="preserve"> such as being intended for UL or DL transmissions. It is expected that this field is beneficial for faster UE processing as well as reduction of cross-link interference when present.</w:t>
      </w:r>
    </w:p>
    <w:p w14:paraId="1E8E3991" w14:textId="77777777" w:rsidR="00DD6998" w:rsidRDefault="00DD6998" w:rsidP="00DD6998">
      <w:r>
        <w:t xml:space="preserve">However, no consensus was reached on introducing other fields such as </w:t>
      </w:r>
      <w:r w:rsidRPr="00BE3726">
        <w:rPr>
          <w:i/>
        </w:rPr>
        <w:t>‘data starting position’</w:t>
      </w:r>
      <w:r>
        <w:t xml:space="preserve">, </w:t>
      </w:r>
      <w:r w:rsidRPr="00BE3726">
        <w:rPr>
          <w:i/>
        </w:rPr>
        <w:t>‘control resource set duration’</w:t>
      </w:r>
      <w:r>
        <w:t xml:space="preserve"> and further discussions seemed to be necessary.</w:t>
      </w:r>
    </w:p>
    <w:p w14:paraId="5143319D" w14:textId="166D6E97" w:rsidR="00DD6998" w:rsidRDefault="00DD6998" w:rsidP="00DD6998">
      <w:pPr>
        <w:rPr>
          <w:b/>
        </w:rPr>
      </w:pPr>
      <w:r>
        <w:t xml:space="preserve">In our view the information on the data starting position should be conveyed in the UE-specific DCI since the UE should be able to receive data irrespective of the presence or detection of the ‘group common PDDCH’ </w:t>
      </w:r>
      <w:r>
        <w:fldChar w:fldCharType="begin"/>
      </w:r>
      <w:r>
        <w:instrText xml:space="preserve"> REF _Ref473637123 \n \h </w:instrText>
      </w:r>
      <w:r>
        <w:fldChar w:fldCharType="separate"/>
      </w:r>
      <w:r w:rsidR="00872FA7">
        <w:t>[5]</w:t>
      </w:r>
      <w:r>
        <w:fldChar w:fldCharType="end"/>
      </w:r>
      <w:r>
        <w:t>.</w:t>
      </w:r>
    </w:p>
    <w:p w14:paraId="19D327E2" w14:textId="77777777" w:rsidR="00DD6998" w:rsidRDefault="00DD6998" w:rsidP="00DD6998">
      <w:pPr>
        <w:rPr>
          <w:b/>
        </w:rPr>
      </w:pPr>
      <w:r w:rsidRPr="003B598D">
        <w:rPr>
          <w:b/>
        </w:rPr>
        <w:t>Proposal:</w:t>
      </w:r>
    </w:p>
    <w:p w14:paraId="54ADC664" w14:textId="77777777" w:rsidR="00DD6998" w:rsidRPr="003B598D" w:rsidRDefault="00DD6998" w:rsidP="00872FA7">
      <w:pPr>
        <w:pStyle w:val="BodyText"/>
        <w:numPr>
          <w:ilvl w:val="0"/>
          <w:numId w:val="51"/>
        </w:numPr>
        <w:rPr>
          <w:rFonts w:eastAsia="MS Mincho"/>
          <w:lang w:eastAsia="ja-JP"/>
        </w:rPr>
      </w:pPr>
      <w:r w:rsidRPr="00A465B5">
        <w:rPr>
          <w:rFonts w:eastAsia="MS Mincho"/>
          <w:lang w:eastAsia="ja-JP"/>
        </w:rPr>
        <w:t>The staring position of downlink data in a slot can be explicitly and dynamically indicated to the UE</w:t>
      </w:r>
      <w:r w:rsidRPr="003B598D">
        <w:rPr>
          <w:rFonts w:eastAsia="MS Mincho"/>
          <w:lang w:eastAsia="ja-JP"/>
        </w:rPr>
        <w:t xml:space="preserve"> in the UE-specific DCI.</w:t>
      </w:r>
    </w:p>
    <w:p w14:paraId="29A0DA7F" w14:textId="77777777" w:rsidR="00DD6998" w:rsidRPr="00D64982" w:rsidRDefault="00DD6998" w:rsidP="00DD6998">
      <w:pPr>
        <w:jc w:val="left"/>
        <w:rPr>
          <w:rFonts w:ascii="Times" w:eastAsia="MS Mincho" w:hAnsi="Times"/>
          <w:i/>
          <w:iCs/>
          <w:lang w:eastAsia="ja-JP"/>
        </w:rPr>
      </w:pPr>
    </w:p>
    <w:p w14:paraId="1AEB10C2" w14:textId="03F1AF01" w:rsidR="00DD6998" w:rsidRDefault="00DD6998" w:rsidP="00DD6998">
      <w:pPr>
        <w:pStyle w:val="BodyText"/>
      </w:pPr>
      <w:r>
        <w:rPr>
          <w:rFonts w:eastAsia="MS Mincho"/>
          <w:lang w:eastAsia="ja-JP"/>
        </w:rPr>
        <w:t xml:space="preserve">Moreover, the main claimed benefit for introducing a field indicating the </w:t>
      </w:r>
      <w:r w:rsidRPr="00BE3726">
        <w:rPr>
          <w:rFonts w:eastAsia="MS Mincho"/>
          <w:i/>
          <w:lang w:eastAsia="ja-JP"/>
        </w:rPr>
        <w:t>‘control resource set duration’</w:t>
      </w:r>
      <w:r>
        <w:rPr>
          <w:rFonts w:eastAsia="MS Mincho"/>
          <w:lang w:eastAsia="ja-JP"/>
        </w:rPr>
        <w:t xml:space="preserve"> seems to be assist the UE to possibly reduce the number of blind decodes in order </w:t>
      </w:r>
      <w:r w:rsidRPr="00BE3726">
        <w:rPr>
          <w:rFonts w:eastAsia="MS Mincho"/>
          <w:lang w:eastAsia="ja-JP"/>
        </w:rPr>
        <w:t xml:space="preserve">to save power. From our point of view, </w:t>
      </w:r>
      <w:r w:rsidRPr="00BE3726">
        <w:rPr>
          <w:rFonts w:eastAsia="MS Mincho"/>
          <w:iCs/>
          <w:lang w:eastAsia="ja-JP"/>
        </w:rPr>
        <w:t>the UE power saving should be non-trivial before adding this overhead to the group signaling</w:t>
      </w:r>
      <w:r w:rsidRPr="00BE3726">
        <w:rPr>
          <w:rFonts w:eastAsia="MS Mincho"/>
          <w:lang w:eastAsia="ja-JP"/>
        </w:rPr>
        <w:t>.</w:t>
      </w:r>
      <w:r w:rsidRPr="00BE3726">
        <w:t xml:space="preserve"> And whether this requires less power depends on the design of the blind decode candidates within the control resource set and how/whether the number of blind decodes depends on the control </w:t>
      </w:r>
      <w:r>
        <w:t xml:space="preserve">resource set size </w:t>
      </w:r>
      <w:r>
        <w:fldChar w:fldCharType="begin"/>
      </w:r>
      <w:r>
        <w:instrText xml:space="preserve"> REF _Ref473637136 \n \h </w:instrText>
      </w:r>
      <w:r>
        <w:fldChar w:fldCharType="separate"/>
      </w:r>
      <w:r w:rsidR="00872FA7">
        <w:t>[6]</w:t>
      </w:r>
      <w:r>
        <w:fldChar w:fldCharType="end"/>
      </w:r>
      <w:r>
        <w:fldChar w:fldCharType="begin"/>
      </w:r>
      <w:r>
        <w:instrText xml:space="preserve"> REF _Ref473637139 \n \h </w:instrText>
      </w:r>
      <w:r>
        <w:fldChar w:fldCharType="separate"/>
      </w:r>
      <w:r w:rsidR="00872FA7">
        <w:t>[7]</w:t>
      </w:r>
      <w:r>
        <w:fldChar w:fldCharType="end"/>
      </w:r>
      <w:r>
        <w:t>.</w:t>
      </w:r>
    </w:p>
    <w:p w14:paraId="46EE950E" w14:textId="71986808" w:rsidR="00DD6998" w:rsidRPr="00872FA7" w:rsidRDefault="00DD6998" w:rsidP="00872FA7">
      <w:pPr>
        <w:pStyle w:val="BodyText"/>
        <w:rPr>
          <w:rFonts w:cs="Arial"/>
        </w:rPr>
      </w:pPr>
      <w:r w:rsidRPr="00872FA7">
        <w:rPr>
          <w:rFonts w:cs="Arial"/>
        </w:rPr>
        <w:t xml:space="preserve">Other benefits include dynamically signaling the presence of resources for SR transmission </w:t>
      </w:r>
      <w:r w:rsidRPr="00872FA7">
        <w:rPr>
          <w:rFonts w:cs="Arial"/>
        </w:rPr>
        <w:fldChar w:fldCharType="begin"/>
      </w:r>
      <w:r w:rsidRPr="00872FA7">
        <w:rPr>
          <w:rFonts w:cs="Arial"/>
        </w:rPr>
        <w:instrText xml:space="preserve"> REF _Ref477814154 \n \h </w:instrText>
      </w:r>
      <w:r w:rsidR="00774DA9">
        <w:rPr>
          <w:rFonts w:cs="Arial"/>
        </w:rPr>
        <w:instrText xml:space="preserve"> \* MERGEFORMAT </w:instrText>
      </w:r>
      <w:r w:rsidRPr="00872FA7">
        <w:rPr>
          <w:rFonts w:cs="Arial"/>
        </w:rPr>
      </w:r>
      <w:r w:rsidRPr="00872FA7">
        <w:rPr>
          <w:rFonts w:cs="Arial"/>
        </w:rPr>
        <w:fldChar w:fldCharType="separate"/>
      </w:r>
      <w:r w:rsidR="00872FA7">
        <w:rPr>
          <w:rFonts w:cs="Arial"/>
        </w:rPr>
        <w:t>[3]</w:t>
      </w:r>
      <w:r w:rsidRPr="00872FA7">
        <w:rPr>
          <w:rFonts w:cs="Arial"/>
        </w:rPr>
        <w:fldChar w:fldCharType="end"/>
      </w:r>
      <w:r w:rsidRPr="00872FA7">
        <w:rPr>
          <w:rFonts w:cs="Arial"/>
        </w:rPr>
        <w:t xml:space="preserve">. Considering that the UE is semi-statically configured with resources for SR transmissions, </w:t>
      </w:r>
      <w:r w:rsidRPr="00872FA7">
        <w:rPr>
          <w:rFonts w:cs="Arial"/>
          <w:color w:val="000000"/>
        </w:rPr>
        <w:t>the gNB can provide additional SR resources by indicating them in the ‘group common PDCCH’.</w:t>
      </w:r>
      <w:r w:rsidRPr="00872FA7">
        <w:rPr>
          <w:rFonts w:cs="Arial"/>
        </w:rPr>
        <w:t xml:space="preserve"> </w:t>
      </w:r>
      <w:r w:rsidRPr="00872FA7">
        <w:rPr>
          <w:rFonts w:cs="Arial"/>
          <w:color w:val="000000"/>
        </w:rPr>
        <w:t>The additional SR resources are useful to provide lower latency as they are typically provided "in between" the periodically occurring normal resources.</w:t>
      </w:r>
    </w:p>
    <w:p w14:paraId="7E8506EE" w14:textId="6F19CB28" w:rsidR="00DD6998" w:rsidRPr="003631C4" w:rsidRDefault="00DD6998" w:rsidP="00DD6998">
      <w:pPr>
        <w:pStyle w:val="BodyText"/>
        <w:rPr>
          <w:b/>
        </w:rPr>
      </w:pPr>
      <w:r w:rsidRPr="003631C4">
        <w:rPr>
          <w:b/>
        </w:rPr>
        <w:t>Proposal:</w:t>
      </w:r>
    </w:p>
    <w:p w14:paraId="5067CE79" w14:textId="4FC603C1" w:rsidR="00DD6998" w:rsidRPr="00AE553B" w:rsidRDefault="00DD6998" w:rsidP="00872FA7">
      <w:pPr>
        <w:pStyle w:val="BodyText"/>
        <w:numPr>
          <w:ilvl w:val="0"/>
          <w:numId w:val="51"/>
        </w:numPr>
      </w:pPr>
      <w:r>
        <w:t>SR resources can be dynamically signaled in the ‘group common PDCCH’ in addition to the semi-statically configured SR resources.</w:t>
      </w:r>
    </w:p>
    <w:p w14:paraId="39F71004" w14:textId="157BBB0F" w:rsidR="001A7B4D" w:rsidRDefault="001A7B4D" w:rsidP="00EF52D0"/>
    <w:p w14:paraId="2633FF57" w14:textId="541B6282" w:rsidR="001A7B4D" w:rsidRDefault="00736F14" w:rsidP="00EF52D0">
      <w:r>
        <w:t>Finally,</w:t>
      </w:r>
      <w:r w:rsidR="00DD6998">
        <w:t xml:space="preserve"> as we discussed in our companion contribution </w:t>
      </w:r>
      <w:r>
        <w:fldChar w:fldCharType="begin"/>
      </w:r>
      <w:r>
        <w:instrText xml:space="preserve"> REF _Ref477822560 \n \h </w:instrText>
      </w:r>
      <w:r>
        <w:fldChar w:fldCharType="separate"/>
      </w:r>
      <w:r w:rsidR="00872FA7">
        <w:t>[8]</w:t>
      </w:r>
      <w:r>
        <w:fldChar w:fldCharType="end"/>
      </w:r>
      <w:r>
        <w:t xml:space="preserve">, in order to reduce the UE complexity the number of blind decodes is proposed to be fixed which implies that the number of payload bits are fixed. However, in our view in addition to the number of bits for the specified fields, it is important to allocate </w:t>
      </w:r>
      <w:r w:rsidR="00774DA9">
        <w:t xml:space="preserve">a </w:t>
      </w:r>
      <w:r>
        <w:t xml:space="preserve">few bits as the </w:t>
      </w:r>
      <w:r>
        <w:lastRenderedPageBreak/>
        <w:t xml:space="preserve">reserved bits </w:t>
      </w:r>
      <w:r w:rsidR="001A7B4D">
        <w:t>while keeping the total number of payload bits constant. Such consideration ensures a forward compatible design for the ‘group common PDCCH’ signal</w:t>
      </w:r>
      <w:r>
        <w:t xml:space="preserve"> which does not to be changed with new releases and introduction of </w:t>
      </w:r>
      <w:r w:rsidR="001A7B4D">
        <w:t xml:space="preserve">potentially </w:t>
      </w:r>
      <w:r>
        <w:t>new fields</w:t>
      </w:r>
      <w:r w:rsidR="001A7B4D">
        <w:t>.</w:t>
      </w:r>
    </w:p>
    <w:p w14:paraId="3C7A3225" w14:textId="77777777" w:rsidR="001A7B4D" w:rsidRPr="003631C4" w:rsidRDefault="00736F14" w:rsidP="001A7B4D">
      <w:pPr>
        <w:pStyle w:val="BodyText"/>
        <w:rPr>
          <w:b/>
        </w:rPr>
      </w:pPr>
      <w:r>
        <w:t xml:space="preserve"> </w:t>
      </w:r>
      <w:r w:rsidR="001A7B4D" w:rsidRPr="003631C4">
        <w:rPr>
          <w:b/>
        </w:rPr>
        <w:t>Proposal:</w:t>
      </w:r>
    </w:p>
    <w:p w14:paraId="15B10C4D" w14:textId="670C29AE" w:rsidR="001A7B4D" w:rsidRDefault="001A7B4D" w:rsidP="00872FA7">
      <w:pPr>
        <w:pStyle w:val="BodyText"/>
        <w:numPr>
          <w:ilvl w:val="0"/>
          <w:numId w:val="51"/>
        </w:numPr>
      </w:pPr>
      <w:r>
        <w:t xml:space="preserve">Reserve </w:t>
      </w:r>
      <w:r w:rsidR="00774DA9">
        <w:t xml:space="preserve">a </w:t>
      </w:r>
      <w:r>
        <w:t>few bits in the payload of</w:t>
      </w:r>
      <w:r w:rsidRPr="001A6252">
        <w:t xml:space="preserve"> the ‘group common PDCCH’ </w:t>
      </w:r>
      <w:r>
        <w:t>for future compatibility purposes.</w:t>
      </w:r>
    </w:p>
    <w:p w14:paraId="52194F8F" w14:textId="0EAB3294" w:rsidR="00AE553B" w:rsidRDefault="00AE553B" w:rsidP="00AE553B">
      <w:pPr>
        <w:pStyle w:val="Heading1"/>
      </w:pPr>
      <w:r>
        <w:t>Conclusion</w:t>
      </w:r>
    </w:p>
    <w:p w14:paraId="0F884490" w14:textId="58FE065F" w:rsidR="00A635A6" w:rsidRDefault="00A635A6" w:rsidP="00A635A6">
      <w:r>
        <w:t>In this contribution we discussed our view on the structure of the ‘group common PDCCH’ as well as some remaining issues related to the corresponding fields. Based on the discussion we proposed the followings:</w:t>
      </w:r>
    </w:p>
    <w:p w14:paraId="4E956CB7" w14:textId="77777777" w:rsidR="00A635A6" w:rsidRPr="003B598D" w:rsidRDefault="00A635A6" w:rsidP="00A635A6">
      <w:pPr>
        <w:rPr>
          <w:b/>
        </w:rPr>
      </w:pPr>
      <w:r w:rsidRPr="003B598D">
        <w:rPr>
          <w:b/>
        </w:rPr>
        <w:t>Proposals:</w:t>
      </w:r>
    </w:p>
    <w:p w14:paraId="2979351D" w14:textId="0EA66A38" w:rsidR="00A635A6" w:rsidRPr="00872FA7" w:rsidRDefault="00A635A6" w:rsidP="00872FA7">
      <w:pPr>
        <w:pStyle w:val="BodyText"/>
        <w:numPr>
          <w:ilvl w:val="0"/>
          <w:numId w:val="51"/>
        </w:numPr>
      </w:pPr>
      <w:r w:rsidRPr="00872FA7">
        <w:t>The staring position of downlink data in a slot can be explicitly and dynamically indicated to the UE in the UE-specific DCI.</w:t>
      </w:r>
    </w:p>
    <w:p w14:paraId="10B586F2" w14:textId="77777777" w:rsidR="001A7B4D" w:rsidRPr="00AE553B" w:rsidRDefault="001A7B4D" w:rsidP="00872FA7">
      <w:pPr>
        <w:pStyle w:val="BodyText"/>
        <w:numPr>
          <w:ilvl w:val="0"/>
          <w:numId w:val="51"/>
        </w:numPr>
      </w:pPr>
      <w:r>
        <w:t>SR resources can be dynamically signaled in the ‘group common PDCCH’ in addition to the semi-statically configured SR resources.</w:t>
      </w:r>
    </w:p>
    <w:p w14:paraId="0EBB0CDC" w14:textId="77777777" w:rsidR="001A7B4D" w:rsidRDefault="001A7B4D" w:rsidP="00872FA7">
      <w:pPr>
        <w:pStyle w:val="BodyText"/>
        <w:numPr>
          <w:ilvl w:val="0"/>
          <w:numId w:val="51"/>
        </w:numPr>
      </w:pPr>
      <w:r>
        <w:t>Reserve few bits in the payload of</w:t>
      </w:r>
      <w:r w:rsidRPr="008116DC">
        <w:t xml:space="preserve"> the ‘group common PDCCH’ </w:t>
      </w:r>
      <w:r>
        <w:t>for future compatibility purposes.</w:t>
      </w:r>
    </w:p>
    <w:p w14:paraId="1B88B4D5" w14:textId="77777777" w:rsidR="001A7B4D" w:rsidRPr="005261FA" w:rsidRDefault="001A7B4D" w:rsidP="00872FA7">
      <w:pPr>
        <w:pStyle w:val="BodyText"/>
        <w:overflowPunct/>
        <w:autoSpaceDE/>
        <w:autoSpaceDN/>
        <w:adjustRightInd/>
        <w:ind w:left="720"/>
        <w:textAlignment w:val="auto"/>
      </w:pPr>
    </w:p>
    <w:p w14:paraId="3CA25FCB" w14:textId="67E15E7F" w:rsidR="00F507D1" w:rsidRPr="00CE0424" w:rsidRDefault="00F507D1" w:rsidP="0009033B">
      <w:pPr>
        <w:pStyle w:val="Heading1"/>
      </w:pPr>
      <w:bookmarkStart w:id="1" w:name="_In-sequence_SDU_delivery"/>
      <w:bookmarkEnd w:id="1"/>
      <w:r w:rsidRPr="00CE0424">
        <w:t>References</w:t>
      </w:r>
    </w:p>
    <w:p w14:paraId="3C9201C6" w14:textId="77777777" w:rsidR="00706C61" w:rsidRDefault="00706C61" w:rsidP="00706C61">
      <w:pPr>
        <w:pStyle w:val="Reference"/>
      </w:pPr>
      <w:bookmarkStart w:id="2" w:name="_Ref477803323"/>
      <w:bookmarkStart w:id="3" w:name="_Ref473637085"/>
      <w:bookmarkStart w:id="4" w:name="_Ref470613638"/>
      <w:bookmarkStart w:id="5" w:name="_Ref465931227"/>
      <w:bookmarkStart w:id="6" w:name="_Ref458515583"/>
      <w:bookmarkStart w:id="7" w:name="_Ref174151459"/>
      <w:bookmarkStart w:id="8" w:name="_Ref189809556"/>
      <w:bookmarkStart w:id="9" w:name="_Ref458165837"/>
      <w:r>
        <w:t>RP-170377</w:t>
      </w:r>
      <w:bookmarkEnd w:id="2"/>
      <w:r>
        <w:tab/>
      </w:r>
      <w:r>
        <w:tab/>
      </w:r>
      <w:r w:rsidRPr="00D54B8E">
        <w:t>TR 38.802 v2.0.0 on Study on New Radio (NR) Access Technology Phys</w:t>
      </w:r>
      <w:r>
        <w:t>ical Layer Aspects; NTT DOCOMO</w:t>
      </w:r>
    </w:p>
    <w:p w14:paraId="5CD6F1B2" w14:textId="55919C7E" w:rsidR="00706C61" w:rsidRDefault="00706C61" w:rsidP="00706C61">
      <w:pPr>
        <w:pStyle w:val="Reference"/>
      </w:pPr>
      <w:bookmarkStart w:id="10" w:name="_Ref477803338"/>
      <w:r>
        <w:t>RP-170855</w:t>
      </w:r>
      <w:bookmarkEnd w:id="10"/>
      <w:r>
        <w:tab/>
      </w:r>
      <w:r>
        <w:tab/>
      </w:r>
      <w:r w:rsidRPr="0098532B">
        <w:t>New WID on New Radio Access Technology</w:t>
      </w:r>
      <w:r>
        <w:t>; NTT DOCOMO</w:t>
      </w:r>
    </w:p>
    <w:p w14:paraId="5A33C065" w14:textId="357B78D2" w:rsidR="00286C66" w:rsidRDefault="00286C66" w:rsidP="003B365D">
      <w:pPr>
        <w:pStyle w:val="Reference"/>
      </w:pPr>
      <w:bookmarkStart w:id="11" w:name="_Ref477814154"/>
      <w:r>
        <w:t>R1-1612908</w:t>
      </w:r>
      <w:r>
        <w:tab/>
      </w:r>
      <w:r>
        <w:tab/>
        <w:t>Summary of e-mail discussions in downlink control signaling; Ericsson</w:t>
      </w:r>
      <w:bookmarkEnd w:id="3"/>
      <w:bookmarkEnd w:id="11"/>
    </w:p>
    <w:p w14:paraId="39A48CBB" w14:textId="7393E4EE" w:rsidR="00286C66" w:rsidRDefault="0059685C" w:rsidP="003B365D">
      <w:pPr>
        <w:pStyle w:val="Reference"/>
      </w:pPr>
      <w:bookmarkStart w:id="12" w:name="_Ref473637092"/>
      <w:r>
        <w:t>C</w:t>
      </w:r>
      <w:r w:rsidR="004C5E10">
        <w:t>hairman</w:t>
      </w:r>
      <w:r w:rsidR="007F26F5">
        <w:t>’s</w:t>
      </w:r>
      <w:r w:rsidR="004C5E10">
        <w:t xml:space="preserve"> </w:t>
      </w:r>
      <w:r w:rsidR="007F26F5">
        <w:t>N</w:t>
      </w:r>
      <w:r w:rsidR="004C5E10">
        <w:t>otes, 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12"/>
    </w:p>
    <w:p w14:paraId="631642D0" w14:textId="12861D3E" w:rsidR="00286C66" w:rsidRPr="00EC6F06" w:rsidRDefault="00286C66" w:rsidP="00EC6F06">
      <w:pPr>
        <w:pStyle w:val="Reference"/>
        <w:rPr>
          <w:rFonts w:eastAsia="MS Mincho"/>
          <w:lang w:eastAsia="ja-JP"/>
        </w:rPr>
      </w:pPr>
      <w:bookmarkStart w:id="13" w:name="_Ref473637123"/>
      <w:r w:rsidRPr="00EC6F06">
        <w:t>R1-17</w:t>
      </w:r>
      <w:r w:rsidR="00EC6F06" w:rsidRPr="00EC6F06">
        <w:t>06033</w:t>
      </w:r>
      <w:r w:rsidR="00E8609F" w:rsidRPr="00EC6F06">
        <w:tab/>
      </w:r>
      <w:r w:rsidRPr="00EC6F06">
        <w:tab/>
        <w:t>On Data Transmission in Control Resource Set; Ericsson</w:t>
      </w:r>
      <w:bookmarkEnd w:id="13"/>
    </w:p>
    <w:p w14:paraId="5FE76223" w14:textId="439D7F1B" w:rsidR="00D42E30" w:rsidRPr="00EC6F06" w:rsidRDefault="00D42E30" w:rsidP="00EC6F06">
      <w:pPr>
        <w:pStyle w:val="Reference"/>
        <w:rPr>
          <w:rFonts w:eastAsia="MS Mincho"/>
          <w:lang w:eastAsia="ja-JP"/>
        </w:rPr>
      </w:pPr>
      <w:bookmarkStart w:id="14" w:name="_Ref473637136"/>
      <w:r w:rsidRPr="00EC6F06">
        <w:t>R1-17</w:t>
      </w:r>
      <w:r w:rsidR="00EC6F06" w:rsidRPr="00EC6F06">
        <w:t>06030</w:t>
      </w:r>
      <w:r w:rsidR="00CF214C" w:rsidRPr="00EC6F06">
        <w:tab/>
      </w:r>
      <w:r w:rsidRPr="00EC6F06">
        <w:tab/>
      </w:r>
      <w:r w:rsidR="00BB71CB" w:rsidRPr="00EC6F06">
        <w:t>On Aggregation Levels and DCI Formats</w:t>
      </w:r>
      <w:r w:rsidRPr="00EC6F06">
        <w:t>; Ericsson</w:t>
      </w:r>
      <w:bookmarkEnd w:id="14"/>
    </w:p>
    <w:p w14:paraId="7BD1958E" w14:textId="458784B6" w:rsidR="002F43C5" w:rsidRPr="00872FA7" w:rsidRDefault="00D42E30" w:rsidP="00EC6F06">
      <w:pPr>
        <w:pStyle w:val="Reference"/>
      </w:pPr>
      <w:bookmarkStart w:id="15" w:name="_Ref473637139"/>
      <w:r w:rsidRPr="00EC6F06">
        <w:t>R1-17</w:t>
      </w:r>
      <w:r w:rsidR="00EC6F06" w:rsidRPr="00EC6F06">
        <w:t>06031</w:t>
      </w:r>
      <w:r w:rsidRPr="00EC6F06">
        <w:tab/>
      </w:r>
      <w:r w:rsidRPr="00EC6F06">
        <w:tab/>
      </w:r>
      <w:r w:rsidR="00EC6F06" w:rsidRPr="00EC6F06">
        <w:t>On Search Spaces and Blind Decoding</w:t>
      </w:r>
      <w:r w:rsidR="00A635A6" w:rsidRPr="00EC6F06">
        <w:t>; Ericsson</w:t>
      </w:r>
      <w:bookmarkEnd w:id="4"/>
      <w:bookmarkEnd w:id="5"/>
      <w:bookmarkEnd w:id="6"/>
      <w:bookmarkEnd w:id="7"/>
      <w:bookmarkEnd w:id="8"/>
      <w:bookmarkEnd w:id="9"/>
      <w:bookmarkEnd w:id="15"/>
    </w:p>
    <w:p w14:paraId="5B736B11" w14:textId="52D971B8" w:rsidR="0083770A" w:rsidRPr="00EC6F06" w:rsidRDefault="0083770A" w:rsidP="00EC6F06">
      <w:pPr>
        <w:pStyle w:val="Reference"/>
      </w:pPr>
      <w:bookmarkStart w:id="16" w:name="_Ref477822560"/>
      <w:r w:rsidRPr="00872FA7">
        <w:t>R1-17</w:t>
      </w:r>
      <w:r w:rsidR="00EC6F06" w:rsidRPr="00EC6F06">
        <w:t>06028</w:t>
      </w:r>
      <w:r w:rsidRPr="00872FA7">
        <w:tab/>
      </w:r>
      <w:r w:rsidRPr="00872FA7">
        <w:tab/>
        <w:t>On ‘Group Common PDCCH’ Structure and Configuration; Ericsson</w:t>
      </w:r>
      <w:bookmarkEnd w:id="16"/>
    </w:p>
    <w:sectPr w:rsidR="0083770A" w:rsidRPr="00EC6F0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2A368" w14:textId="77777777" w:rsidR="004805F5" w:rsidRDefault="004805F5">
      <w:r>
        <w:separator/>
      </w:r>
    </w:p>
  </w:endnote>
  <w:endnote w:type="continuationSeparator" w:id="0">
    <w:p w14:paraId="41BCC0AE" w14:textId="77777777" w:rsidR="004805F5" w:rsidRDefault="004805F5">
      <w:r>
        <w:continuationSeparator/>
      </w:r>
    </w:p>
  </w:endnote>
  <w:endnote w:type="continuationNotice" w:id="1">
    <w:p w14:paraId="78B501F9" w14:textId="77777777" w:rsidR="004805F5" w:rsidRDefault="00480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3FCDB93"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2FA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2FA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28632" w14:textId="77777777" w:rsidR="004805F5" w:rsidRDefault="004805F5">
      <w:r>
        <w:separator/>
      </w:r>
    </w:p>
  </w:footnote>
  <w:footnote w:type="continuationSeparator" w:id="0">
    <w:p w14:paraId="53C37E17" w14:textId="77777777" w:rsidR="004805F5" w:rsidRDefault="004805F5">
      <w:r>
        <w:continuationSeparator/>
      </w:r>
    </w:p>
  </w:footnote>
  <w:footnote w:type="continuationNotice" w:id="1">
    <w:p w14:paraId="759DDBE7" w14:textId="77777777" w:rsidR="004805F5" w:rsidRDefault="00480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5355AA"/>
    <w:multiLevelType w:val="hybridMultilevel"/>
    <w:tmpl w:val="E99A4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8"/>
  </w:num>
  <w:num w:numId="3">
    <w:abstractNumId w:val="30"/>
  </w:num>
  <w:num w:numId="4">
    <w:abstractNumId w:val="32"/>
  </w:num>
  <w:num w:numId="5">
    <w:abstractNumId w:val="24"/>
  </w:num>
  <w:num w:numId="6">
    <w:abstractNumId w:val="35"/>
  </w:num>
  <w:num w:numId="7">
    <w:abstractNumId w:val="41"/>
  </w:num>
  <w:num w:numId="8">
    <w:abstractNumId w:val="25"/>
  </w:num>
  <w:num w:numId="9">
    <w:abstractNumId w:val="19"/>
  </w:num>
  <w:num w:numId="10">
    <w:abstractNumId w:val="3"/>
  </w:num>
  <w:num w:numId="11">
    <w:abstractNumId w:val="2"/>
  </w:num>
  <w:num w:numId="12">
    <w:abstractNumId w:val="1"/>
  </w:num>
  <w:num w:numId="13">
    <w:abstractNumId w:val="40"/>
  </w:num>
  <w:num w:numId="14">
    <w:abstractNumId w:val="0"/>
  </w:num>
  <w:num w:numId="15">
    <w:abstractNumId w:val="21"/>
  </w:num>
  <w:num w:numId="16">
    <w:abstractNumId w:val="42"/>
  </w:num>
  <w:num w:numId="17">
    <w:abstractNumId w:val="33"/>
  </w:num>
  <w:num w:numId="18">
    <w:abstractNumId w:val="37"/>
  </w:num>
  <w:num w:numId="19">
    <w:abstractNumId w:val="10"/>
  </w:num>
  <w:num w:numId="20">
    <w:abstractNumId w:val="29"/>
  </w:num>
  <w:num w:numId="21">
    <w:abstractNumId w:val="14"/>
  </w:num>
  <w:num w:numId="22">
    <w:abstractNumId w:val="6"/>
  </w:num>
  <w:num w:numId="23">
    <w:abstractNumId w:val="36"/>
  </w:num>
  <w:num w:numId="24">
    <w:abstractNumId w:val="34"/>
  </w:num>
  <w:num w:numId="25">
    <w:abstractNumId w:val="22"/>
  </w:num>
  <w:num w:numId="26">
    <w:abstractNumId w:val="11"/>
  </w:num>
  <w:num w:numId="27">
    <w:abstractNumId w:val="17"/>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num>
  <w:num w:numId="30">
    <w:abstractNumId w:val="23"/>
  </w:num>
  <w:num w:numId="31">
    <w:abstractNumId w:val="46"/>
  </w:num>
  <w:num w:numId="32">
    <w:abstractNumId w:val="30"/>
    <w:lvlOverride w:ilvl="0">
      <w:startOverride w:val="5"/>
    </w:lvlOverride>
  </w:num>
  <w:num w:numId="33">
    <w:abstractNumId w:val="39"/>
  </w:num>
  <w:num w:numId="34">
    <w:abstractNumId w:val="4"/>
  </w:num>
  <w:num w:numId="35">
    <w:abstractNumId w:val="47"/>
  </w:num>
  <w:num w:numId="36">
    <w:abstractNumId w:val="9"/>
  </w:num>
  <w:num w:numId="37">
    <w:abstractNumId w:val="45"/>
  </w:num>
  <w:num w:numId="38">
    <w:abstractNumId w:val="28"/>
  </w:num>
  <w:num w:numId="39">
    <w:abstractNumId w:val="27"/>
  </w:num>
  <w:num w:numId="40">
    <w:abstractNumId w:val="13"/>
  </w:num>
  <w:num w:numId="41">
    <w:abstractNumId w:val="44"/>
  </w:num>
  <w:num w:numId="42">
    <w:abstractNumId w:val="20"/>
  </w:num>
  <w:num w:numId="43">
    <w:abstractNumId w:val="16"/>
  </w:num>
  <w:num w:numId="44">
    <w:abstractNumId w:val="26"/>
  </w:num>
  <w:num w:numId="45">
    <w:abstractNumId w:val="8"/>
  </w:num>
  <w:num w:numId="46">
    <w:abstractNumId w:val="31"/>
  </w:num>
  <w:num w:numId="47">
    <w:abstractNumId w:val="12"/>
  </w:num>
  <w:num w:numId="48">
    <w:abstractNumId w:val="7"/>
  </w:num>
  <w:num w:numId="49">
    <w:abstractNumId w:val="15"/>
  </w:num>
  <w:num w:numId="50">
    <w:abstractNumId w:val="18"/>
  </w:num>
  <w:num w:numId="5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3E0D"/>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252"/>
    <w:rsid w:val="001A6CBA"/>
    <w:rsid w:val="001A7B4D"/>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249A"/>
    <w:rsid w:val="00444DE6"/>
    <w:rsid w:val="00444F56"/>
    <w:rsid w:val="00446488"/>
    <w:rsid w:val="00446AFF"/>
    <w:rsid w:val="00447DDB"/>
    <w:rsid w:val="004517AA"/>
    <w:rsid w:val="00452B53"/>
    <w:rsid w:val="00452CAC"/>
    <w:rsid w:val="00457565"/>
    <w:rsid w:val="00457B71"/>
    <w:rsid w:val="00464C4C"/>
    <w:rsid w:val="004669E2"/>
    <w:rsid w:val="00470C31"/>
    <w:rsid w:val="00472C00"/>
    <w:rsid w:val="004734D0"/>
    <w:rsid w:val="0047447B"/>
    <w:rsid w:val="00474CE8"/>
    <w:rsid w:val="0047556B"/>
    <w:rsid w:val="00477768"/>
    <w:rsid w:val="004805F5"/>
    <w:rsid w:val="00484FD1"/>
    <w:rsid w:val="004903E5"/>
    <w:rsid w:val="00492BC5"/>
    <w:rsid w:val="004959FC"/>
    <w:rsid w:val="004964F1"/>
    <w:rsid w:val="004A163A"/>
    <w:rsid w:val="004A16BC"/>
    <w:rsid w:val="004A2B94"/>
    <w:rsid w:val="004B6991"/>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61FA"/>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685C"/>
    <w:rsid w:val="0059779B"/>
    <w:rsid w:val="005A0A5B"/>
    <w:rsid w:val="005A209A"/>
    <w:rsid w:val="005A2E25"/>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36F14"/>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4DA9"/>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4F9F"/>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3770A"/>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2FA7"/>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3C90"/>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214C"/>
    <w:rsid w:val="00CF351E"/>
    <w:rsid w:val="00CF3B1F"/>
    <w:rsid w:val="00CF3BF6"/>
    <w:rsid w:val="00CF625B"/>
    <w:rsid w:val="00CF687E"/>
    <w:rsid w:val="00D00035"/>
    <w:rsid w:val="00D0349B"/>
    <w:rsid w:val="00D10249"/>
    <w:rsid w:val="00D115C3"/>
    <w:rsid w:val="00D11897"/>
    <w:rsid w:val="00D13135"/>
    <w:rsid w:val="00D13E4E"/>
    <w:rsid w:val="00D16C63"/>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998"/>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6F06"/>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5NUHHDQN7SK2-1-114378</_dlc_DocId>
    <_dlc_DocIdUrl xmlns="08b2df90-05d3-4030-90d4-c9feeb4a1cd9">
      <Url>https://ericoll.internal.ericsson.com/sites/STAR/_layouts/DocIdRedir.aspx?ID=5NUHHDQN7SK2-1-114378</Url>
      <Description>5NUHHDQN7SK2-1-114378</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0E89E-4B92-4F6D-8181-898FDDFC8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34E57189-EA44-4318-A47B-9546BC4B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1294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Sorour Falahati</cp:lastModifiedBy>
  <cp:revision>2</cp:revision>
  <cp:lastPrinted>2008-01-31T07:09:00Z</cp:lastPrinted>
  <dcterms:created xsi:type="dcterms:W3CDTF">2017-03-25T00:43:00Z</dcterms:created>
  <dcterms:modified xsi:type="dcterms:W3CDTF">2017-03-25T00:43:00Z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4d8d62b6-c9f6-476a-86a7-26e45ef2939e</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