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73" w:rsidRPr="00CB7273" w:rsidRDefault="00CB7273" w:rsidP="00CB727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CB7273">
        <w:rPr>
          <w:rFonts w:ascii="Arial" w:eastAsia="SimSun" w:hAnsi="Arial" w:cs="Times New Roman"/>
          <w:b/>
          <w:bCs/>
          <w:sz w:val="24"/>
          <w:szCs w:val="20"/>
          <w:lang w:val="en-GB"/>
        </w:rPr>
        <w:t xml:space="preserve">3GPP TSG RAN WG1#88 </w:t>
      </w:r>
      <w:proofErr w:type="spellStart"/>
      <w:r w:rsidRPr="00CB7273">
        <w:rPr>
          <w:rFonts w:ascii="Arial" w:eastAsia="SimSun" w:hAnsi="Arial" w:cs="Times New Roman"/>
          <w:b/>
          <w:bCs/>
          <w:sz w:val="24"/>
          <w:szCs w:val="20"/>
          <w:lang w:val="en-GB"/>
        </w:rPr>
        <w:t>bis</w:t>
      </w:r>
      <w:proofErr w:type="spellEnd"/>
      <w:r w:rsidRPr="00CB7273">
        <w:rPr>
          <w:rFonts w:ascii="Arial" w:eastAsia="SimSun" w:hAnsi="Arial" w:cs="Times New Roman"/>
          <w:b/>
          <w:bCs/>
          <w:sz w:val="24"/>
          <w:szCs w:val="20"/>
          <w:lang w:val="en-GB"/>
        </w:rPr>
        <w:tab/>
      </w:r>
      <w:r w:rsidRPr="00CB7273">
        <w:rPr>
          <w:rFonts w:ascii="Arial" w:eastAsia="SimSun" w:hAnsi="Arial" w:cs="Times New Roman"/>
          <w:b/>
          <w:bCs/>
          <w:sz w:val="24"/>
          <w:szCs w:val="20"/>
          <w:lang w:val="en-GB"/>
        </w:rPr>
        <w:tab/>
      </w:r>
      <w:r w:rsidRPr="00CB7273">
        <w:rPr>
          <w:rFonts w:ascii="Arial" w:eastAsia="SimSun" w:hAnsi="Arial" w:cs="Times New Roman"/>
          <w:b/>
          <w:bCs/>
          <w:sz w:val="24"/>
          <w:szCs w:val="20"/>
          <w:lang w:val="en-GB"/>
        </w:rPr>
        <w:tab/>
      </w:r>
      <w:r w:rsidRPr="00CB7273">
        <w:rPr>
          <w:rFonts w:ascii="Arial" w:eastAsia="SimSun" w:hAnsi="Arial" w:cs="Times New Roman"/>
          <w:b/>
          <w:bCs/>
          <w:sz w:val="24"/>
          <w:szCs w:val="20"/>
          <w:lang w:val="en-GB"/>
        </w:rPr>
        <w:tab/>
      </w:r>
      <w:r w:rsidRPr="00CB7273">
        <w:rPr>
          <w:rFonts w:ascii="Arial" w:eastAsia="SimSun" w:hAnsi="Arial" w:cs="Times New Roman"/>
          <w:b/>
          <w:bCs/>
          <w:sz w:val="24"/>
          <w:szCs w:val="20"/>
          <w:lang w:val="en-GB"/>
        </w:rPr>
        <w:tab/>
        <w:t xml:space="preserve">          </w:t>
      </w:r>
      <w:r w:rsidRPr="00CB7273">
        <w:rPr>
          <w:rFonts w:ascii="Arial" w:eastAsia="SimSun" w:hAnsi="Arial" w:cs="Times New Roman"/>
          <w:b/>
          <w:bCs/>
          <w:sz w:val="24"/>
          <w:szCs w:val="20"/>
          <w:lang w:val="en-GB"/>
        </w:rPr>
        <w:tab/>
        <w:t xml:space="preserve">                 </w:t>
      </w:r>
      <w:r w:rsidRPr="00CB7273">
        <w:rPr>
          <w:rFonts w:ascii="Arial" w:eastAsia="SimSun" w:hAnsi="Arial" w:cs="Times New Roman"/>
          <w:b/>
          <w:bCs/>
          <w:sz w:val="24"/>
          <w:szCs w:val="20"/>
          <w:lang w:val="en-GB"/>
        </w:rPr>
        <w:tab/>
      </w:r>
      <w:r w:rsidR="00622CC9" w:rsidRPr="00622CC9">
        <w:rPr>
          <w:rFonts w:ascii="Arial" w:eastAsia="SimSun" w:hAnsi="Arial" w:cs="Times New Roman"/>
          <w:b/>
          <w:bCs/>
          <w:sz w:val="24"/>
          <w:szCs w:val="20"/>
          <w:lang w:val="en-GB"/>
        </w:rPr>
        <w:t>R1-1706001</w:t>
      </w:r>
    </w:p>
    <w:p w:rsidR="00CB7273" w:rsidRPr="00CB7273" w:rsidRDefault="00CB7273" w:rsidP="00CB727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CB7273">
        <w:rPr>
          <w:rFonts w:ascii="Arial" w:eastAsia="SimSun" w:hAnsi="Arial" w:cs="Times New Roman"/>
          <w:b/>
          <w:bCs/>
          <w:sz w:val="24"/>
          <w:szCs w:val="20"/>
          <w:lang w:val="en-GB"/>
        </w:rPr>
        <w:t>Spokane, WA, USA, 3rd - 7th April, 2017</w:t>
      </w:r>
    </w:p>
    <w:p w:rsidR="00CB7273" w:rsidRPr="00CB7273" w:rsidRDefault="00CB7273" w:rsidP="00CB727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CB7273" w:rsidRPr="00CB7273" w:rsidRDefault="00CB7273" w:rsidP="00CB7273">
      <w:pPr>
        <w:spacing w:after="120" w:line="240" w:lineRule="auto"/>
        <w:rPr>
          <w:rFonts w:ascii="Arial" w:eastAsia="MS Mincho" w:hAnsi="Arial" w:cs="Arial"/>
          <w:b/>
          <w:bCs/>
          <w:sz w:val="24"/>
          <w:szCs w:val="20"/>
          <w:lang w:val="en-GB" w:eastAsia="ja-JP"/>
        </w:rPr>
      </w:pPr>
      <w:r w:rsidRPr="00CB7273">
        <w:rPr>
          <w:rFonts w:ascii="Arial" w:eastAsia="MS Mincho" w:hAnsi="Arial" w:cs="Arial"/>
          <w:b/>
          <w:bCs/>
          <w:sz w:val="24"/>
          <w:szCs w:val="20"/>
          <w:lang w:val="en-GB"/>
        </w:rPr>
        <w:t>Agenda item:</w:t>
      </w:r>
      <w:r w:rsidRPr="00CB7273">
        <w:rPr>
          <w:rFonts w:ascii="Arial" w:eastAsia="MS Mincho" w:hAnsi="Arial" w:cs="Arial"/>
          <w:b/>
          <w:bCs/>
          <w:sz w:val="24"/>
          <w:szCs w:val="20"/>
          <w:lang w:val="en-GB"/>
        </w:rPr>
        <w:tab/>
      </w:r>
      <w:r w:rsidR="00E14ABA">
        <w:rPr>
          <w:rFonts w:ascii="Arial" w:eastAsia="MS Mincho" w:hAnsi="Arial" w:cs="Arial"/>
          <w:b/>
          <w:bCs/>
          <w:sz w:val="24"/>
          <w:szCs w:val="20"/>
          <w:lang w:val="en-GB"/>
        </w:rPr>
        <w:t>8.1.</w:t>
      </w:r>
      <w:r w:rsidR="00622CC9">
        <w:rPr>
          <w:rFonts w:ascii="Arial" w:eastAsia="MS Mincho" w:hAnsi="Arial" w:cs="Arial"/>
          <w:b/>
          <w:bCs/>
          <w:sz w:val="24"/>
          <w:szCs w:val="20"/>
          <w:lang w:val="en-GB"/>
        </w:rPr>
        <w:t>2.6</w:t>
      </w:r>
    </w:p>
    <w:p w:rsidR="00CB7273" w:rsidRPr="00CB7273" w:rsidRDefault="00CB7273" w:rsidP="00CB7273">
      <w:pPr>
        <w:tabs>
          <w:tab w:val="left" w:pos="1985"/>
        </w:tabs>
        <w:ind w:left="1985" w:hanging="1985"/>
        <w:rPr>
          <w:rFonts w:ascii="Arial" w:eastAsia="Calibri" w:hAnsi="Arial" w:cs="Arial"/>
          <w:b/>
          <w:bCs/>
          <w:sz w:val="24"/>
          <w:lang w:val="en-GB"/>
        </w:rPr>
      </w:pPr>
      <w:r w:rsidRPr="00CB7273">
        <w:rPr>
          <w:rFonts w:ascii="Arial" w:eastAsia="Calibri" w:hAnsi="Arial" w:cs="Arial"/>
          <w:b/>
          <w:bCs/>
          <w:sz w:val="24"/>
          <w:lang w:val="en-GB"/>
        </w:rPr>
        <w:t>Source:</w:t>
      </w:r>
      <w:r w:rsidRPr="00CB7273">
        <w:rPr>
          <w:rFonts w:ascii="Arial" w:eastAsia="Calibri" w:hAnsi="Arial" w:cs="Arial"/>
          <w:b/>
          <w:bCs/>
          <w:sz w:val="24"/>
          <w:lang w:val="en-GB"/>
        </w:rPr>
        <w:tab/>
      </w:r>
      <w:bookmarkStart w:id="0" w:name="OLE_LINK1"/>
      <w:bookmarkStart w:id="1" w:name="OLE_LINK2"/>
      <w:r w:rsidR="00E14ABA">
        <w:rPr>
          <w:rFonts w:ascii="Arial" w:eastAsia="Calibri" w:hAnsi="Arial" w:cs="Arial"/>
          <w:b/>
          <w:bCs/>
          <w:sz w:val="24"/>
          <w:lang w:val="en-GB"/>
        </w:rPr>
        <w:tab/>
      </w:r>
      <w:r w:rsidRPr="00CB7273">
        <w:rPr>
          <w:rFonts w:ascii="Arial" w:eastAsia="Calibri" w:hAnsi="Arial" w:cs="Arial"/>
          <w:b/>
          <w:bCs/>
          <w:sz w:val="24"/>
          <w:lang w:val="en-GB"/>
        </w:rPr>
        <w:t>Nokia</w:t>
      </w:r>
      <w:bookmarkEnd w:id="0"/>
      <w:bookmarkEnd w:id="1"/>
      <w:r w:rsidRPr="00CB7273">
        <w:rPr>
          <w:rFonts w:ascii="Arial" w:eastAsia="Calibri" w:hAnsi="Arial" w:cs="Arial"/>
          <w:b/>
          <w:bCs/>
          <w:sz w:val="24"/>
          <w:lang w:val="en-GB"/>
        </w:rPr>
        <w:t xml:space="preserve">, Alcatel-Lucent Shanghai Bell </w:t>
      </w:r>
    </w:p>
    <w:p w:rsidR="00CB7273" w:rsidRPr="00CB7273" w:rsidRDefault="00CB7273" w:rsidP="00CB7273">
      <w:pPr>
        <w:ind w:left="1985" w:hanging="1985"/>
        <w:rPr>
          <w:rFonts w:ascii="Arial" w:eastAsia="Calibri" w:hAnsi="Arial" w:cs="Arial"/>
          <w:b/>
          <w:bCs/>
          <w:sz w:val="24"/>
          <w:lang w:val="en-GB"/>
        </w:rPr>
      </w:pPr>
      <w:r w:rsidRPr="00CB7273">
        <w:rPr>
          <w:rFonts w:ascii="Arial" w:eastAsia="Calibri" w:hAnsi="Arial" w:cs="Arial"/>
          <w:b/>
          <w:bCs/>
          <w:sz w:val="24"/>
          <w:lang w:val="en-GB"/>
        </w:rPr>
        <w:t>Title:</w:t>
      </w:r>
      <w:r w:rsidRPr="00CB7273">
        <w:rPr>
          <w:rFonts w:ascii="Arial" w:eastAsia="Calibri" w:hAnsi="Arial" w:cs="Arial"/>
          <w:b/>
          <w:bCs/>
          <w:sz w:val="24"/>
          <w:lang w:val="en-GB"/>
        </w:rPr>
        <w:tab/>
      </w:r>
      <w:r w:rsidR="00E14ABA">
        <w:rPr>
          <w:rFonts w:ascii="Arial" w:eastAsia="Calibri" w:hAnsi="Arial" w:cs="Arial"/>
          <w:b/>
          <w:bCs/>
          <w:sz w:val="24"/>
          <w:lang w:val="en-GB"/>
        </w:rPr>
        <w:tab/>
      </w:r>
      <w:r w:rsidR="00622CC9" w:rsidRPr="00622CC9">
        <w:rPr>
          <w:rFonts w:ascii="Arial" w:eastAsia="Calibri" w:hAnsi="Arial" w:cs="Arial"/>
          <w:b/>
          <w:bCs/>
          <w:sz w:val="24"/>
          <w:lang w:val="en-GB"/>
        </w:rPr>
        <w:t>On the spatial consistency model for Phase 3 MIMO calibration</w:t>
      </w:r>
    </w:p>
    <w:p w:rsidR="00CB7273" w:rsidRPr="00CB7273" w:rsidRDefault="00E14ABA" w:rsidP="00CB7273">
      <w:pPr>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r>
      <w:r w:rsidR="00CB7273" w:rsidRPr="00CB7273">
        <w:rPr>
          <w:rFonts w:ascii="Arial" w:eastAsia="Calibri" w:hAnsi="Arial" w:cs="Arial"/>
          <w:b/>
          <w:bCs/>
          <w:sz w:val="24"/>
          <w:lang w:val="en-GB"/>
        </w:rPr>
        <w:t>Discussion and Decision</w:t>
      </w:r>
    </w:p>
    <w:p w:rsidR="00CB7273" w:rsidRPr="00CB7273" w:rsidRDefault="00CB7273" w:rsidP="0022695C">
      <w:pPr>
        <w:pStyle w:val="Heading1"/>
        <w:rPr>
          <w:rFonts w:eastAsia="SimSun"/>
        </w:rPr>
      </w:pPr>
      <w:r w:rsidRPr="00CB7273">
        <w:rPr>
          <w:rFonts w:eastAsia="SimSun"/>
        </w:rPr>
        <w:t>Introduction</w:t>
      </w:r>
    </w:p>
    <w:p w:rsidR="00EA7EB4" w:rsidRDefault="0022695C" w:rsidP="00BA4D86">
      <w:pPr>
        <w:jc w:val="both"/>
        <w:rPr>
          <w:rFonts w:ascii="Times New Roman" w:hAnsi="Times New Roman" w:cs="Times New Roman"/>
          <w:sz w:val="20"/>
        </w:rPr>
      </w:pPr>
      <w:r w:rsidRPr="00BA4D86">
        <w:rPr>
          <w:rFonts w:ascii="Times New Roman" w:hAnsi="Times New Roman" w:cs="Times New Roman"/>
          <w:sz w:val="20"/>
        </w:rPr>
        <w:t>Continuous evolution of the channel is essential in mobility simulations. For that purpose, spatial consistency is defined in TR38.901</w:t>
      </w:r>
      <w:r w:rsidR="00DF3FBB" w:rsidRPr="00BA4D86">
        <w:rPr>
          <w:rFonts w:ascii="Times New Roman" w:hAnsi="Times New Roman" w:cs="Times New Roman"/>
          <w:sz w:val="20"/>
        </w:rPr>
        <w:t xml:space="preserve"> </w:t>
      </w:r>
      <w:r w:rsidR="00DF3FBB" w:rsidRPr="00BA4D86">
        <w:rPr>
          <w:rFonts w:ascii="Times New Roman" w:hAnsi="Times New Roman" w:cs="Times New Roman"/>
          <w:sz w:val="20"/>
        </w:rPr>
        <w:fldChar w:fldCharType="begin"/>
      </w:r>
      <w:r w:rsidR="00DF3FBB" w:rsidRPr="00BA4D86">
        <w:rPr>
          <w:rFonts w:ascii="Times New Roman" w:hAnsi="Times New Roman" w:cs="Times New Roman"/>
          <w:sz w:val="20"/>
        </w:rPr>
        <w:instrText xml:space="preserve"> REF _Ref478105696 \n \h </w:instrText>
      </w:r>
      <w:r w:rsidR="00DF3FBB" w:rsidRPr="00BA4D86">
        <w:rPr>
          <w:rFonts w:ascii="Times New Roman" w:hAnsi="Times New Roman" w:cs="Times New Roman"/>
          <w:sz w:val="20"/>
        </w:rPr>
      </w:r>
      <w:r w:rsidR="00BA4D86" w:rsidRPr="00BA4D86">
        <w:rPr>
          <w:rFonts w:ascii="Times New Roman" w:hAnsi="Times New Roman" w:cs="Times New Roman"/>
          <w:sz w:val="20"/>
        </w:rPr>
        <w:instrText xml:space="preserve"> \* MERGEFORMAT </w:instrText>
      </w:r>
      <w:r w:rsidR="00DF3FBB" w:rsidRPr="00BA4D86">
        <w:rPr>
          <w:rFonts w:ascii="Times New Roman" w:hAnsi="Times New Roman" w:cs="Times New Roman"/>
          <w:sz w:val="20"/>
        </w:rPr>
        <w:fldChar w:fldCharType="separate"/>
      </w:r>
      <w:r w:rsidR="00DF3FBB" w:rsidRPr="00BA4D86">
        <w:rPr>
          <w:rFonts w:ascii="Times New Roman" w:hAnsi="Times New Roman" w:cs="Times New Roman"/>
          <w:sz w:val="20"/>
        </w:rPr>
        <w:t>[1]</w:t>
      </w:r>
      <w:r w:rsidR="00DF3FBB" w:rsidRPr="00BA4D86">
        <w:rPr>
          <w:rFonts w:ascii="Times New Roman" w:hAnsi="Times New Roman" w:cs="Times New Roman"/>
          <w:sz w:val="20"/>
        </w:rPr>
        <w:fldChar w:fldCharType="end"/>
      </w:r>
      <w:r w:rsidRPr="00BA4D86">
        <w:rPr>
          <w:rFonts w:ascii="Times New Roman" w:hAnsi="Times New Roman" w:cs="Times New Roman"/>
          <w:sz w:val="20"/>
        </w:rPr>
        <w:t>. There are two alternative solutions, Procedure A and Proced</w:t>
      </w:r>
      <w:r w:rsidR="00247ACE" w:rsidRPr="00BA4D86">
        <w:rPr>
          <w:rFonts w:ascii="Times New Roman" w:hAnsi="Times New Roman" w:cs="Times New Roman"/>
          <w:sz w:val="20"/>
        </w:rPr>
        <w:t>ure B. As was pointed out in</w:t>
      </w:r>
      <w:r w:rsidR="00DF3FBB" w:rsidRPr="00BA4D86">
        <w:rPr>
          <w:rFonts w:ascii="Times New Roman" w:hAnsi="Times New Roman" w:cs="Times New Roman"/>
          <w:sz w:val="20"/>
        </w:rPr>
        <w:t xml:space="preserve"> </w:t>
      </w:r>
      <w:r w:rsidR="00DF3FBB" w:rsidRPr="00BA4D86">
        <w:rPr>
          <w:rFonts w:ascii="Times New Roman" w:hAnsi="Times New Roman" w:cs="Times New Roman"/>
          <w:sz w:val="20"/>
        </w:rPr>
        <w:fldChar w:fldCharType="begin"/>
      </w:r>
      <w:r w:rsidR="00DF3FBB" w:rsidRPr="00BA4D86">
        <w:rPr>
          <w:rFonts w:ascii="Times New Roman" w:hAnsi="Times New Roman" w:cs="Times New Roman"/>
          <w:sz w:val="20"/>
        </w:rPr>
        <w:instrText xml:space="preserve"> REF _Ref478105726 \n \h </w:instrText>
      </w:r>
      <w:r w:rsidR="00DF3FBB" w:rsidRPr="00BA4D86">
        <w:rPr>
          <w:rFonts w:ascii="Times New Roman" w:hAnsi="Times New Roman" w:cs="Times New Roman"/>
          <w:sz w:val="20"/>
        </w:rPr>
      </w:r>
      <w:r w:rsidR="00BA4D86" w:rsidRPr="00BA4D86">
        <w:rPr>
          <w:rFonts w:ascii="Times New Roman" w:hAnsi="Times New Roman" w:cs="Times New Roman"/>
          <w:sz w:val="20"/>
        </w:rPr>
        <w:instrText xml:space="preserve"> \* MERGEFORMAT </w:instrText>
      </w:r>
      <w:r w:rsidR="00DF3FBB" w:rsidRPr="00BA4D86">
        <w:rPr>
          <w:rFonts w:ascii="Times New Roman" w:hAnsi="Times New Roman" w:cs="Times New Roman"/>
          <w:sz w:val="20"/>
        </w:rPr>
        <w:fldChar w:fldCharType="separate"/>
      </w:r>
      <w:r w:rsidR="00DF3FBB" w:rsidRPr="00BA4D86">
        <w:rPr>
          <w:rFonts w:ascii="Times New Roman" w:hAnsi="Times New Roman" w:cs="Times New Roman"/>
          <w:sz w:val="20"/>
        </w:rPr>
        <w:t>[2]</w:t>
      </w:r>
      <w:r w:rsidR="00DF3FBB" w:rsidRPr="00BA4D86">
        <w:rPr>
          <w:rFonts w:ascii="Times New Roman" w:hAnsi="Times New Roman" w:cs="Times New Roman"/>
          <w:sz w:val="20"/>
        </w:rPr>
        <w:fldChar w:fldCharType="end"/>
      </w:r>
      <w:r w:rsidR="00175C0D" w:rsidRPr="00BA4D86">
        <w:rPr>
          <w:rFonts w:ascii="Times New Roman" w:hAnsi="Times New Roman" w:cs="Times New Roman"/>
          <w:sz w:val="20"/>
        </w:rPr>
        <w:t>, the s</w:t>
      </w:r>
      <w:r w:rsidRPr="00BA4D86">
        <w:rPr>
          <w:rFonts w:ascii="Times New Roman" w:hAnsi="Times New Roman" w:cs="Times New Roman"/>
          <w:sz w:val="20"/>
        </w:rPr>
        <w:t>patial consistency procedure A has some problems. In RAN1#88 companies were encouraged to investigate this behavior</w:t>
      </w:r>
      <w:r w:rsidR="001F68D1" w:rsidRPr="00BA4D86">
        <w:rPr>
          <w:rFonts w:ascii="Times New Roman" w:hAnsi="Times New Roman" w:cs="Times New Roman"/>
          <w:sz w:val="20"/>
        </w:rPr>
        <w:t xml:space="preserve"> </w:t>
      </w:r>
      <w:r w:rsidR="001F68D1" w:rsidRPr="00BA4D86">
        <w:rPr>
          <w:rFonts w:ascii="Times New Roman" w:hAnsi="Times New Roman" w:cs="Times New Roman"/>
          <w:sz w:val="20"/>
        </w:rPr>
        <w:fldChar w:fldCharType="begin"/>
      </w:r>
      <w:r w:rsidR="001F68D1" w:rsidRPr="00BA4D86">
        <w:rPr>
          <w:rFonts w:ascii="Times New Roman" w:hAnsi="Times New Roman" w:cs="Times New Roman"/>
          <w:sz w:val="20"/>
        </w:rPr>
        <w:instrText xml:space="preserve"> REF _Ref478105883 \n \h </w:instrText>
      </w:r>
      <w:r w:rsidR="001F68D1" w:rsidRPr="00BA4D86">
        <w:rPr>
          <w:rFonts w:ascii="Times New Roman" w:hAnsi="Times New Roman" w:cs="Times New Roman"/>
          <w:sz w:val="20"/>
        </w:rPr>
      </w:r>
      <w:r w:rsidR="00BA4D86" w:rsidRPr="00BA4D86">
        <w:rPr>
          <w:rFonts w:ascii="Times New Roman" w:hAnsi="Times New Roman" w:cs="Times New Roman"/>
          <w:sz w:val="20"/>
        </w:rPr>
        <w:instrText xml:space="preserve"> \* MERGEFORMAT </w:instrText>
      </w:r>
      <w:r w:rsidR="001F68D1" w:rsidRPr="00BA4D86">
        <w:rPr>
          <w:rFonts w:ascii="Times New Roman" w:hAnsi="Times New Roman" w:cs="Times New Roman"/>
          <w:sz w:val="20"/>
        </w:rPr>
        <w:fldChar w:fldCharType="separate"/>
      </w:r>
      <w:r w:rsidR="001F68D1" w:rsidRPr="00BA4D86">
        <w:rPr>
          <w:rFonts w:ascii="Times New Roman" w:hAnsi="Times New Roman" w:cs="Times New Roman"/>
          <w:sz w:val="20"/>
        </w:rPr>
        <w:t>[3]</w:t>
      </w:r>
      <w:r w:rsidR="001F68D1" w:rsidRPr="00BA4D86">
        <w:rPr>
          <w:rFonts w:ascii="Times New Roman" w:hAnsi="Times New Roman" w:cs="Times New Roman"/>
          <w:sz w:val="20"/>
        </w:rPr>
        <w:fldChar w:fldCharType="end"/>
      </w:r>
      <w:r w:rsidRPr="00BA4D86">
        <w:rPr>
          <w:rFonts w:ascii="Times New Roman" w:hAnsi="Times New Roman" w:cs="Times New Roman"/>
          <w:sz w:val="20"/>
        </w:rPr>
        <w:t>.</w:t>
      </w:r>
    </w:p>
    <w:p w:rsidR="00BA4D86" w:rsidRPr="00BA4D86" w:rsidRDefault="00BA4D86" w:rsidP="00BA4D86">
      <w:pPr>
        <w:jc w:val="both"/>
        <w:rPr>
          <w:rFonts w:ascii="Times New Roman" w:hAnsi="Times New Roman" w:cs="Times New Roman"/>
          <w:sz w:val="20"/>
        </w:rPr>
      </w:pPr>
      <w:r>
        <w:rPr>
          <w:rFonts w:ascii="Times New Roman" w:hAnsi="Times New Roman" w:cs="Times New Roman"/>
          <w:sz w:val="20"/>
        </w:rPr>
        <w:t xml:space="preserve">For MIMO Phase 3 calibration it has been agreed to consider procedure A. However, as we show below, the model A is not suited for mobility evaluation and better alternatives do exist. </w:t>
      </w:r>
    </w:p>
    <w:p w:rsidR="00DC533E" w:rsidRDefault="00BA4D86" w:rsidP="0022695C">
      <w:pPr>
        <w:pStyle w:val="Heading1"/>
      </w:pPr>
      <w:r>
        <w:t>Discussion on procedure A</w:t>
      </w:r>
    </w:p>
    <w:p w:rsidR="00AC2353" w:rsidRDefault="00AC2353" w:rsidP="00BA4D86">
      <w:pPr>
        <w:jc w:val="both"/>
        <w:rPr>
          <w:rFonts w:ascii="Times New Roman" w:hAnsi="Times New Roman" w:cs="Times New Roman"/>
          <w:sz w:val="20"/>
          <w:szCs w:val="20"/>
        </w:rPr>
      </w:pPr>
      <w:r>
        <w:rPr>
          <w:rFonts w:ascii="Times New Roman" w:hAnsi="Times New Roman" w:cs="Times New Roman"/>
          <w:sz w:val="20"/>
          <w:szCs w:val="20"/>
          <w:lang w:val="en-GB"/>
        </w:rPr>
        <w:t>The</w:t>
      </w:r>
      <w:r w:rsidRPr="00AC2353">
        <w:rPr>
          <w:rFonts w:ascii="Times New Roman" w:hAnsi="Times New Roman" w:cs="Times New Roman"/>
          <w:sz w:val="20"/>
          <w:szCs w:val="20"/>
        </w:rPr>
        <w:t xml:space="preserve"> spatial consistency procedure can be used for both cluster-specific and ray-specific random variables to be generated in various channel generation steps</w:t>
      </w:r>
      <w:r w:rsidRPr="00AC2353">
        <w:t xml:space="preserve"> </w:t>
      </w:r>
      <w:r w:rsidRPr="00AC2353">
        <w:rPr>
          <w:rFonts w:ascii="Times New Roman" w:hAnsi="Times New Roman" w:cs="Times New Roman"/>
          <w:sz w:val="20"/>
          <w:szCs w:val="20"/>
        </w:rPr>
        <w:t>for spatially consistent mobility simulations</w:t>
      </w:r>
      <w:r>
        <w:rPr>
          <w:rFonts w:ascii="Times New Roman" w:hAnsi="Times New Roman" w:cs="Times New Roman"/>
          <w:sz w:val="20"/>
          <w:szCs w:val="20"/>
        </w:rPr>
        <w:t>.</w:t>
      </w:r>
      <w:r w:rsidRPr="00AC2353">
        <w:rPr>
          <w:rFonts w:ascii="Times New Roman" w:hAnsi="Times New Roman" w:cs="Times New Roman"/>
          <w:sz w:val="20"/>
          <w:szCs w:val="20"/>
        </w:rPr>
        <w:t xml:space="preserve"> For mobility simulation enhancement, two alternative spatial consistency procedures</w:t>
      </w:r>
      <w:r>
        <w:rPr>
          <w:rFonts w:ascii="Times New Roman" w:hAnsi="Times New Roman" w:cs="Times New Roman"/>
          <w:sz w:val="20"/>
          <w:szCs w:val="20"/>
        </w:rPr>
        <w:t xml:space="preserve"> exist: A and B.</w:t>
      </w:r>
      <w:r w:rsidRPr="00AC2353">
        <w:rPr>
          <w:rFonts w:ascii="Times New Roman" w:hAnsi="Times New Roman" w:cs="Times New Roman"/>
          <w:sz w:val="20"/>
          <w:szCs w:val="20"/>
        </w:rPr>
        <w:t xml:space="preserve"> </w:t>
      </w:r>
    </w:p>
    <w:p w:rsidR="00DC533E" w:rsidRPr="00BA4D86" w:rsidRDefault="00DF3FBB" w:rsidP="00BA4D86">
      <w:pPr>
        <w:jc w:val="both"/>
        <w:rPr>
          <w:rFonts w:ascii="Times New Roman" w:hAnsi="Times New Roman" w:cs="Times New Roman"/>
          <w:sz w:val="20"/>
          <w:szCs w:val="20"/>
        </w:rPr>
      </w:pPr>
      <w:r w:rsidRPr="00BA4D86">
        <w:rPr>
          <w:rFonts w:ascii="Times New Roman" w:hAnsi="Times New Roman" w:cs="Times New Roman"/>
          <w:sz w:val="20"/>
          <w:szCs w:val="20"/>
        </w:rPr>
        <w:t xml:space="preserve">In </w:t>
      </w:r>
      <w:r w:rsidR="001F68D1" w:rsidRPr="00BA4D86">
        <w:rPr>
          <w:rFonts w:ascii="Times New Roman" w:hAnsi="Times New Roman" w:cs="Times New Roman"/>
          <w:sz w:val="20"/>
          <w:szCs w:val="20"/>
        </w:rPr>
        <w:t>spatial consistency proc</w:t>
      </w:r>
      <w:r w:rsidR="00AC2353">
        <w:rPr>
          <w:rFonts w:ascii="Times New Roman" w:hAnsi="Times New Roman" w:cs="Times New Roman"/>
          <w:sz w:val="20"/>
          <w:szCs w:val="20"/>
        </w:rPr>
        <w:t>edure A the behavior of cluster departure and arrival angles are updated as</w:t>
      </w:r>
      <w:r w:rsidR="001F68D1" w:rsidRPr="00BA4D86">
        <w:rPr>
          <w:rFonts w:ascii="Times New Roman" w:hAnsi="Times New Roman" w:cs="Times New Roman"/>
          <w:sz w:val="20"/>
          <w:szCs w:val="20"/>
        </w:rPr>
        <w:t>:</w:t>
      </w:r>
    </w:p>
    <w:p w:rsidR="00AC2353" w:rsidRDefault="00AC2353" w:rsidP="00AC2353">
      <w:pPr>
        <w:rPr>
          <w:rFonts w:ascii="Times New Roman" w:eastAsia="Malgun Gothic" w:hAnsi="Times New Roman" w:cs="Times New Roman"/>
          <w:sz w:val="20"/>
          <w:szCs w:val="20"/>
          <w:lang w:val="en-GB" w:eastAsia="zh-CN"/>
        </w:rPr>
      </w:pPr>
      <w:r>
        <w:rPr>
          <w:rFonts w:ascii="Times New Roman" w:eastAsia="Malgun Gothic" w:hAnsi="Times New Roman" w:cs="Times New Roman"/>
          <w:sz w:val="20"/>
          <w:szCs w:val="20"/>
          <w:lang w:val="en-GB" w:eastAsia="zh-CN"/>
        </w:rPr>
        <w:t>Departure angles:</w:t>
      </w:r>
    </w:p>
    <w:p w:rsidR="001F68D1" w:rsidRPr="00BA4D86" w:rsidRDefault="001F68D1" w:rsidP="00BA4D86">
      <w:pPr>
        <w:jc w:val="center"/>
        <w:rPr>
          <w:rFonts w:ascii="Times New Roman" w:eastAsia="Malgun Gothic" w:hAnsi="Times New Roman" w:cs="Times New Roman"/>
          <w:sz w:val="20"/>
          <w:szCs w:val="20"/>
          <w:lang w:val="en-GB" w:eastAsia="zh-CN"/>
        </w:rPr>
      </w:pPr>
      <w:r w:rsidRPr="00BA4D86">
        <w:rPr>
          <w:rFonts w:ascii="Times New Roman" w:eastAsia="Malgun Gothic" w:hAnsi="Times New Roman" w:cs="Times New Roman"/>
          <w:position w:val="-30"/>
          <w:sz w:val="20"/>
          <w:szCs w:val="20"/>
          <w:lang w:val="en-GB" w:eastAsia="zh-CN"/>
        </w:rPr>
        <w:object w:dxaOrig="603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75pt;height:35.05pt" o:ole="">
            <v:imagedata r:id="rId6" o:title=""/>
          </v:shape>
          <o:OLEObject Type="Embed" ProgID="Equation.3" ShapeID="_x0000_i1025" DrawAspect="Content" ObjectID="_1551881403" r:id="rId7"/>
        </w:object>
      </w:r>
    </w:p>
    <w:p w:rsidR="00AC2353" w:rsidRDefault="00AC2353" w:rsidP="00AC2353">
      <w:pPr>
        <w:pStyle w:val="EQ"/>
        <w:tabs>
          <w:tab w:val="clear" w:pos="4536"/>
          <w:tab w:val="center" w:pos="4820"/>
        </w:tabs>
        <w:jc w:val="center"/>
        <w:rPr>
          <w:lang w:eastAsia="zh-CN"/>
        </w:rPr>
      </w:pPr>
      <w:r w:rsidRPr="008F1CBB">
        <w:rPr>
          <w:position w:val="-30"/>
          <w:lang w:eastAsia="zh-CN"/>
        </w:rPr>
        <w:object w:dxaOrig="6060" w:dyaOrig="700">
          <v:shape id="_x0000_i1033" type="#_x0000_t75" style="width:302.4pt;height:35.05pt" o:ole="">
            <v:imagedata r:id="rId8" o:title=""/>
          </v:shape>
          <o:OLEObject Type="Embed" ProgID="Equation.3" ShapeID="_x0000_i1033" DrawAspect="Content" ObjectID="_1551881404" r:id="rId9"/>
        </w:object>
      </w:r>
    </w:p>
    <w:p w:rsidR="00AC2353" w:rsidRDefault="00AC2353" w:rsidP="00AC2353">
      <w:pPr>
        <w:rPr>
          <w:rFonts w:ascii="Times New Roman" w:eastAsia="Malgun Gothic" w:hAnsi="Times New Roman" w:cs="Times New Roman"/>
          <w:sz w:val="20"/>
          <w:szCs w:val="20"/>
          <w:lang w:val="en-GB" w:eastAsia="zh-CN"/>
        </w:rPr>
      </w:pPr>
      <w:r>
        <w:rPr>
          <w:rFonts w:ascii="Times New Roman" w:eastAsia="Malgun Gothic" w:hAnsi="Times New Roman" w:cs="Times New Roman"/>
          <w:sz w:val="20"/>
          <w:szCs w:val="20"/>
          <w:lang w:val="en-GB" w:eastAsia="zh-CN"/>
        </w:rPr>
        <w:t>Arrival</w:t>
      </w:r>
      <w:r>
        <w:rPr>
          <w:rFonts w:ascii="Times New Roman" w:eastAsia="Malgun Gothic" w:hAnsi="Times New Roman" w:cs="Times New Roman"/>
          <w:sz w:val="20"/>
          <w:szCs w:val="20"/>
          <w:lang w:val="en-GB" w:eastAsia="zh-CN"/>
        </w:rPr>
        <w:t xml:space="preserve"> angles:</w:t>
      </w:r>
    </w:p>
    <w:p w:rsidR="00AC2353" w:rsidRPr="00AC2353" w:rsidRDefault="00AC2353" w:rsidP="00AC2353">
      <w:pPr>
        <w:rPr>
          <w:lang w:val="en-GB" w:eastAsia="zh-CN"/>
        </w:rPr>
      </w:pPr>
    </w:p>
    <w:p w:rsidR="00AC2353" w:rsidRPr="00E40743" w:rsidRDefault="00AC2353" w:rsidP="00AC2353">
      <w:pPr>
        <w:pStyle w:val="EQ"/>
        <w:tabs>
          <w:tab w:val="clear" w:pos="4536"/>
          <w:tab w:val="center" w:pos="4820"/>
        </w:tabs>
        <w:rPr>
          <w:lang w:eastAsia="ko-KR"/>
        </w:rPr>
      </w:pPr>
      <w:r>
        <w:rPr>
          <w:lang w:eastAsia="zh-CN"/>
        </w:rPr>
        <w:tab/>
      </w:r>
      <w:r w:rsidRPr="008F1CBB">
        <w:rPr>
          <w:position w:val="-30"/>
          <w:lang w:eastAsia="zh-CN"/>
        </w:rPr>
        <w:object w:dxaOrig="6039" w:dyaOrig="700">
          <v:shape id="_x0000_i1034" type="#_x0000_t75" style="width:301.15pt;height:35.05pt" o:ole="">
            <v:imagedata r:id="rId10" o:title=""/>
          </v:shape>
          <o:OLEObject Type="Embed" ProgID="Equation.3" ShapeID="_x0000_i1034" DrawAspect="Content" ObjectID="_1551881405" r:id="rId11"/>
        </w:object>
      </w:r>
      <w:r w:rsidRPr="00E40743">
        <w:rPr>
          <w:lang w:eastAsia="zh-CN"/>
        </w:rPr>
        <w:tab/>
      </w:r>
      <w:r>
        <w:rPr>
          <w:lang w:eastAsia="zh-CN"/>
        </w:rPr>
        <w:tab/>
      </w:r>
      <w:r w:rsidRPr="008F1CBB">
        <w:rPr>
          <w:position w:val="-30"/>
          <w:lang w:eastAsia="zh-CN"/>
        </w:rPr>
        <w:object w:dxaOrig="6060" w:dyaOrig="700">
          <v:shape id="_x0000_i1035" type="#_x0000_t75" style="width:302.4pt;height:35.05pt" o:ole="">
            <v:imagedata r:id="rId12" o:title=""/>
          </v:shape>
          <o:OLEObject Type="Embed" ProgID="Equation.3" ShapeID="_x0000_i1035" DrawAspect="Content" ObjectID="_1551881406" r:id="rId13"/>
        </w:object>
      </w:r>
      <w:r w:rsidRPr="00E40743">
        <w:rPr>
          <w:lang w:eastAsia="zh-CN"/>
        </w:rPr>
        <w:tab/>
      </w:r>
    </w:p>
    <w:p w:rsidR="000649F8" w:rsidRPr="00BA4D86" w:rsidRDefault="00651548" w:rsidP="00BA4D86">
      <w:pPr>
        <w:jc w:val="both"/>
        <w:rPr>
          <w:rFonts w:ascii="Times New Roman" w:hAnsi="Times New Roman" w:cs="Times New Roman"/>
          <w:sz w:val="20"/>
          <w:szCs w:val="20"/>
        </w:rPr>
      </w:pPr>
      <w:r>
        <w:rPr>
          <w:rFonts w:ascii="Times New Roman" w:hAnsi="Times New Roman" w:cs="Times New Roman"/>
          <w:sz w:val="20"/>
          <w:szCs w:val="20"/>
        </w:rPr>
        <w:t xml:space="preserve">For example, </w:t>
      </w:r>
      <w:r w:rsidR="000649F8" w:rsidRPr="00BA4D86">
        <w:rPr>
          <w:rFonts w:ascii="Times New Roman" w:hAnsi="Times New Roman" w:cs="Times New Roman"/>
          <w:position w:val="-14"/>
          <w:sz w:val="20"/>
          <w:szCs w:val="20"/>
        </w:rPr>
        <w:object w:dxaOrig="620" w:dyaOrig="380">
          <v:shape id="_x0000_i1026" type="#_x0000_t75" style="width:30.7pt;height:18.8pt" o:ole="">
            <v:imagedata r:id="rId14" o:title=""/>
          </v:shape>
          <o:OLEObject Type="Embed" ProgID="Equation.3" ShapeID="_x0000_i1026" DrawAspect="Content" ObjectID="_1551881407" r:id="rId15"/>
        </w:object>
      </w:r>
      <w:r w:rsidR="000649F8" w:rsidRPr="00BA4D86">
        <w:rPr>
          <w:rFonts w:ascii="Times New Roman" w:hAnsi="Times New Roman" w:cs="Times New Roman"/>
          <w:sz w:val="20"/>
          <w:szCs w:val="20"/>
        </w:rPr>
        <w:t xml:space="preserve"> is the cluster specific reflection surface angle, which depends on location. Because the sine function is multiplied with coefficient </w:t>
      </w:r>
      <m:oMath>
        <m:r>
          <w:rPr>
            <w:rFonts w:ascii="Cambria Math" w:hAnsi="Cambria Math" w:cs="Times New Roman"/>
            <w:sz w:val="20"/>
            <w:szCs w:val="20"/>
          </w:rPr>
          <m:t>vt</m:t>
        </m:r>
      </m:oMath>
      <w:r w:rsidR="000649F8" w:rsidRPr="00BA4D86">
        <w:rPr>
          <w:rFonts w:ascii="Times New Roman" w:hAnsi="Times New Roman" w:cs="Times New Roman"/>
          <w:sz w:val="20"/>
          <w:szCs w:val="20"/>
        </w:rPr>
        <w:t>, this equation creates periodic oscillations for the cluster angles, and the ampl</w:t>
      </w:r>
      <w:r w:rsidR="001D54E4" w:rsidRPr="00BA4D86">
        <w:rPr>
          <w:rFonts w:ascii="Times New Roman" w:hAnsi="Times New Roman" w:cs="Times New Roman"/>
          <w:sz w:val="20"/>
          <w:szCs w:val="20"/>
        </w:rPr>
        <w:t>itude of those oscillations</w:t>
      </w:r>
      <w:r w:rsidR="000649F8" w:rsidRPr="00BA4D86">
        <w:rPr>
          <w:rFonts w:ascii="Times New Roman" w:hAnsi="Times New Roman" w:cs="Times New Roman"/>
          <w:sz w:val="20"/>
          <w:szCs w:val="20"/>
        </w:rPr>
        <w:t xml:space="preserve"> increase</w:t>
      </w:r>
      <w:r w:rsidR="001D54E4" w:rsidRPr="00BA4D86">
        <w:rPr>
          <w:rFonts w:ascii="Times New Roman" w:hAnsi="Times New Roman" w:cs="Times New Roman"/>
          <w:sz w:val="20"/>
          <w:szCs w:val="20"/>
        </w:rPr>
        <w:t>s</w:t>
      </w:r>
      <w:r w:rsidR="000649F8" w:rsidRPr="00BA4D86">
        <w:rPr>
          <w:rFonts w:ascii="Times New Roman" w:hAnsi="Times New Roman" w:cs="Times New Roman"/>
          <w:sz w:val="20"/>
          <w:szCs w:val="20"/>
        </w:rPr>
        <w:t xml:space="preserve"> with time. The behavior is plo</w:t>
      </w:r>
      <w:r w:rsidR="00531097" w:rsidRPr="00BA4D86">
        <w:rPr>
          <w:rFonts w:ascii="Times New Roman" w:hAnsi="Times New Roman" w:cs="Times New Roman"/>
          <w:sz w:val="20"/>
          <w:szCs w:val="20"/>
        </w:rPr>
        <w:t>tted in Figure 1</w:t>
      </w:r>
      <w:r w:rsidR="000649F8" w:rsidRPr="00BA4D86">
        <w:rPr>
          <w:rFonts w:ascii="Times New Roman" w:hAnsi="Times New Roman" w:cs="Times New Roman"/>
          <w:sz w:val="20"/>
          <w:szCs w:val="20"/>
        </w:rPr>
        <w:t>.</w:t>
      </w:r>
    </w:p>
    <w:p w:rsidR="00531097" w:rsidRDefault="00531097"/>
    <w:p w:rsidR="00531097" w:rsidRDefault="00FB1481" w:rsidP="00BA4D86">
      <w:pPr>
        <w:keepNext/>
        <w:jc w:val="center"/>
      </w:pPr>
      <w:r>
        <w:rPr>
          <w:noProof/>
          <w:lang w:val="en-GB" w:eastAsia="en-GB"/>
        </w:rPr>
        <w:lastRenderedPageBreak/>
        <w:drawing>
          <wp:inline distT="0" distB="0" distL="0" distR="0">
            <wp:extent cx="4221858" cy="317182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A1.jpg"/>
                    <pic:cNvPicPr/>
                  </pic:nvPicPr>
                  <pic:blipFill>
                    <a:blip r:embed="rId16">
                      <a:extLst>
                        <a:ext uri="{28A0092B-C50C-407E-A947-70E740481C1C}">
                          <a14:useLocalDpi xmlns:a14="http://schemas.microsoft.com/office/drawing/2010/main" val="0"/>
                        </a:ext>
                      </a:extLst>
                    </a:blip>
                    <a:stretch>
                      <a:fillRect/>
                    </a:stretch>
                  </pic:blipFill>
                  <pic:spPr>
                    <a:xfrm>
                      <a:off x="0" y="0"/>
                      <a:ext cx="4226980" cy="3175673"/>
                    </a:xfrm>
                    <a:prstGeom prst="rect">
                      <a:avLst/>
                    </a:prstGeom>
                  </pic:spPr>
                </pic:pic>
              </a:graphicData>
            </a:graphic>
          </wp:inline>
        </w:drawing>
      </w:r>
    </w:p>
    <w:p w:rsidR="00531097" w:rsidRPr="00531097" w:rsidRDefault="00531097" w:rsidP="00BA4D86">
      <w:pPr>
        <w:pStyle w:val="Caption"/>
        <w:jc w:val="center"/>
        <w:rPr>
          <w:b/>
          <w:i w:val="0"/>
          <w:sz w:val="20"/>
          <w:szCs w:val="20"/>
        </w:rPr>
      </w:pPr>
      <w:r w:rsidRPr="00531097">
        <w:rPr>
          <w:b/>
          <w:i w:val="0"/>
          <w:sz w:val="20"/>
          <w:szCs w:val="20"/>
        </w:rPr>
        <w:t xml:space="preserve">Figure </w:t>
      </w:r>
      <w:r w:rsidRPr="00531097">
        <w:rPr>
          <w:b/>
          <w:i w:val="0"/>
          <w:sz w:val="20"/>
          <w:szCs w:val="20"/>
        </w:rPr>
        <w:fldChar w:fldCharType="begin"/>
      </w:r>
      <w:r w:rsidRPr="00531097">
        <w:rPr>
          <w:b/>
          <w:i w:val="0"/>
          <w:sz w:val="20"/>
          <w:szCs w:val="20"/>
        </w:rPr>
        <w:instrText xml:space="preserve"> SEQ Figure \* ARABIC </w:instrText>
      </w:r>
      <w:r w:rsidRPr="00531097">
        <w:rPr>
          <w:b/>
          <w:i w:val="0"/>
          <w:sz w:val="20"/>
          <w:szCs w:val="20"/>
        </w:rPr>
        <w:fldChar w:fldCharType="separate"/>
      </w:r>
      <w:r w:rsidRPr="00531097">
        <w:rPr>
          <w:b/>
          <w:i w:val="0"/>
          <w:noProof/>
          <w:sz w:val="20"/>
          <w:szCs w:val="20"/>
        </w:rPr>
        <w:t>1</w:t>
      </w:r>
      <w:r w:rsidRPr="00531097">
        <w:rPr>
          <w:b/>
          <w:i w:val="0"/>
          <w:sz w:val="20"/>
          <w:szCs w:val="20"/>
        </w:rPr>
        <w:fldChar w:fldCharType="end"/>
      </w:r>
      <w:r>
        <w:rPr>
          <w:b/>
          <w:i w:val="0"/>
          <w:sz w:val="20"/>
          <w:szCs w:val="20"/>
        </w:rPr>
        <w:t xml:space="preserve"> </w:t>
      </w:r>
      <w:r w:rsidR="00C948F5">
        <w:rPr>
          <w:b/>
          <w:i w:val="0"/>
          <w:sz w:val="20"/>
          <w:szCs w:val="20"/>
        </w:rPr>
        <w:t>Example of how the clusters’ angles vary as a function of the travelled distance.</w:t>
      </w:r>
    </w:p>
    <w:p w:rsidR="000649F8" w:rsidRDefault="000649F8"/>
    <w:p w:rsidR="00A7320D" w:rsidRPr="00651548" w:rsidRDefault="00FB1481" w:rsidP="00651548">
      <w:pPr>
        <w:jc w:val="both"/>
        <w:rPr>
          <w:rFonts w:ascii="Times New Roman" w:hAnsi="Times New Roman" w:cs="Times New Roman"/>
          <w:sz w:val="20"/>
          <w:szCs w:val="20"/>
        </w:rPr>
      </w:pPr>
      <w:r w:rsidRPr="00651548">
        <w:rPr>
          <w:rFonts w:ascii="Times New Roman" w:hAnsi="Times New Roman" w:cs="Times New Roman"/>
          <w:sz w:val="20"/>
          <w:szCs w:val="20"/>
        </w:rPr>
        <w:t>As seen</w:t>
      </w:r>
      <w:r w:rsidR="00651548">
        <w:rPr>
          <w:rFonts w:ascii="Times New Roman" w:hAnsi="Times New Roman" w:cs="Times New Roman"/>
          <w:sz w:val="20"/>
          <w:szCs w:val="20"/>
        </w:rPr>
        <w:t xml:space="preserve"> above</w:t>
      </w:r>
      <w:r w:rsidRPr="00651548">
        <w:rPr>
          <w:rFonts w:ascii="Times New Roman" w:hAnsi="Times New Roman" w:cs="Times New Roman"/>
          <w:sz w:val="20"/>
          <w:szCs w:val="20"/>
        </w:rPr>
        <w:t xml:space="preserve">, the angles </w:t>
      </w:r>
      <w:r w:rsidR="006D3CD7" w:rsidRPr="00651548">
        <w:rPr>
          <w:rFonts w:ascii="Times New Roman" w:hAnsi="Times New Roman" w:cs="Times New Roman"/>
          <w:sz w:val="20"/>
          <w:szCs w:val="20"/>
        </w:rPr>
        <w:t xml:space="preserve">of the clusters start to vary more and more rapidly when the distance increases. </w:t>
      </w:r>
      <w:r w:rsidR="001D54E4" w:rsidRPr="00651548">
        <w:rPr>
          <w:rFonts w:ascii="Times New Roman" w:hAnsi="Times New Roman" w:cs="Times New Roman"/>
          <w:sz w:val="20"/>
          <w:szCs w:val="20"/>
        </w:rPr>
        <w:t>This is also obvious when looking at the above equation. From Figure 1 it looks like</w:t>
      </w:r>
      <w:r w:rsidR="006D3CD7" w:rsidRPr="00651548">
        <w:rPr>
          <w:rFonts w:ascii="Times New Roman" w:hAnsi="Times New Roman" w:cs="Times New Roman"/>
          <w:sz w:val="20"/>
          <w:szCs w:val="20"/>
        </w:rPr>
        <w:t xml:space="preserve"> the model could still be used for</w:t>
      </w:r>
      <w:r w:rsidR="00651548">
        <w:rPr>
          <w:rFonts w:ascii="Times New Roman" w:hAnsi="Times New Roman" w:cs="Times New Roman"/>
          <w:sz w:val="20"/>
          <w:szCs w:val="20"/>
        </w:rPr>
        <w:t xml:space="preserve"> the distances of a few meters, however it does not hold for longer distances which may be considered in mobility simulations, for example in high speed train scenarios, etc.</w:t>
      </w:r>
    </w:p>
    <w:p w:rsidR="00651548" w:rsidRDefault="000649F8" w:rsidP="00651548">
      <w:pPr>
        <w:jc w:val="both"/>
        <w:rPr>
          <w:rFonts w:ascii="Times New Roman" w:hAnsi="Times New Roman" w:cs="Times New Roman"/>
          <w:sz w:val="20"/>
          <w:szCs w:val="20"/>
        </w:rPr>
      </w:pPr>
      <w:r w:rsidRPr="00651548">
        <w:rPr>
          <w:rFonts w:ascii="Times New Roman" w:hAnsi="Times New Roman" w:cs="Times New Roman"/>
          <w:sz w:val="20"/>
          <w:szCs w:val="20"/>
        </w:rPr>
        <w:t xml:space="preserve">Similar behavior was also seen in </w:t>
      </w:r>
      <w:r w:rsidRPr="00651548">
        <w:rPr>
          <w:rFonts w:ascii="Times New Roman" w:hAnsi="Times New Roman" w:cs="Times New Roman"/>
          <w:sz w:val="20"/>
          <w:szCs w:val="20"/>
        </w:rPr>
        <w:fldChar w:fldCharType="begin"/>
      </w:r>
      <w:r w:rsidRPr="00651548">
        <w:rPr>
          <w:rFonts w:ascii="Times New Roman" w:hAnsi="Times New Roman" w:cs="Times New Roman"/>
          <w:sz w:val="20"/>
          <w:szCs w:val="20"/>
        </w:rPr>
        <w:instrText xml:space="preserve"> REF _Ref478105726 \n \h </w:instrText>
      </w:r>
      <w:r w:rsidRPr="00651548">
        <w:rPr>
          <w:rFonts w:ascii="Times New Roman" w:hAnsi="Times New Roman" w:cs="Times New Roman"/>
          <w:sz w:val="20"/>
          <w:szCs w:val="20"/>
        </w:rPr>
      </w:r>
      <w:r w:rsidR="00651548" w:rsidRPr="00651548">
        <w:rPr>
          <w:rFonts w:ascii="Times New Roman" w:hAnsi="Times New Roman" w:cs="Times New Roman"/>
          <w:sz w:val="20"/>
          <w:szCs w:val="20"/>
        </w:rPr>
        <w:instrText xml:space="preserve"> \* MERGEFORMAT </w:instrText>
      </w:r>
      <w:r w:rsidRPr="00651548">
        <w:rPr>
          <w:rFonts w:ascii="Times New Roman" w:hAnsi="Times New Roman" w:cs="Times New Roman"/>
          <w:sz w:val="20"/>
          <w:szCs w:val="20"/>
        </w:rPr>
        <w:fldChar w:fldCharType="separate"/>
      </w:r>
      <w:r w:rsidRPr="00651548">
        <w:rPr>
          <w:rFonts w:ascii="Times New Roman" w:hAnsi="Times New Roman" w:cs="Times New Roman"/>
          <w:sz w:val="20"/>
          <w:szCs w:val="20"/>
        </w:rPr>
        <w:t>[2]</w:t>
      </w:r>
      <w:r w:rsidRPr="00651548">
        <w:rPr>
          <w:rFonts w:ascii="Times New Roman" w:hAnsi="Times New Roman" w:cs="Times New Roman"/>
          <w:sz w:val="20"/>
          <w:szCs w:val="20"/>
        </w:rPr>
        <w:fldChar w:fldCharType="end"/>
      </w:r>
      <w:r w:rsidRPr="00651548">
        <w:rPr>
          <w:rFonts w:ascii="Times New Roman" w:hAnsi="Times New Roman" w:cs="Times New Roman"/>
          <w:sz w:val="20"/>
          <w:szCs w:val="20"/>
        </w:rPr>
        <w:t xml:space="preserve">. It was proposed in </w:t>
      </w:r>
      <w:r w:rsidRPr="00651548">
        <w:rPr>
          <w:rFonts w:ascii="Times New Roman" w:hAnsi="Times New Roman" w:cs="Times New Roman"/>
          <w:sz w:val="20"/>
          <w:szCs w:val="20"/>
        </w:rPr>
        <w:fldChar w:fldCharType="begin"/>
      </w:r>
      <w:r w:rsidRPr="00651548">
        <w:rPr>
          <w:rFonts w:ascii="Times New Roman" w:hAnsi="Times New Roman" w:cs="Times New Roman"/>
          <w:sz w:val="20"/>
          <w:szCs w:val="20"/>
        </w:rPr>
        <w:instrText xml:space="preserve"> REF _Ref478107137 \n \h </w:instrText>
      </w:r>
      <w:r w:rsidRPr="00651548">
        <w:rPr>
          <w:rFonts w:ascii="Times New Roman" w:hAnsi="Times New Roman" w:cs="Times New Roman"/>
          <w:sz w:val="20"/>
          <w:szCs w:val="20"/>
        </w:rPr>
      </w:r>
      <w:r w:rsidR="00651548" w:rsidRPr="00651548">
        <w:rPr>
          <w:rFonts w:ascii="Times New Roman" w:hAnsi="Times New Roman" w:cs="Times New Roman"/>
          <w:sz w:val="20"/>
          <w:szCs w:val="20"/>
        </w:rPr>
        <w:instrText xml:space="preserve"> \* MERGEFORMAT </w:instrText>
      </w:r>
      <w:r w:rsidRPr="00651548">
        <w:rPr>
          <w:rFonts w:ascii="Times New Roman" w:hAnsi="Times New Roman" w:cs="Times New Roman"/>
          <w:sz w:val="20"/>
          <w:szCs w:val="20"/>
        </w:rPr>
        <w:fldChar w:fldCharType="separate"/>
      </w:r>
      <w:r w:rsidRPr="00651548">
        <w:rPr>
          <w:rFonts w:ascii="Times New Roman" w:hAnsi="Times New Roman" w:cs="Times New Roman"/>
          <w:sz w:val="20"/>
          <w:szCs w:val="20"/>
        </w:rPr>
        <w:t>[4]</w:t>
      </w:r>
      <w:r w:rsidRPr="00651548">
        <w:rPr>
          <w:rFonts w:ascii="Times New Roman" w:hAnsi="Times New Roman" w:cs="Times New Roman"/>
          <w:sz w:val="20"/>
          <w:szCs w:val="20"/>
        </w:rPr>
        <w:fldChar w:fldCharType="end"/>
      </w:r>
      <w:r w:rsidRPr="00651548">
        <w:rPr>
          <w:rFonts w:ascii="Times New Roman" w:hAnsi="Times New Roman" w:cs="Times New Roman"/>
          <w:sz w:val="20"/>
          <w:szCs w:val="20"/>
        </w:rPr>
        <w:t xml:space="preserve"> to limit the use of spatial consistency procedure A to distances of only 1m. However, for such small distances no real movement of the clusters is even needed, but clusters could have static angles </w:t>
      </w:r>
      <w:r w:rsidR="003A258D" w:rsidRPr="00651548">
        <w:rPr>
          <w:rFonts w:ascii="Times New Roman" w:hAnsi="Times New Roman" w:cs="Times New Roman"/>
          <w:sz w:val="20"/>
          <w:szCs w:val="20"/>
        </w:rPr>
        <w:t xml:space="preserve">and delays </w:t>
      </w:r>
      <w:r w:rsidRPr="00651548">
        <w:rPr>
          <w:rFonts w:ascii="Times New Roman" w:hAnsi="Times New Roman" w:cs="Times New Roman"/>
          <w:sz w:val="20"/>
          <w:szCs w:val="20"/>
        </w:rPr>
        <w:t xml:space="preserve">as well. </w:t>
      </w:r>
    </w:p>
    <w:p w:rsidR="00651548" w:rsidRDefault="000649F8" w:rsidP="00651548">
      <w:pPr>
        <w:jc w:val="both"/>
        <w:rPr>
          <w:rFonts w:ascii="Times New Roman" w:hAnsi="Times New Roman" w:cs="Times New Roman"/>
          <w:sz w:val="20"/>
          <w:szCs w:val="20"/>
        </w:rPr>
      </w:pPr>
      <w:r w:rsidRPr="00651548">
        <w:rPr>
          <w:rFonts w:ascii="Times New Roman" w:hAnsi="Times New Roman" w:cs="Times New Roman"/>
          <w:sz w:val="20"/>
          <w:szCs w:val="20"/>
        </w:rPr>
        <w:t>On the other hand, spatial consistency procedure B seems to be working well</w:t>
      </w:r>
      <w:r w:rsidR="005B40C1" w:rsidRPr="00651548">
        <w:rPr>
          <w:rFonts w:ascii="Times New Roman" w:hAnsi="Times New Roman" w:cs="Times New Roman"/>
          <w:sz w:val="20"/>
          <w:szCs w:val="20"/>
        </w:rPr>
        <w:t xml:space="preserve"> also in dynamic simulations. </w:t>
      </w:r>
      <w:r w:rsidR="00651548" w:rsidRPr="00651548">
        <w:rPr>
          <w:rFonts w:ascii="Times New Roman" w:hAnsi="Times New Roman" w:cs="Times New Roman"/>
          <w:sz w:val="20"/>
          <w:szCs w:val="20"/>
        </w:rPr>
        <w:t>In procedure B, spatial or time evolution of the channel is obtained by generating channel realizations separately for all links to different Rx positions</w:t>
      </w:r>
      <w:r w:rsidR="00651548">
        <w:rPr>
          <w:rFonts w:ascii="Times New Roman" w:hAnsi="Times New Roman" w:cs="Times New Roman"/>
          <w:sz w:val="20"/>
          <w:szCs w:val="20"/>
        </w:rPr>
        <w:t xml:space="preserve">. </w:t>
      </w:r>
      <w:r w:rsidR="00651548" w:rsidRPr="00651548">
        <w:rPr>
          <w:rFonts w:ascii="Times New Roman" w:hAnsi="Times New Roman" w:cs="Times New Roman"/>
          <w:sz w:val="20"/>
          <w:szCs w:val="20"/>
        </w:rPr>
        <w:t xml:space="preserve">In the case of mobility these positions may be a function of time along one or more Rx trajectories. </w:t>
      </w:r>
    </w:p>
    <w:p w:rsidR="00651548" w:rsidRPr="00651548" w:rsidRDefault="00651548" w:rsidP="00651548">
      <w:pPr>
        <w:jc w:val="both"/>
        <w:rPr>
          <w:rFonts w:ascii="Times New Roman" w:hAnsi="Times New Roman" w:cs="Times New Roman"/>
          <w:b/>
          <w:i/>
          <w:sz w:val="20"/>
          <w:szCs w:val="20"/>
        </w:rPr>
      </w:pPr>
      <w:r w:rsidRPr="00651548">
        <w:rPr>
          <w:rFonts w:ascii="Times New Roman" w:hAnsi="Times New Roman" w:cs="Times New Roman"/>
          <w:b/>
          <w:i/>
          <w:sz w:val="20"/>
          <w:szCs w:val="20"/>
        </w:rPr>
        <w:t>Observati</w:t>
      </w:r>
      <w:r>
        <w:rPr>
          <w:rFonts w:ascii="Times New Roman" w:hAnsi="Times New Roman" w:cs="Times New Roman"/>
          <w:b/>
          <w:i/>
          <w:sz w:val="20"/>
          <w:szCs w:val="20"/>
        </w:rPr>
        <w:t>on</w:t>
      </w:r>
      <w:r w:rsidRPr="00651548">
        <w:rPr>
          <w:rFonts w:ascii="Times New Roman" w:hAnsi="Times New Roman" w:cs="Times New Roman"/>
          <w:b/>
          <w:i/>
          <w:sz w:val="20"/>
          <w:szCs w:val="20"/>
        </w:rPr>
        <w:t>: Spatial consistency procedure A suffers from modeling inconsistencies which makes the model unusable for mobility simulations targeting longer travel distance for the mobiles.</w:t>
      </w:r>
    </w:p>
    <w:p w:rsidR="00651548" w:rsidRDefault="00651548" w:rsidP="00651548">
      <w:pPr>
        <w:pStyle w:val="Heading1"/>
      </w:pPr>
      <w:r>
        <w:t xml:space="preserve">Phase 3 NR MIMO </w:t>
      </w:r>
      <w:r w:rsidR="00DE4E81">
        <w:t>calibration</w:t>
      </w:r>
    </w:p>
    <w:p w:rsidR="00252FFB" w:rsidRDefault="00651548" w:rsidP="00651548">
      <w:pPr>
        <w:jc w:val="both"/>
        <w:rPr>
          <w:rFonts w:ascii="Times New Roman" w:hAnsi="Times New Roman" w:cs="Times New Roman"/>
          <w:sz w:val="20"/>
          <w:szCs w:val="20"/>
        </w:rPr>
      </w:pPr>
      <w:r>
        <w:rPr>
          <w:rFonts w:ascii="Times New Roman" w:hAnsi="Times New Roman" w:cs="Times New Roman"/>
          <w:sz w:val="20"/>
          <w:szCs w:val="20"/>
        </w:rPr>
        <w:t xml:space="preserve">Phase 3 NR MIMO calibration is the final critical stage of the NR calibration process as it brings together the </w:t>
      </w:r>
      <w:proofErr w:type="spellStart"/>
      <w:r>
        <w:rPr>
          <w:rFonts w:ascii="Times New Roman" w:hAnsi="Times New Roman" w:cs="Times New Roman"/>
          <w:sz w:val="20"/>
          <w:szCs w:val="20"/>
        </w:rPr>
        <w:t>previosu</w:t>
      </w:r>
      <w:proofErr w:type="spellEnd"/>
      <w:r>
        <w:rPr>
          <w:rFonts w:ascii="Times New Roman" w:hAnsi="Times New Roman" w:cs="Times New Roman"/>
          <w:sz w:val="20"/>
          <w:szCs w:val="20"/>
        </w:rPr>
        <w:t xml:space="preserve"> calibrated steps, allowing the investigation of spectral efficiency in environments exhibiting UE mobility, UE rotation and beam blockage. Having accurate modeling is not only important for the calibration stage, but also ensures correctness of future NR developments and discussions. </w:t>
      </w:r>
    </w:p>
    <w:p w:rsidR="00651548" w:rsidRDefault="00651548" w:rsidP="00651548">
      <w:pPr>
        <w:jc w:val="both"/>
        <w:rPr>
          <w:rFonts w:ascii="Times New Roman" w:hAnsi="Times New Roman" w:cs="Times New Roman"/>
          <w:sz w:val="20"/>
          <w:szCs w:val="20"/>
        </w:rPr>
      </w:pPr>
      <w:r>
        <w:rPr>
          <w:rFonts w:ascii="Times New Roman" w:hAnsi="Times New Roman" w:cs="Times New Roman"/>
          <w:sz w:val="20"/>
          <w:szCs w:val="20"/>
        </w:rPr>
        <w:t>The current evaluation assumptions for UE movement is considering the utilization of spa</w:t>
      </w:r>
      <w:r w:rsidR="00A01203">
        <w:rPr>
          <w:rFonts w:ascii="Times New Roman" w:hAnsi="Times New Roman" w:cs="Times New Roman"/>
          <w:sz w:val="20"/>
          <w:szCs w:val="20"/>
        </w:rPr>
        <w:t>tial consistency model A. As discussed above, considering model A is not a wise choice due to the very limited applicability of the model. As more accurate models are existing, like spatial consistency model B, we propose to chance the assumptions for spatial consistency to follow model B from the channel model TR.</w:t>
      </w:r>
    </w:p>
    <w:p w:rsidR="00A01203" w:rsidRPr="00A01203" w:rsidRDefault="00A01203" w:rsidP="00651548">
      <w:pPr>
        <w:jc w:val="both"/>
        <w:rPr>
          <w:rFonts w:ascii="Times New Roman" w:hAnsi="Times New Roman" w:cs="Times New Roman"/>
          <w:b/>
          <w:i/>
          <w:sz w:val="20"/>
          <w:szCs w:val="20"/>
        </w:rPr>
      </w:pPr>
      <w:r w:rsidRPr="00A01203">
        <w:rPr>
          <w:rFonts w:ascii="Times New Roman" w:hAnsi="Times New Roman" w:cs="Times New Roman"/>
          <w:b/>
          <w:i/>
          <w:sz w:val="20"/>
          <w:szCs w:val="20"/>
        </w:rPr>
        <w:t>Proposal: Use spatial consistency procedure B for the UE movement calibration in NR MIMO phase 3.</w:t>
      </w:r>
    </w:p>
    <w:p w:rsidR="0022695C" w:rsidRDefault="0022695C" w:rsidP="0022695C">
      <w:pPr>
        <w:pStyle w:val="Heading1"/>
      </w:pPr>
      <w:r>
        <w:lastRenderedPageBreak/>
        <w:t>Conclusion</w:t>
      </w:r>
      <w:bookmarkStart w:id="2" w:name="_GoBack"/>
      <w:bookmarkEnd w:id="2"/>
    </w:p>
    <w:p w:rsidR="00247ACE" w:rsidRPr="00A01203" w:rsidRDefault="00A01203" w:rsidP="00247ACE">
      <w:pPr>
        <w:rPr>
          <w:rFonts w:ascii="Times New Roman" w:hAnsi="Times New Roman" w:cs="Times New Roman"/>
          <w:sz w:val="20"/>
          <w:lang w:val="en-GB" w:eastAsia="zh-CN"/>
        </w:rPr>
      </w:pPr>
      <w:r>
        <w:rPr>
          <w:rFonts w:ascii="Times New Roman" w:hAnsi="Times New Roman" w:cs="Times New Roman"/>
          <w:sz w:val="20"/>
          <w:lang w:val="en-GB" w:eastAsia="zh-CN"/>
        </w:rPr>
        <w:t xml:space="preserve">In this contribution we highlight the limitations of spatial consistency model A and we have the following proposal: </w:t>
      </w:r>
    </w:p>
    <w:p w:rsidR="00A01203" w:rsidRPr="00A01203" w:rsidRDefault="00A01203" w:rsidP="00A01203">
      <w:pPr>
        <w:jc w:val="both"/>
        <w:rPr>
          <w:rFonts w:ascii="Times New Roman" w:hAnsi="Times New Roman" w:cs="Times New Roman"/>
          <w:b/>
          <w:i/>
          <w:sz w:val="20"/>
          <w:szCs w:val="20"/>
        </w:rPr>
      </w:pPr>
      <w:r w:rsidRPr="00A01203">
        <w:rPr>
          <w:rFonts w:ascii="Times New Roman" w:hAnsi="Times New Roman" w:cs="Times New Roman"/>
          <w:b/>
          <w:i/>
          <w:sz w:val="20"/>
          <w:szCs w:val="20"/>
        </w:rPr>
        <w:t>Proposal: Use spatial consistency procedure B for the UE movement calibration in NR MIMO phase 3.</w:t>
      </w:r>
    </w:p>
    <w:p w:rsidR="00993605" w:rsidRPr="00A01203" w:rsidRDefault="00993605" w:rsidP="00247ACE">
      <w:pPr>
        <w:rPr>
          <w:lang w:eastAsia="zh-CN"/>
        </w:rPr>
      </w:pPr>
    </w:p>
    <w:p w:rsidR="00247ACE" w:rsidRDefault="00247ACE" w:rsidP="00247ACE">
      <w:pPr>
        <w:pStyle w:val="Heading1"/>
      </w:pPr>
      <w:r>
        <w:t>References</w:t>
      </w:r>
    </w:p>
    <w:p w:rsidR="00DF3FBB" w:rsidRDefault="00DF3FBB" w:rsidP="00DF3FBB">
      <w:pPr>
        <w:pStyle w:val="Reference"/>
      </w:pPr>
      <w:bookmarkStart w:id="3" w:name="_Ref478105696"/>
      <w:bookmarkStart w:id="4" w:name="_Ref471730474"/>
      <w:bookmarkStart w:id="5" w:name="_Ref471730645"/>
      <w:r>
        <w:t>3GPP TR 38.901 V14.0</w:t>
      </w:r>
      <w:r w:rsidRPr="00DF3FBB">
        <w:t>.0, Study on channel model for frequencies from 0.5 to 100 GHz (Release 14)</w:t>
      </w:r>
      <w:bookmarkEnd w:id="3"/>
    </w:p>
    <w:p w:rsidR="00247ACE" w:rsidRDefault="00247ACE" w:rsidP="00FB625E">
      <w:pPr>
        <w:pStyle w:val="Reference"/>
      </w:pPr>
      <w:bookmarkStart w:id="6" w:name="_Ref478105726"/>
      <w:r w:rsidRPr="00B27A83">
        <w:t>R1-170</w:t>
      </w:r>
      <w:bookmarkEnd w:id="4"/>
      <w:r w:rsidR="00FB625E">
        <w:t>2699</w:t>
      </w:r>
      <w:r>
        <w:t>, “</w:t>
      </w:r>
      <w:r w:rsidR="00FB625E" w:rsidRPr="00FB625E">
        <w:rPr>
          <w:noProof/>
        </w:rPr>
        <w:t>Investigation of mobility model A</w:t>
      </w:r>
      <w:r>
        <w:t>”, Ericsson, Athens</w:t>
      </w:r>
      <w:r w:rsidRPr="008D74B5">
        <w:t xml:space="preserve">, </w:t>
      </w:r>
      <w:r>
        <w:t>Greece</w:t>
      </w:r>
      <w:r w:rsidRPr="008D74B5">
        <w:t xml:space="preserve">, </w:t>
      </w:r>
      <w:r>
        <w:t>February</w:t>
      </w:r>
      <w:r w:rsidRPr="008D74B5">
        <w:t>, 2017</w:t>
      </w:r>
      <w:r>
        <w:t>.</w:t>
      </w:r>
      <w:bookmarkEnd w:id="5"/>
      <w:bookmarkEnd w:id="6"/>
    </w:p>
    <w:p w:rsidR="00DC6473" w:rsidRDefault="001F68D1" w:rsidP="00FB625E">
      <w:pPr>
        <w:pStyle w:val="Reference"/>
      </w:pPr>
      <w:bookmarkStart w:id="7" w:name="_Ref478105883"/>
      <w:r>
        <w:t>Chairman’s notes RAN1#88 Athens, Greece, February, 2017.</w:t>
      </w:r>
      <w:bookmarkEnd w:id="7"/>
    </w:p>
    <w:p w:rsidR="000649F8" w:rsidRDefault="000649F8" w:rsidP="000649F8">
      <w:pPr>
        <w:pStyle w:val="Reference"/>
      </w:pPr>
      <w:bookmarkStart w:id="8" w:name="_Ref478107137"/>
      <w:r w:rsidRPr="000649F8">
        <w:t>R1-1702700, “Correction for mobility model A”, Ericsson, Athens, Greece, February, 2017.</w:t>
      </w:r>
      <w:bookmarkEnd w:id="8"/>
    </w:p>
    <w:p w:rsidR="0035236C" w:rsidRPr="000649F8" w:rsidRDefault="0035236C" w:rsidP="0035236C">
      <w:pPr>
        <w:pStyle w:val="Reference"/>
      </w:pPr>
      <w:bookmarkStart w:id="9" w:name="_Ref478109998"/>
      <w:r w:rsidRPr="0035236C">
        <w:t>R1-1701828</w:t>
      </w:r>
      <w:r>
        <w:t>, “</w:t>
      </w:r>
      <w:r w:rsidRPr="0035236C">
        <w:t>Evaluation assumptions for Phase 3 NR MIMO system level calibration</w:t>
      </w:r>
      <w:r>
        <w:t xml:space="preserve">”, </w:t>
      </w:r>
      <w:r w:rsidRPr="0035236C">
        <w:t>ZTE, ZTE Microelectronics</w:t>
      </w:r>
      <w:r>
        <w:t xml:space="preserve">, </w:t>
      </w:r>
      <w:r w:rsidRPr="0035236C">
        <w:t>Athens, Greece, February, 2017.</w:t>
      </w:r>
      <w:bookmarkEnd w:id="9"/>
    </w:p>
    <w:p w:rsidR="000649F8" w:rsidRPr="00CE0424" w:rsidRDefault="000649F8" w:rsidP="00EA7EB4">
      <w:pPr>
        <w:pStyle w:val="Reference"/>
        <w:numPr>
          <w:ilvl w:val="0"/>
          <w:numId w:val="0"/>
        </w:numPr>
      </w:pPr>
    </w:p>
    <w:p w:rsidR="00247ACE" w:rsidRPr="00247ACE" w:rsidRDefault="00247ACE" w:rsidP="00247ACE">
      <w:pPr>
        <w:rPr>
          <w:lang w:val="en-GB" w:eastAsia="zh-CN"/>
        </w:rPr>
      </w:pPr>
    </w:p>
    <w:sectPr w:rsidR="00247ACE" w:rsidRPr="00247ACE">
      <w:pgSz w:w="12240" w:h="15840"/>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33E"/>
    <w:rsid w:val="0001427F"/>
    <w:rsid w:val="00044730"/>
    <w:rsid w:val="000649F8"/>
    <w:rsid w:val="001024BD"/>
    <w:rsid w:val="00134671"/>
    <w:rsid w:val="00175C0D"/>
    <w:rsid w:val="001B134E"/>
    <w:rsid w:val="001D54E4"/>
    <w:rsid w:val="001F68D1"/>
    <w:rsid w:val="0022695C"/>
    <w:rsid w:val="00247ACE"/>
    <w:rsid w:val="00252FFB"/>
    <w:rsid w:val="00253CFA"/>
    <w:rsid w:val="002D16B0"/>
    <w:rsid w:val="0035236C"/>
    <w:rsid w:val="003A258D"/>
    <w:rsid w:val="003B3D67"/>
    <w:rsid w:val="003E3740"/>
    <w:rsid w:val="00411AE2"/>
    <w:rsid w:val="0052337C"/>
    <w:rsid w:val="00531097"/>
    <w:rsid w:val="00534424"/>
    <w:rsid w:val="005B40C1"/>
    <w:rsid w:val="00622CC9"/>
    <w:rsid w:val="00651548"/>
    <w:rsid w:val="006574B8"/>
    <w:rsid w:val="006D3CD7"/>
    <w:rsid w:val="00873608"/>
    <w:rsid w:val="00947960"/>
    <w:rsid w:val="00993605"/>
    <w:rsid w:val="009B7C2A"/>
    <w:rsid w:val="00A01203"/>
    <w:rsid w:val="00A62062"/>
    <w:rsid w:val="00A7320D"/>
    <w:rsid w:val="00AC2353"/>
    <w:rsid w:val="00AE05DE"/>
    <w:rsid w:val="00BA4D86"/>
    <w:rsid w:val="00C948F5"/>
    <w:rsid w:val="00CB7273"/>
    <w:rsid w:val="00CF1601"/>
    <w:rsid w:val="00D8538D"/>
    <w:rsid w:val="00DC533E"/>
    <w:rsid w:val="00DC6473"/>
    <w:rsid w:val="00DD1E11"/>
    <w:rsid w:val="00DE4E81"/>
    <w:rsid w:val="00DF3FBB"/>
    <w:rsid w:val="00E14ABA"/>
    <w:rsid w:val="00E43052"/>
    <w:rsid w:val="00E62987"/>
    <w:rsid w:val="00E94A66"/>
    <w:rsid w:val="00EA7EB4"/>
    <w:rsid w:val="00F4083A"/>
    <w:rsid w:val="00F565C0"/>
    <w:rsid w:val="00FB1481"/>
    <w:rsid w:val="00FB6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8A8D9"/>
  <w15:chartTrackingRefBased/>
  <w15:docId w15:val="{2C9E4396-0D70-4192-A0C2-5DE41DCBB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44730"/>
  </w:style>
  <w:style w:type="paragraph" w:styleId="Heading1">
    <w:name w:val="heading 1"/>
    <w:next w:val="Normal"/>
    <w:link w:val="Heading1Char"/>
    <w:qFormat/>
    <w:rsid w:val="00CB727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CB7273"/>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CB7273"/>
    <w:pPr>
      <w:numPr>
        <w:ilvl w:val="2"/>
      </w:numPr>
      <w:spacing w:before="120"/>
      <w:outlineLvl w:val="2"/>
    </w:pPr>
    <w:rPr>
      <w:sz w:val="24"/>
      <w:szCs w:val="28"/>
    </w:rPr>
  </w:style>
  <w:style w:type="paragraph" w:styleId="Heading4">
    <w:name w:val="heading 4"/>
    <w:basedOn w:val="Heading3"/>
    <w:next w:val="Normal"/>
    <w:link w:val="Heading4Char"/>
    <w:qFormat/>
    <w:rsid w:val="00CB7273"/>
    <w:pPr>
      <w:numPr>
        <w:ilvl w:val="3"/>
      </w:numPr>
      <w:outlineLvl w:val="3"/>
    </w:pPr>
    <w:rPr>
      <w:szCs w:val="24"/>
    </w:rPr>
  </w:style>
  <w:style w:type="paragraph" w:styleId="Heading5">
    <w:name w:val="heading 5"/>
    <w:basedOn w:val="Heading4"/>
    <w:next w:val="Normal"/>
    <w:link w:val="Heading5Char"/>
    <w:qFormat/>
    <w:rsid w:val="00CB7273"/>
    <w:pPr>
      <w:numPr>
        <w:ilvl w:val="4"/>
      </w:numPr>
      <w:outlineLvl w:val="4"/>
    </w:pPr>
    <w:rPr>
      <w:sz w:val="22"/>
      <w:szCs w:val="22"/>
    </w:rPr>
  </w:style>
  <w:style w:type="paragraph" w:styleId="Heading6">
    <w:name w:val="heading 6"/>
    <w:basedOn w:val="Normal"/>
    <w:next w:val="Normal"/>
    <w:link w:val="Heading6Char"/>
    <w:qFormat/>
    <w:rsid w:val="00CB727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Times New Roman" w:eastAsia="Times New Roman" w:hAnsi="Times New Roman" w:cs="Arial"/>
      <w:sz w:val="20"/>
      <w:szCs w:val="20"/>
      <w:lang w:val="en-GB" w:eastAsia="zh-CN"/>
    </w:rPr>
  </w:style>
  <w:style w:type="paragraph" w:styleId="Heading7">
    <w:name w:val="heading 7"/>
    <w:basedOn w:val="Normal"/>
    <w:next w:val="Normal"/>
    <w:link w:val="Heading7Char"/>
    <w:qFormat/>
    <w:rsid w:val="00CB727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Times New Roman" w:eastAsia="Times New Roman" w:hAnsi="Times New Roman" w:cs="Arial"/>
      <w:sz w:val="20"/>
      <w:szCs w:val="20"/>
      <w:lang w:val="en-GB" w:eastAsia="zh-CN"/>
    </w:rPr>
  </w:style>
  <w:style w:type="paragraph" w:styleId="Heading8">
    <w:name w:val="heading 8"/>
    <w:basedOn w:val="Heading7"/>
    <w:next w:val="Normal"/>
    <w:link w:val="Heading8Char"/>
    <w:qFormat/>
    <w:rsid w:val="00CB7273"/>
    <w:pPr>
      <w:numPr>
        <w:ilvl w:val="7"/>
      </w:numPr>
      <w:outlineLvl w:val="7"/>
    </w:pPr>
  </w:style>
  <w:style w:type="paragraph" w:styleId="Heading9">
    <w:name w:val="heading 9"/>
    <w:basedOn w:val="Heading8"/>
    <w:next w:val="Normal"/>
    <w:link w:val="Heading9Char"/>
    <w:qFormat/>
    <w:rsid w:val="00CB727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7273"/>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CB7273"/>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CB7273"/>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CB727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B7273"/>
    <w:rPr>
      <w:rFonts w:ascii="Arial" w:eastAsia="Times New Roman" w:hAnsi="Arial" w:cs="Arial"/>
      <w:lang w:val="en-GB" w:eastAsia="zh-CN"/>
    </w:rPr>
  </w:style>
  <w:style w:type="character" w:customStyle="1" w:styleId="Heading6Char">
    <w:name w:val="Heading 6 Char"/>
    <w:basedOn w:val="DefaultParagraphFont"/>
    <w:link w:val="Heading6"/>
    <w:rsid w:val="00CB7273"/>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CB7273"/>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CB7273"/>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CB7273"/>
    <w:rPr>
      <w:rFonts w:ascii="Times New Roman" w:eastAsia="Times New Roman" w:hAnsi="Times New Roman" w:cs="Arial"/>
      <w:sz w:val="20"/>
      <w:szCs w:val="20"/>
      <w:lang w:val="en-GB" w:eastAsia="zh-CN"/>
    </w:rPr>
  </w:style>
  <w:style w:type="paragraph" w:customStyle="1" w:styleId="3GPPHeader">
    <w:name w:val="3GPP_Header"/>
    <w:basedOn w:val="Normal"/>
    <w:qFormat/>
    <w:rsid w:val="00CB7273"/>
    <w:pPr>
      <w:tabs>
        <w:tab w:val="left" w:pos="1800"/>
        <w:tab w:val="right" w:pos="9360"/>
      </w:tabs>
      <w:overflowPunct w:val="0"/>
      <w:autoSpaceDE w:val="0"/>
      <w:autoSpaceDN w:val="0"/>
      <w:adjustRightInd w:val="0"/>
      <w:spacing w:after="0" w:line="240" w:lineRule="auto"/>
      <w:jc w:val="both"/>
      <w:textAlignment w:val="baseline"/>
    </w:pPr>
    <w:rPr>
      <w:rFonts w:ascii="Arial" w:eastAsia="Times New Roman" w:hAnsi="Arial" w:cs="Times New Roman"/>
      <w:b/>
      <w:sz w:val="20"/>
      <w:szCs w:val="20"/>
      <w:lang w:val="en-GB" w:eastAsia="zh-CN"/>
    </w:rPr>
  </w:style>
  <w:style w:type="paragraph" w:customStyle="1" w:styleId="Reference">
    <w:name w:val="Reference"/>
    <w:basedOn w:val="Normal"/>
    <w:qFormat/>
    <w:rsid w:val="00247ACE"/>
    <w:pPr>
      <w:numPr>
        <w:numId w:val="3"/>
      </w:num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947960"/>
    <w:rPr>
      <w:color w:val="808080"/>
    </w:rPr>
  </w:style>
  <w:style w:type="table" w:styleId="TableGrid">
    <w:name w:val="Table Grid"/>
    <w:basedOn w:val="TableNormal"/>
    <w:rsid w:val="005B40C1"/>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31097"/>
    <w:pPr>
      <w:spacing w:after="200" w:line="240" w:lineRule="auto"/>
    </w:pPr>
    <w:rPr>
      <w:i/>
      <w:iCs/>
      <w:color w:val="44546A" w:themeColor="text2"/>
      <w:sz w:val="18"/>
      <w:szCs w:val="18"/>
    </w:rPr>
  </w:style>
  <w:style w:type="paragraph" w:customStyle="1" w:styleId="EQ">
    <w:name w:val="EQ"/>
    <w:basedOn w:val="Normal"/>
    <w:next w:val="Normal"/>
    <w:qFormat/>
    <w:rsid w:val="00AC2353"/>
    <w:pPr>
      <w:keepLines/>
      <w:tabs>
        <w:tab w:val="center" w:pos="4536"/>
        <w:tab w:val="right" w:pos="9639"/>
      </w:tabs>
      <w:spacing w:after="180" w:line="240" w:lineRule="auto"/>
    </w:pPr>
    <w:rPr>
      <w:rFonts w:ascii="Times New Roman" w:eastAsia="Malgun Gothic"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CBF9D-E315-480D-931C-0D7200BAD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Nurmela, Vuokko (Nokia - FI/Espoo)</dc:creator>
  <cp:keywords/>
  <dc:description/>
  <cp:lastModifiedBy>Mihai Enescu</cp:lastModifiedBy>
  <cp:revision>2</cp:revision>
  <dcterms:created xsi:type="dcterms:W3CDTF">2017-03-24T15:23:00Z</dcterms:created>
  <dcterms:modified xsi:type="dcterms:W3CDTF">2017-03-24T15:23:00Z</dcterms:modified>
</cp:coreProperties>
</file>