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5E7E" w14:textId="0DD359E6" w:rsidR="007B38BF" w:rsidRPr="00BB3D9D" w:rsidRDefault="007B38BF" w:rsidP="007B38BF">
      <w:pPr>
        <w:pStyle w:val="3GPPHeader"/>
        <w:rPr>
          <w:highlight w:val="yellow"/>
        </w:rPr>
      </w:pPr>
      <w:r w:rsidRPr="00BB3D9D">
        <w:t>3GPP TSG-RAN WG1 #88</w:t>
      </w:r>
      <w:r w:rsidR="00E11E20" w:rsidRPr="00BB3D9D">
        <w:t>bis</w:t>
      </w:r>
      <w:r w:rsidRPr="00BB3D9D">
        <w:tab/>
        <w:t>R1-</w:t>
      </w:r>
      <w:r w:rsidR="00BB3D9D" w:rsidRPr="00BB3D9D">
        <w:t>1705927</w:t>
      </w:r>
    </w:p>
    <w:p w14:paraId="4ED1CBA8" w14:textId="68FD5221" w:rsidR="007B38BF" w:rsidRPr="006124FC" w:rsidRDefault="00E11E20" w:rsidP="007B38BF">
      <w:pPr>
        <w:pStyle w:val="3GPPHeader"/>
      </w:pPr>
      <w:r>
        <w:t>Spokane</w:t>
      </w:r>
      <w:r w:rsidR="007B38BF" w:rsidRPr="006124FC">
        <w:t xml:space="preserve">, </w:t>
      </w:r>
      <w:r>
        <w:t>USA, 3</w:t>
      </w:r>
      <w:r w:rsidRPr="00E11E20">
        <w:rPr>
          <w:vertAlign w:val="superscript"/>
        </w:rPr>
        <w:t>rd</w:t>
      </w:r>
      <w:r>
        <w:t xml:space="preserve"> – 7</w:t>
      </w:r>
      <w:r w:rsidR="007B38BF" w:rsidRPr="006124FC">
        <w:rPr>
          <w:vertAlign w:val="superscript"/>
        </w:rPr>
        <w:t>th</w:t>
      </w:r>
      <w:r w:rsidR="007B38BF" w:rsidRPr="006124FC">
        <w:t xml:space="preserve"> </w:t>
      </w:r>
      <w:r>
        <w:t>April</w:t>
      </w:r>
      <w:r w:rsidR="007B38BF" w:rsidRPr="006124FC">
        <w:t>, 2017</w:t>
      </w:r>
    </w:p>
    <w:p w14:paraId="478A2E8C" w14:textId="77777777" w:rsidR="00E90E49" w:rsidRPr="00CE0424" w:rsidRDefault="00E90E49" w:rsidP="00357380">
      <w:pPr>
        <w:pStyle w:val="3GPPHeader"/>
      </w:pPr>
    </w:p>
    <w:p w14:paraId="1B288B86" w14:textId="77777777" w:rsidR="00E90E49" w:rsidRPr="00327997" w:rsidRDefault="003D3C45" w:rsidP="00327997">
      <w:pPr>
        <w:pStyle w:val="3GPPHeader"/>
      </w:pPr>
      <w:r w:rsidRPr="00327997">
        <w:t>Source:</w:t>
      </w:r>
      <w:r w:rsidR="00E90E49" w:rsidRPr="00327997">
        <w:tab/>
      </w:r>
      <w:r w:rsidR="00F64C2B" w:rsidRPr="00327997">
        <w:t>Ericsson</w:t>
      </w:r>
    </w:p>
    <w:p w14:paraId="7D7D6546" w14:textId="735F2621" w:rsidR="00E90E49" w:rsidRPr="00327997" w:rsidRDefault="003D3C45" w:rsidP="00327997">
      <w:pPr>
        <w:pStyle w:val="3GPPHeader"/>
      </w:pPr>
      <w:r w:rsidRPr="00327997">
        <w:t>Title:</w:t>
      </w:r>
      <w:r w:rsidR="00E90E49" w:rsidRPr="00327997">
        <w:tab/>
      </w:r>
      <w:r w:rsidR="00E11E20">
        <w:t>Frequency parametrization for Type II CSI feedback</w:t>
      </w:r>
    </w:p>
    <w:p w14:paraId="4EA32737" w14:textId="1DD5C6C4" w:rsidR="00952A24" w:rsidRPr="00327997" w:rsidRDefault="00952A24" w:rsidP="00327997">
      <w:pPr>
        <w:pStyle w:val="3GPPHeader"/>
      </w:pPr>
      <w:r w:rsidRPr="00327997">
        <w:t>Agenda Item:</w:t>
      </w:r>
      <w:r w:rsidRPr="00327997">
        <w:tab/>
      </w:r>
      <w:r w:rsidR="009C0C46">
        <w:t>8.1.2.6</w:t>
      </w:r>
    </w:p>
    <w:p w14:paraId="30B1922D" w14:textId="45763D9D" w:rsidR="007B38BF"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4267A70" w14:textId="77777777" w:rsidR="00E11E20" w:rsidRPr="00CE0424" w:rsidRDefault="00E11E20" w:rsidP="00E5689D">
      <w:pPr>
        <w:pStyle w:val="3GPPHeader"/>
      </w:pPr>
    </w:p>
    <w:p w14:paraId="295EE7C8" w14:textId="394C0504" w:rsidR="00F10B74" w:rsidRDefault="00F10B74" w:rsidP="004E30D7">
      <w:pPr>
        <w:pStyle w:val="Heading1"/>
      </w:pPr>
      <w:r>
        <w:t>Introduction</w:t>
      </w:r>
      <w:bookmarkStart w:id="0" w:name="_GoBack"/>
      <w:bookmarkEnd w:id="0"/>
    </w:p>
    <w:p w14:paraId="0D2D9A23" w14:textId="7E562989" w:rsidR="005B17AA" w:rsidRDefault="005B17AA" w:rsidP="005B17AA">
      <w:pPr>
        <w:pStyle w:val="BodyText"/>
      </w:pPr>
      <w:proofErr w:type="gramStart"/>
      <w:r>
        <w:t>According to</w:t>
      </w:r>
      <w:proofErr w:type="gramEnd"/>
      <w:r>
        <w:t xml:space="preserve"> the NR WID </w:t>
      </w:r>
      <w:r>
        <w:fldChar w:fldCharType="begin"/>
      </w:r>
      <w:r>
        <w:instrText xml:space="preserve"> REF _Ref477864450 \r \h </w:instrText>
      </w:r>
      <w:r>
        <w:fldChar w:fldCharType="separate"/>
      </w:r>
      <w:r>
        <w:t>[1]</w:t>
      </w:r>
      <w:r>
        <w:fldChar w:fldCharType="end"/>
      </w:r>
      <w:r>
        <w:t>, RAN1 should specify Type CSI acquisition:</w:t>
      </w:r>
    </w:p>
    <w:p w14:paraId="297EDFFF" w14:textId="77777777" w:rsidR="005B17AA" w:rsidRPr="00746FB5" w:rsidRDefault="005B17AA" w:rsidP="005B17AA">
      <w:pPr>
        <w:pStyle w:val="B2"/>
        <w:rPr>
          <w:lang w:eastAsia="ja-JP"/>
        </w:rPr>
      </w:pP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366960">
        <w:rPr>
          <w:rFonts w:hint="eastAsia"/>
          <w:lang w:eastAsia="ja-JP"/>
        </w:rPr>
        <w:t>,</w:t>
      </w:r>
      <w:r w:rsidRPr="00366960">
        <w:rPr>
          <w:lang w:eastAsia="ja-JP"/>
        </w:rPr>
        <w:t xml:space="preserve"> Type </w:t>
      </w:r>
      <w:r w:rsidRPr="00366960">
        <w:rPr>
          <w:rFonts w:hint="eastAsia"/>
          <w:lang w:eastAsia="ja-JP"/>
        </w:rPr>
        <w:t>I</w:t>
      </w:r>
      <w:r w:rsidRPr="00366960">
        <w:rPr>
          <w:lang w:eastAsia="ja-JP"/>
        </w:rPr>
        <w:t xml:space="preserve"> codebook-based CSI acquisition</w:t>
      </w:r>
      <w:r w:rsidRPr="00746FB5">
        <w:rPr>
          <w:rFonts w:hint="eastAsia"/>
          <w:lang w:eastAsia="ja-JP"/>
        </w:rPr>
        <w:t xml:space="preserve"> and</w:t>
      </w:r>
      <w:r w:rsidRPr="00746FB5">
        <w:rPr>
          <w:lang w:eastAsia="ja-JP"/>
        </w:rPr>
        <w:t xml:space="preserve"> </w:t>
      </w:r>
      <w:r w:rsidRPr="005B17AA">
        <w:rPr>
          <w:highlight w:val="yellow"/>
          <w:lang w:eastAsia="ja-JP"/>
        </w:rPr>
        <w:t>Type II CSI acquisition</w:t>
      </w:r>
      <w:r w:rsidRPr="00746FB5">
        <w:rPr>
          <w:lang w:eastAsia="ja-JP"/>
        </w:rPr>
        <w:t xml:space="preserve">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34694C63" w14:textId="47A4B5D9" w:rsidR="00E11E20" w:rsidRPr="005B17AA" w:rsidRDefault="005B17AA" w:rsidP="00E11E20">
      <w:pPr>
        <w:rPr>
          <w:lang w:eastAsia="zh-CN"/>
        </w:rPr>
      </w:pPr>
      <w:r>
        <w:rPr>
          <w:lang w:eastAsia="zh-CN"/>
        </w:rPr>
        <w:t xml:space="preserve">In our main contribution on Type II CSI feedback </w:t>
      </w:r>
      <w:r>
        <w:rPr>
          <w:lang w:eastAsia="zh-CN"/>
        </w:rPr>
        <w:fldChar w:fldCharType="begin"/>
      </w:r>
      <w:r>
        <w:rPr>
          <w:lang w:eastAsia="zh-CN"/>
        </w:rPr>
        <w:instrText xml:space="preserve"> REF _Ref478125215 \r \h </w:instrText>
      </w:r>
      <w:r>
        <w:rPr>
          <w:lang w:eastAsia="zh-CN"/>
        </w:rPr>
      </w:r>
      <w:r>
        <w:rPr>
          <w:lang w:eastAsia="zh-CN"/>
        </w:rPr>
        <w:fldChar w:fldCharType="separate"/>
      </w:r>
      <w:r>
        <w:rPr>
          <w:lang w:eastAsia="zh-CN"/>
        </w:rPr>
        <w:t>[2]</w:t>
      </w:r>
      <w:r>
        <w:rPr>
          <w:lang w:eastAsia="zh-CN"/>
        </w:rPr>
        <w:fldChar w:fldCharType="end"/>
      </w:r>
      <w:r>
        <w:rPr>
          <w:lang w:eastAsia="zh-CN"/>
        </w:rPr>
        <w:t>, we propose a codebook design based on an extension of the LTE Rel-14 advanced CSI codebook. In this paper, we discuss an alternative approach</w:t>
      </w:r>
      <w:r w:rsidR="00BF45AC">
        <w:rPr>
          <w:lang w:eastAsia="zh-CN"/>
        </w:rPr>
        <w:t xml:space="preserve"> to compress the payload of Type II CSI feedback based on frequency parametrization.</w:t>
      </w:r>
    </w:p>
    <w:p w14:paraId="2F4FB188" w14:textId="08A77299" w:rsidR="004000E8" w:rsidRDefault="00496392" w:rsidP="00CE0424">
      <w:pPr>
        <w:pStyle w:val="Heading1"/>
      </w:pPr>
      <w:r>
        <w:t>Introducing frequency parametrization approach</w:t>
      </w:r>
    </w:p>
    <w:p w14:paraId="4B4B07AB" w14:textId="7823E2F3" w:rsidR="00BF45AC" w:rsidRDefault="00BF45AC" w:rsidP="00BF45AC">
      <w:pPr>
        <w:rPr>
          <w:lang w:val="en-GB" w:eastAsia="zh-CN"/>
        </w:rPr>
      </w:pPr>
      <w:r>
        <w:rPr>
          <w:lang w:val="en-GB" w:eastAsia="zh-CN"/>
        </w:rPr>
        <w:t xml:space="preserve">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w:t>
      </w:r>
      <w:proofErr w:type="gramStart"/>
      <w:r>
        <w:rPr>
          <w:lang w:val="en-GB" w:eastAsia="zh-CN"/>
        </w:rPr>
        <w:t>is allowed to</w:t>
      </w:r>
      <w:proofErr w:type="gramEnd"/>
      <w:r>
        <w:rPr>
          <w:lang w:val="en-GB" w:eastAsia="zh-CN"/>
        </w:rPr>
        <w:t xml:space="preserve"> change over the subbands). </w:t>
      </w:r>
      <w:r w:rsidR="00366960">
        <w:rPr>
          <w:lang w:val="en-GB" w:eastAsia="zh-CN"/>
        </w:rPr>
        <w:t xml:space="preserve">The benefit of subband PMI selection over wideband PMI selection depends on the relative frequency-selectivity between the ports of the effective channel after applying the W1 precoding matrix. For Class A CSI feedback, the effective channel after W1 is typically a 2-port channel </w:t>
      </w:r>
      <w:r w:rsidR="00C2627F">
        <w:rPr>
          <w:lang w:val="en-GB" w:eastAsia="zh-CN"/>
        </w:rPr>
        <w:t>corresponding to the two polarizations of the beam in W1. Since the polarizations typically are decoupled and experience different channel realizations, this can lead to a frequency-selective channel if the inter-beam delay spread is large.</w:t>
      </w:r>
    </w:p>
    <w:p w14:paraId="67D2FDAD" w14:textId="25BE6566" w:rsidR="00C2627F" w:rsidRDefault="00C2627F" w:rsidP="00BF45AC">
      <w:pPr>
        <w:rPr>
          <w:lang w:val="en-GB" w:eastAsia="zh-CN"/>
        </w:rPr>
      </w:pPr>
      <w:r>
        <w:rPr>
          <w:lang w:val="en-GB" w:eastAsia="zh-CN"/>
        </w:rP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inter-beam delay spread also associated with an average delay. </w:t>
      </w:r>
    </w:p>
    <w:p w14:paraId="554DDCBD" w14:textId="1DF3DA94" w:rsidR="00C2627F" w:rsidRDefault="00C2627F" w:rsidP="00C2627F">
      <w:pPr>
        <w:rPr>
          <w:lang w:val="en-GB" w:eastAsia="zh-CN"/>
        </w:rPr>
      </w:pPr>
      <w:r>
        <w:rPr>
          <w:lang w:val="en-GB" w:eastAsia="zh-CN"/>
        </w:rPr>
        <w:t xml:space="preserve">In current Type II codebook proposals, beam cophasing in W2 is determined independently for each subband. While using a per subband quantization of the CSI utilizes that the per-beam channel is correlated in frequency </w:t>
      </w:r>
      <w:proofErr w:type="gramStart"/>
      <w:r w:rsidR="00142B04">
        <w:rPr>
          <w:lang w:val="en-GB" w:eastAsia="zh-CN"/>
        </w:rPr>
        <w:t>in order to</w:t>
      </w:r>
      <w:proofErr w:type="gramEnd"/>
      <w:r w:rsidR="00142B04">
        <w:rPr>
          <w:lang w:val="en-GB" w:eastAsia="zh-CN"/>
        </w:rPr>
        <w:t xml:space="preserve"> compress the CSI payload (i.e. a beam cophasing coefficient can be given per subband instead of per RB), it does not utilize any correlation between the beams due to a </w:t>
      </w:r>
      <w:r w:rsidR="00142B04">
        <w:rPr>
          <w:lang w:val="en-GB" w:eastAsia="zh-CN"/>
        </w:rPr>
        <w:lastRenderedPageBreak/>
        <w:t>difference in average delay.</w:t>
      </w:r>
      <w:r w:rsidR="00010319">
        <w:rPr>
          <w:lang w:val="en-GB" w:eastAsia="zh-CN"/>
        </w:rPr>
        <w:t xml:space="preserve"> To be more explicit, since the beams are co-phased against the leading (strongest) beam in W2, the difference in average delay between the beams and the leading beam will introduce a frequency correlation of the optimal co-phasing coefficients, which results in a linear phase shift across frequency. The slope of this linear phase shift depends on the difference in average delay compared to the leading beam.</w:t>
      </w:r>
    </w:p>
    <w:p w14:paraId="2F151A49" w14:textId="57101383" w:rsidR="00010319" w:rsidRDefault="00010319" w:rsidP="00C2627F">
      <w:pPr>
        <w:rPr>
          <w:rFonts w:eastAsiaTheme="minorEastAsia"/>
          <w:lang w:val="en-GB" w:eastAsia="zh-CN"/>
        </w:rPr>
      </w:pPr>
      <w:r>
        <w:rPr>
          <w:lang w:val="en-GB" w:eastAsia="zh-CN"/>
        </w:rPr>
        <w:t xml:space="preserve">To illustrate this effect, we consider a Type II codebook with </w:t>
      </w:r>
      <m:oMath>
        <m:r>
          <w:rPr>
            <w:rFonts w:ascii="Cambria Math" w:hAnsi="Cambria Math"/>
            <w:lang w:val="en-GB" w:eastAsia="zh-CN"/>
          </w:rPr>
          <m:t>L=3</m:t>
        </m:r>
      </m:oMath>
      <w:r>
        <w:rPr>
          <w:rFonts w:eastAsiaTheme="minorEastAsia"/>
          <w:lang w:val="en-GB" w:eastAsia="zh-CN"/>
        </w:rPr>
        <w:t xml:space="preserve"> beam and </w:t>
      </w:r>
      <w:r>
        <w:rPr>
          <w:lang w:val="en-GB" w:eastAsia="zh-CN"/>
        </w:rPr>
        <w:t xml:space="preserve">look at the optimal selection of unquantized W2-coefficients,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r>
          <m:rPr>
            <m:sty m:val="bi"/>
          </m:rPr>
          <w:rPr>
            <w:rFonts w:ascii="Cambria Math" w:hAnsi="Cambria Math"/>
            <w:lang w:val="en-GB" w:eastAsia="zh-CN"/>
          </w:rPr>
          <m:t>=</m:t>
        </m:r>
        <m:d>
          <m:dPr>
            <m:begChr m:val="["/>
            <m:endChr m:val="]"/>
            <m:ctrlPr>
              <w:rPr>
                <w:rFonts w:ascii="Cambria Math" w:hAnsi="Cambria Math"/>
                <w:b/>
                <w:i/>
                <w:lang w:val="en-GB" w:eastAsia="zh-CN"/>
              </w:rPr>
            </m:ctrlPr>
          </m:dPr>
          <m:e>
            <m:eqArr>
              <m:eqArrPr>
                <m:ctrlPr>
                  <w:rPr>
                    <w:rFonts w:ascii="Cambria Math" w:hAnsi="Cambria Math"/>
                    <w:i/>
                    <w:lang w:val="en-GB" w:eastAsia="zh-CN"/>
                  </w:rPr>
                </m:ctrlPr>
              </m:eqArrPr>
              <m:e>
                <m:r>
                  <w:rPr>
                    <w:rFonts w:ascii="Cambria Math" w:hAnsi="Cambria Math"/>
                    <w:lang w:val="en-GB" w:eastAsia="zh-CN"/>
                  </w:rPr>
                  <m:t>1</m:t>
                </m:r>
              </m:e>
              <m:e>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ctrlPr>
                  <w:rPr>
                    <w:rFonts w:ascii="Cambria Math" w:eastAsia="Cambria Math" w:hAnsi="Cambria Math" w:cs="Cambria Math"/>
                    <w:i/>
                    <w:lang w:val="en-GB" w:eastAsia="zh-CN"/>
                  </w:rPr>
                </m:ctrlPr>
              </m:e>
              <m:e>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c</m:t>
                    </m:r>
                  </m:e>
                  <m:sub>
                    <m:r>
                      <w:rPr>
                        <w:rFonts w:ascii="Cambria Math" w:eastAsia="Cambria Math" w:hAnsi="Cambria Math" w:cs="Cambria Math"/>
                        <w:lang w:val="en-GB" w:eastAsia="zh-CN"/>
                      </w:rPr>
                      <m:t>2</m:t>
                    </m:r>
                  </m:sub>
                </m:sSub>
                <m:ctrlPr>
                  <w:rPr>
                    <w:rFonts w:ascii="Cambria Math" w:eastAsia="Cambria Math" w:hAnsi="Cambria Math" w:cs="Cambria Math"/>
                    <w:i/>
                    <w:lang w:val="en-GB" w:eastAsia="zh-CN"/>
                  </w:rPr>
                </m:ctrlPr>
              </m:e>
              <m:e>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c</m:t>
                    </m:r>
                  </m:e>
                  <m:sub>
                    <m:r>
                      <w:rPr>
                        <w:rFonts w:ascii="Cambria Math" w:eastAsia="Cambria Math" w:hAnsi="Cambria Math" w:cs="Cambria Math"/>
                        <w:lang w:val="en-GB" w:eastAsia="zh-CN"/>
                      </w:rPr>
                      <m:t>3</m:t>
                    </m:r>
                  </m:sub>
                </m:sSub>
                <m:ctrlPr>
                  <w:rPr>
                    <w:rFonts w:ascii="Cambria Math" w:eastAsia="Cambria Math" w:hAnsi="Cambria Math" w:cs="Cambria Math"/>
                    <w:i/>
                    <w:lang w:val="en-GB" w:eastAsia="zh-CN"/>
                  </w:rPr>
                </m:ctrlPr>
              </m:e>
              <m:e>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c</m:t>
                    </m:r>
                  </m:e>
                  <m:sub>
                    <m:r>
                      <w:rPr>
                        <w:rFonts w:ascii="Cambria Math" w:eastAsia="Cambria Math" w:hAnsi="Cambria Math" w:cs="Cambria Math"/>
                        <w:lang w:val="en-GB" w:eastAsia="zh-CN"/>
                      </w:rPr>
                      <m:t>4</m:t>
                    </m:r>
                  </m:sub>
                </m:sSub>
                <m:ctrlPr>
                  <w:rPr>
                    <w:rFonts w:ascii="Cambria Math" w:eastAsia="Cambria Math" w:hAnsi="Cambria Math" w:cs="Cambria Math"/>
                    <w:i/>
                    <w:lang w:val="en-GB" w:eastAsia="zh-CN"/>
                  </w:rPr>
                </m:ctrlPr>
              </m:e>
              <m:e>
                <m:sSub>
                  <m:sSubPr>
                    <m:ctrlPr>
                      <w:rPr>
                        <w:rFonts w:ascii="Cambria Math" w:eastAsia="Cambria Math" w:hAnsi="Cambria Math" w:cs="Cambria Math"/>
                        <w:i/>
                        <w:lang w:val="en-GB" w:eastAsia="zh-CN"/>
                      </w:rPr>
                    </m:ctrlPr>
                  </m:sSubPr>
                  <m:e>
                    <m:r>
                      <w:rPr>
                        <w:rFonts w:ascii="Cambria Math" w:eastAsia="Cambria Math" w:hAnsi="Cambria Math" w:cs="Cambria Math"/>
                        <w:lang w:val="en-GB" w:eastAsia="zh-CN"/>
                      </w:rPr>
                      <m:t>c</m:t>
                    </m:r>
                  </m:e>
                  <m:sub>
                    <m:r>
                      <w:rPr>
                        <w:rFonts w:ascii="Cambria Math" w:eastAsia="Cambria Math" w:hAnsi="Cambria Math" w:cs="Cambria Math"/>
                        <w:lang w:val="en-GB" w:eastAsia="zh-CN"/>
                      </w:rPr>
                      <m:t>5</m:t>
                    </m:r>
                  </m:sub>
                </m:sSub>
              </m:e>
            </m:eqArr>
          </m:e>
        </m:d>
      </m:oMath>
      <w:r>
        <w:rPr>
          <w:rFonts w:eastAsiaTheme="minorEastAsia"/>
          <w:b/>
          <w:lang w:val="en-GB" w:eastAsia="zh-CN"/>
        </w:rPr>
        <w:t xml:space="preserve">, </w:t>
      </w:r>
      <w:r>
        <w:rPr>
          <w:rFonts w:eastAsiaTheme="minorEastAsia"/>
          <w:lang w:val="en-GB" w:eastAsia="zh-CN"/>
        </w:rPr>
        <w:t xml:space="preserve">derived from the principal eigenvector of </w:t>
      </w:r>
      <m:oMath>
        <m:sSubSup>
          <m:sSubSupPr>
            <m:ctrlPr>
              <w:rPr>
                <w:rFonts w:ascii="Cambria Math" w:eastAsiaTheme="minorEastAsia" w:hAnsi="Cambria Math"/>
                <w:b/>
                <w:i/>
                <w:lang w:val="en-GB" w:eastAsia="zh-CN"/>
              </w:rPr>
            </m:ctrlPr>
          </m:sSubSupPr>
          <m:e>
            <m:r>
              <m:rPr>
                <m:sty m:val="bi"/>
              </m:rPr>
              <w:rPr>
                <w:rFonts w:ascii="Cambria Math" w:eastAsiaTheme="minorEastAsia" w:hAnsi="Cambria Math"/>
                <w:lang w:val="en-GB" w:eastAsia="zh-CN"/>
              </w:rPr>
              <m:t>W</m:t>
            </m:r>
          </m:e>
          <m:sub>
            <m:r>
              <m:rPr>
                <m:sty m:val="bi"/>
              </m:rPr>
              <w:rPr>
                <w:rFonts w:ascii="Cambria Math" w:eastAsiaTheme="minorEastAsia" w:hAnsi="Cambria Math"/>
                <w:lang w:val="en-GB" w:eastAsia="zh-CN"/>
              </w:rPr>
              <m:t>1</m:t>
            </m:r>
          </m:sub>
          <m:sup>
            <m:r>
              <m:rPr>
                <m:sty m:val="bi"/>
              </m:rPr>
              <w:rPr>
                <w:rFonts w:ascii="Cambria Math" w:eastAsiaTheme="minorEastAsia" w:hAnsi="Cambria Math"/>
                <w:lang w:val="en-GB" w:eastAsia="zh-CN"/>
              </w:rPr>
              <m:t>H</m:t>
            </m:r>
          </m:sup>
        </m:sSubSup>
        <m:sSubSup>
          <m:sSubSupPr>
            <m:ctrlPr>
              <w:rPr>
                <w:rFonts w:ascii="Cambria Math" w:eastAsiaTheme="minorEastAsia" w:hAnsi="Cambria Math"/>
                <w:b/>
                <w:i/>
                <w:lang w:val="en-GB" w:eastAsia="zh-CN"/>
              </w:rPr>
            </m:ctrlPr>
          </m:sSubSupPr>
          <m:e>
            <m:r>
              <m:rPr>
                <m:sty m:val="bi"/>
              </m:rPr>
              <w:rPr>
                <w:rFonts w:ascii="Cambria Math" w:eastAsiaTheme="minorEastAsia" w:hAnsi="Cambria Math"/>
                <w:lang w:val="en-GB" w:eastAsia="zh-CN"/>
              </w:rPr>
              <m:t>H</m:t>
            </m:r>
          </m:e>
          <m:sub>
            <m:r>
              <m:rPr>
                <m:sty m:val="bi"/>
              </m:rPr>
              <w:rPr>
                <w:rFonts w:ascii="Cambria Math" w:eastAsiaTheme="minorEastAsia" w:hAnsi="Cambria Math"/>
                <w:lang w:val="en-GB" w:eastAsia="zh-CN"/>
              </w:rPr>
              <m:t>f</m:t>
            </m:r>
          </m:sub>
          <m:sup>
            <m:r>
              <m:rPr>
                <m:sty m:val="bi"/>
              </m:rPr>
              <w:rPr>
                <w:rFonts w:ascii="Cambria Math" w:eastAsiaTheme="minorEastAsia" w:hAnsi="Cambria Math"/>
                <w:lang w:val="en-GB" w:eastAsia="zh-CN"/>
              </w:rPr>
              <m:t>H</m:t>
            </m:r>
          </m:sup>
        </m:sSubSup>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H</m:t>
            </m:r>
          </m:e>
          <m:sub>
            <m:r>
              <m:rPr>
                <m:sty m:val="bi"/>
              </m:rPr>
              <w:rPr>
                <w:rFonts w:ascii="Cambria Math" w:eastAsiaTheme="minorEastAsia" w:hAnsi="Cambria Math"/>
                <w:lang w:val="en-GB" w:eastAsia="zh-CN"/>
              </w:rPr>
              <m:t>f</m:t>
            </m:r>
          </m:sub>
        </m:sSub>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W</m:t>
            </m:r>
          </m:e>
          <m:sub>
            <m:r>
              <m:rPr>
                <m:sty m:val="bi"/>
              </m:rPr>
              <w:rPr>
                <w:rFonts w:ascii="Cambria Math" w:eastAsiaTheme="minorEastAsia" w:hAnsi="Cambria Math"/>
                <w:lang w:val="en-GB" w:eastAsia="zh-CN"/>
              </w:rPr>
              <m:t>1</m:t>
            </m:r>
          </m:sub>
        </m:sSub>
      </m:oMath>
      <w:r>
        <w:rPr>
          <w:rFonts w:eastAsiaTheme="minorEastAsia"/>
          <w:b/>
          <w:lang w:val="en-GB" w:eastAsia="zh-CN"/>
        </w:rPr>
        <w:t xml:space="preserve">, </w:t>
      </w:r>
      <w:r>
        <w:rPr>
          <w:rFonts w:eastAsiaTheme="minorEastAsia"/>
          <w:lang w:val="en-GB" w:eastAsia="zh-CN"/>
        </w:rPr>
        <w:t xml:space="preserve">for each resource block </w:t>
      </w:r>
      <m:oMath>
        <m:r>
          <w:rPr>
            <w:rFonts w:ascii="Cambria Math" w:eastAsiaTheme="minorEastAsia" w:hAnsi="Cambria Math"/>
            <w:lang w:val="en-GB" w:eastAsia="zh-CN"/>
          </w:rPr>
          <m:t>f</m:t>
        </m:r>
      </m:oMath>
      <w:r w:rsidR="00067B08">
        <w:rPr>
          <w:rFonts w:eastAsiaTheme="minorEastAsia"/>
          <w:lang w:val="en-GB" w:eastAsia="zh-CN"/>
        </w:rPr>
        <w:t xml:space="preserve">, and look at how the phases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c</m:t>
            </m:r>
          </m:e>
          <m:sub>
            <m:r>
              <w:rPr>
                <w:rFonts w:ascii="Cambria Math" w:eastAsiaTheme="minorEastAsia" w:hAnsi="Cambria Math"/>
                <w:lang w:val="en-GB" w:eastAsia="zh-CN"/>
              </w:rPr>
              <m:t>i</m:t>
            </m:r>
          </m:sub>
        </m:sSub>
      </m:oMath>
      <w:r w:rsidR="00067B08">
        <w:rPr>
          <w:rFonts w:eastAsiaTheme="minorEastAsia"/>
          <w:lang w:val="en-GB" w:eastAsia="zh-CN"/>
        </w:rPr>
        <w:t xml:space="preserve"> changes over frequency. Three such examples are given in </w:t>
      </w:r>
      <w:r w:rsidR="00067B08">
        <w:rPr>
          <w:rFonts w:eastAsiaTheme="minorEastAsia"/>
          <w:lang w:val="en-GB" w:eastAsia="zh-CN"/>
        </w:rPr>
        <w:fldChar w:fldCharType="begin"/>
      </w:r>
      <w:r w:rsidR="00067B08">
        <w:rPr>
          <w:rFonts w:eastAsiaTheme="minorEastAsia"/>
          <w:lang w:val="en-GB" w:eastAsia="zh-CN"/>
        </w:rPr>
        <w:instrText xml:space="preserve"> REF _Ref478132033 \h </w:instrText>
      </w:r>
      <w:r w:rsidR="00067B08">
        <w:rPr>
          <w:rFonts w:eastAsiaTheme="minorEastAsia"/>
          <w:lang w:val="en-GB" w:eastAsia="zh-CN"/>
        </w:rPr>
      </w:r>
      <w:r w:rsidR="00067B08">
        <w:rPr>
          <w:rFonts w:eastAsiaTheme="minorEastAsia"/>
          <w:lang w:val="en-GB" w:eastAsia="zh-CN"/>
        </w:rPr>
        <w:fldChar w:fldCharType="separate"/>
      </w:r>
      <w:r w:rsidR="00067B08">
        <w:t xml:space="preserve">Figure </w:t>
      </w:r>
      <w:r w:rsidR="00067B08">
        <w:rPr>
          <w:noProof/>
        </w:rPr>
        <w:t>1</w:t>
      </w:r>
      <w:r w:rsidR="00067B08">
        <w:rPr>
          <w:rFonts w:eastAsiaTheme="minorEastAsia"/>
          <w:lang w:val="en-GB" w:eastAsia="zh-CN"/>
        </w:rPr>
        <w:fldChar w:fldCharType="end"/>
      </w:r>
      <w:r w:rsidR="00067B08">
        <w:rPr>
          <w:rFonts w:eastAsiaTheme="minorEastAsia"/>
          <w:lang w:val="en-GB" w:eastAsia="zh-CN"/>
        </w:rPr>
        <w:t>,</w:t>
      </w:r>
      <w:r w:rsidR="00067B08">
        <w:rPr>
          <w:rFonts w:eastAsiaTheme="minorEastAsia"/>
          <w:lang w:val="en-GB" w:eastAsia="zh-CN"/>
        </w:rPr>
        <w:fldChar w:fldCharType="begin"/>
      </w:r>
      <w:r w:rsidR="00067B08">
        <w:rPr>
          <w:rFonts w:eastAsiaTheme="minorEastAsia"/>
          <w:lang w:val="en-GB" w:eastAsia="zh-CN"/>
        </w:rPr>
        <w:instrText xml:space="preserve"> REF _Ref478132034 \h </w:instrText>
      </w:r>
      <w:r w:rsidR="00067B08">
        <w:rPr>
          <w:rFonts w:eastAsiaTheme="minorEastAsia"/>
          <w:lang w:val="en-GB" w:eastAsia="zh-CN"/>
        </w:rPr>
      </w:r>
      <w:r w:rsidR="00067B08">
        <w:rPr>
          <w:rFonts w:eastAsiaTheme="minorEastAsia"/>
          <w:lang w:val="en-GB" w:eastAsia="zh-CN"/>
        </w:rPr>
        <w:fldChar w:fldCharType="separate"/>
      </w:r>
      <w:r w:rsidR="00067B08">
        <w:t xml:space="preserve">Figure </w:t>
      </w:r>
      <w:r w:rsidR="00067B08">
        <w:rPr>
          <w:noProof/>
        </w:rPr>
        <w:t>2</w:t>
      </w:r>
      <w:r w:rsidR="00067B08">
        <w:rPr>
          <w:rFonts w:eastAsiaTheme="minorEastAsia"/>
          <w:lang w:val="en-GB" w:eastAsia="zh-CN"/>
        </w:rPr>
        <w:fldChar w:fldCharType="end"/>
      </w:r>
      <w:r w:rsidR="00067B08">
        <w:rPr>
          <w:rFonts w:eastAsiaTheme="minorEastAsia"/>
          <w:lang w:val="en-GB" w:eastAsia="zh-CN"/>
        </w:rPr>
        <w:t xml:space="preserve"> and </w:t>
      </w:r>
      <w:r w:rsidR="00067B08">
        <w:rPr>
          <w:rFonts w:eastAsiaTheme="minorEastAsia"/>
          <w:lang w:val="en-GB" w:eastAsia="zh-CN"/>
        </w:rPr>
        <w:fldChar w:fldCharType="begin"/>
      </w:r>
      <w:r w:rsidR="00067B08">
        <w:rPr>
          <w:rFonts w:eastAsiaTheme="minorEastAsia"/>
          <w:lang w:val="en-GB" w:eastAsia="zh-CN"/>
        </w:rPr>
        <w:instrText xml:space="preserve"> REF _Ref478132036 \h </w:instrText>
      </w:r>
      <w:r w:rsidR="00067B08">
        <w:rPr>
          <w:rFonts w:eastAsiaTheme="minorEastAsia"/>
          <w:lang w:val="en-GB" w:eastAsia="zh-CN"/>
        </w:rPr>
      </w:r>
      <w:r w:rsidR="00067B08">
        <w:rPr>
          <w:rFonts w:eastAsiaTheme="minorEastAsia"/>
          <w:lang w:val="en-GB" w:eastAsia="zh-CN"/>
        </w:rPr>
        <w:fldChar w:fldCharType="separate"/>
      </w:r>
      <w:r w:rsidR="00067B08">
        <w:t xml:space="preserve">Figure </w:t>
      </w:r>
      <w:r w:rsidR="00067B08">
        <w:rPr>
          <w:noProof/>
        </w:rPr>
        <w:t>3</w:t>
      </w:r>
      <w:r w:rsidR="00067B08">
        <w:rPr>
          <w:rFonts w:eastAsiaTheme="minorEastAsia"/>
          <w:lang w:val="en-GB" w:eastAsia="zh-CN"/>
        </w:rPr>
        <w:fldChar w:fldCharType="end"/>
      </w:r>
      <w:r w:rsidR="00067B08">
        <w:rPr>
          <w:rFonts w:eastAsiaTheme="minorEastAsia"/>
          <w:lang w:val="en-GB" w:eastAsia="zh-CN"/>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067B08">
        <w:rPr>
          <w:rFonts w:eastAsiaTheme="minorEastAsia"/>
          <w:b/>
          <w:lang w:val="en-GB" w:eastAsia="zh-CN"/>
        </w:rPr>
        <w:t xml:space="preserve"> </w:t>
      </w:r>
      <w:r w:rsidR="00067B08">
        <w:rPr>
          <w:rFonts w:eastAsiaTheme="minorEastAsia"/>
          <w:lang w:val="en-GB" w:eastAsia="zh-CN"/>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067B08">
        <w:rPr>
          <w:rFonts w:eastAsiaTheme="minorEastAsia"/>
          <w:b/>
          <w:lang w:val="en-GB" w:eastAsia="zh-CN"/>
        </w:rPr>
        <w:t xml:space="preserve"> </w:t>
      </w:r>
      <w:r w:rsidR="00067B08" w:rsidRPr="00067B08">
        <w:rPr>
          <w:rFonts w:eastAsiaTheme="minorEastAsia"/>
          <w:lang w:val="en-GB" w:eastAsia="zh-CN"/>
        </w:rPr>
        <w:t>matrix for each subband</w:t>
      </w:r>
      <w:r w:rsidR="0005154B">
        <w:rPr>
          <w:rFonts w:eastAsiaTheme="minorEastAsia"/>
          <w:lang w:val="en-GB" w:eastAsia="zh-CN"/>
        </w:rPr>
        <w:t xml:space="preserve">. Such a parametrization could possibly give a finer granularity of the estimate of the channel as well, as per subband quantization averages the optimal cophasing coefficients over </w:t>
      </w:r>
      <w:proofErr w:type="gramStart"/>
      <w:r w:rsidR="0005154B">
        <w:rPr>
          <w:rFonts w:eastAsiaTheme="minorEastAsia"/>
          <w:lang w:val="en-GB" w:eastAsia="zh-CN"/>
        </w:rPr>
        <w:t>a number of</w:t>
      </w:r>
      <w:proofErr w:type="gramEnd"/>
      <w:r w:rsidR="0005154B">
        <w:rPr>
          <w:rFonts w:eastAsiaTheme="minorEastAsia"/>
          <w:lang w:val="en-GB" w:eastAsia="zh-CN"/>
        </w:rPr>
        <w:t xml:space="preserve"> subbands</w:t>
      </w:r>
      <w:r w:rsidR="002E129C">
        <w:rPr>
          <w:rFonts w:eastAsiaTheme="minorEastAsia"/>
          <w:lang w:val="en-GB" w:eastAsia="zh-CN"/>
        </w:rPr>
        <w:t xml:space="preserve">, thus reducing the frequency-granularity of the CSI as information is averaged out. </w:t>
      </w:r>
      <w:r w:rsidR="0005154B">
        <w:rPr>
          <w:rFonts w:eastAsiaTheme="minorEastAsia"/>
          <w:lang w:val="en-GB" w:eastAsia="zh-CN"/>
        </w:rPr>
        <w:t xml:space="preserve">For instance, if the beam cophasing coefficients in </w:t>
      </w:r>
      <w:r w:rsidR="0005154B">
        <w:rPr>
          <w:rFonts w:eastAsiaTheme="minorEastAsia"/>
          <w:lang w:val="en-GB" w:eastAsia="zh-CN"/>
        </w:rPr>
        <w:fldChar w:fldCharType="begin"/>
      </w:r>
      <w:r w:rsidR="0005154B">
        <w:rPr>
          <w:rFonts w:eastAsiaTheme="minorEastAsia"/>
          <w:lang w:val="en-GB" w:eastAsia="zh-CN"/>
        </w:rPr>
        <w:instrText xml:space="preserve"> REF _Ref478132034 \h </w:instrText>
      </w:r>
      <w:r w:rsidR="0005154B">
        <w:rPr>
          <w:rFonts w:eastAsiaTheme="minorEastAsia"/>
          <w:lang w:val="en-GB" w:eastAsia="zh-CN"/>
        </w:rPr>
      </w:r>
      <w:r w:rsidR="0005154B">
        <w:rPr>
          <w:rFonts w:eastAsiaTheme="minorEastAsia"/>
          <w:lang w:val="en-GB" w:eastAsia="zh-CN"/>
        </w:rPr>
        <w:fldChar w:fldCharType="separate"/>
      </w:r>
      <w:r w:rsidR="0005154B">
        <w:t xml:space="preserve">Figure </w:t>
      </w:r>
      <w:r w:rsidR="0005154B">
        <w:rPr>
          <w:noProof/>
        </w:rPr>
        <w:t>2</w:t>
      </w:r>
      <w:r w:rsidR="0005154B">
        <w:rPr>
          <w:rFonts w:eastAsiaTheme="minorEastAsia"/>
          <w:lang w:val="en-GB" w:eastAsia="zh-CN"/>
        </w:rPr>
        <w:fldChar w:fldCharType="end"/>
      </w:r>
      <w:r w:rsidR="002E129C">
        <w:rPr>
          <w:rFonts w:eastAsiaTheme="minorEastAsia"/>
          <w:lang w:val="en-GB" w:eastAsia="zh-CN"/>
        </w:rPr>
        <w:t xml:space="preserve">  were to be averaged over 6RB subbands, the resulting quantization error could be quite large, whereas if the linear phase shift were parametrized instead, the quantization error may be much smaller.</w:t>
      </w:r>
    </w:p>
    <w:p w14:paraId="1EC97264" w14:textId="5CA80488" w:rsidR="002E129C" w:rsidRPr="00067B08" w:rsidRDefault="002E129C" w:rsidP="00C2627F">
      <w:pPr>
        <w:rPr>
          <w:lang w:val="en-GB" w:eastAsia="zh-CN"/>
        </w:rPr>
      </w:pPr>
      <w:r>
        <w:rPr>
          <w:rFonts w:eastAsiaTheme="minorEastAsia"/>
          <w:lang w:val="en-GB" w:eastAsia="zh-CN"/>
        </w:rPr>
        <w:t xml:space="preserve">It should be noted though, that the effective channels illustrated in </w:t>
      </w:r>
      <w:r>
        <w:rPr>
          <w:rFonts w:eastAsiaTheme="minorEastAsia"/>
          <w:lang w:val="en-GB" w:eastAsia="zh-CN"/>
        </w:rPr>
        <w:fldChar w:fldCharType="begin"/>
      </w:r>
      <w:r>
        <w:rPr>
          <w:rFonts w:eastAsiaTheme="minorEastAsia"/>
          <w:lang w:val="en-GB" w:eastAsia="zh-CN"/>
        </w:rPr>
        <w:instrText xml:space="preserve"> REF _Ref478132033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_Ref478132034 \h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lang w:val="en-GB" w:eastAsia="zh-CN"/>
        </w:rPr>
        <w:t xml:space="preserve"> experience quite a low inter-beam delay spread, and thus a linear phase change over frequency models the behaviour quite well. For cases with larger inter-beam delay spread, such as for the effective channel illustrated in </w:t>
      </w:r>
      <w:r>
        <w:rPr>
          <w:rFonts w:eastAsiaTheme="minorEastAsia"/>
          <w:lang w:val="en-GB" w:eastAsia="zh-CN"/>
        </w:rPr>
        <w:fldChar w:fldCharType="begin"/>
      </w:r>
      <w:r>
        <w:rPr>
          <w:rFonts w:eastAsiaTheme="minorEastAsia"/>
          <w:lang w:val="en-GB" w:eastAsia="zh-CN"/>
        </w:rPr>
        <w:instrText xml:space="preserve"> REF _Ref478132036 \h </w:instrText>
      </w:r>
      <w:r>
        <w:rPr>
          <w:rFonts w:eastAsiaTheme="minorEastAsia"/>
          <w:lang w:val="en-GB" w:eastAsia="zh-CN"/>
        </w:rPr>
      </w:r>
      <w:r>
        <w:rPr>
          <w:rFonts w:eastAsiaTheme="minorEastAsia"/>
          <w:lang w:val="en-GB" w:eastAsia="zh-CN"/>
        </w:rPr>
        <w:fldChar w:fldCharType="separate"/>
      </w:r>
      <w:r>
        <w:t xml:space="preserve">Figure </w:t>
      </w:r>
      <w:r>
        <w:rPr>
          <w:noProof/>
        </w:rPr>
        <w:t>3</w:t>
      </w:r>
      <w:r>
        <w:rPr>
          <w:rFonts w:eastAsiaTheme="minorEastAsia"/>
          <w:lang w:val="en-GB" w:eastAsia="zh-CN"/>
        </w:rPr>
        <w:fldChar w:fldCharType="end"/>
      </w:r>
      <w:r>
        <w:rPr>
          <w:rFonts w:eastAsiaTheme="minorEastAsia"/>
          <w:lang w:val="en-GB" w:eastAsia="zh-CN"/>
        </w:rPr>
        <w:t>, a higher-order frequency parametrization model may be needed to efficiently capture the changes in the channel.</w:t>
      </w:r>
    </w:p>
    <w:p w14:paraId="1444C5BC" w14:textId="77777777" w:rsidR="00C2627F" w:rsidRDefault="00C2627F" w:rsidP="00BF45AC">
      <w:pPr>
        <w:rPr>
          <w:lang w:val="en-GB" w:eastAsia="zh-CN"/>
        </w:rPr>
      </w:pPr>
    </w:p>
    <w:p w14:paraId="68E6038E" w14:textId="38C14C48" w:rsidR="00366960" w:rsidRDefault="00366960" w:rsidP="00BF45AC">
      <w:pPr>
        <w:rPr>
          <w:lang w:val="en-GB" w:eastAsia="zh-CN"/>
        </w:rPr>
      </w:pPr>
    </w:p>
    <w:p w14:paraId="0820CC89" w14:textId="77777777" w:rsidR="00FC4C30" w:rsidRDefault="00BD3D6F" w:rsidP="00FC4C30">
      <w:pPr>
        <w:keepNext/>
      </w:pPr>
      <w:r>
        <w:rPr>
          <w:noProof/>
        </w:rPr>
        <w:lastRenderedPageBreak/>
        <w:drawing>
          <wp:inline distT="0" distB="0" distL="0" distR="0" wp14:anchorId="68496563" wp14:editId="36D65D0A">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6D535CDD" w14:textId="015E3969" w:rsidR="00FC4C30" w:rsidRDefault="00FC4C30" w:rsidP="00FC4C30">
      <w:pPr>
        <w:pStyle w:val="Caption"/>
        <w:jc w:val="left"/>
      </w:pPr>
      <w:bookmarkStart w:id="1" w:name="_Ref478132033"/>
      <w:r>
        <w:t xml:space="preserve">Figure </w:t>
      </w:r>
      <w:fldSimple w:instr=" SEQ Figure \* ARABIC ">
        <w:r>
          <w:rPr>
            <w:noProof/>
          </w:rPr>
          <w:t>1</w:t>
        </w:r>
      </w:fldSimple>
      <w:bookmarkEnd w:id="1"/>
      <w:r>
        <w:t>: Illustration of phase change over frequency of optimal beam combining coefficients for case with low per-beam delay spread and low differences in average delay of beams</w:t>
      </w:r>
    </w:p>
    <w:p w14:paraId="4DC4EBC2" w14:textId="77777777" w:rsidR="00FC4C30" w:rsidRDefault="00FC4C30" w:rsidP="00FC4C30">
      <w:pPr>
        <w:keepNext/>
      </w:pPr>
      <w:r>
        <w:rPr>
          <w:noProof/>
        </w:rPr>
        <w:lastRenderedPageBreak/>
        <w:drawing>
          <wp:inline distT="0" distB="0" distL="0" distR="0" wp14:anchorId="39A28A9E" wp14:editId="6084501C">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7CC86063" w14:textId="5FFB9E8B" w:rsidR="00FC4C30" w:rsidRDefault="00FC4C30" w:rsidP="00FC4C30">
      <w:pPr>
        <w:pStyle w:val="Caption"/>
        <w:keepNext/>
        <w:jc w:val="left"/>
      </w:pPr>
      <w:bookmarkStart w:id="2" w:name="_Ref478132034"/>
      <w:r>
        <w:t xml:space="preserve">Figure </w:t>
      </w:r>
      <w:fldSimple w:instr=" SEQ Figure \* ARABIC ">
        <w:r>
          <w:rPr>
            <w:noProof/>
          </w:rPr>
          <w:t>2</w:t>
        </w:r>
      </w:fldSimple>
      <w:bookmarkEnd w:id="2"/>
      <w:r>
        <w:t>:  Illustration of phase change over frequency of optimal beam combining coefficients for case with low per-beam delay spread and high differences in average delay of beams</w:t>
      </w:r>
      <w:r>
        <w:rPr>
          <w:noProof/>
        </w:rPr>
        <w:drawing>
          <wp:inline distT="0" distB="0" distL="0" distR="0" wp14:anchorId="20E0B96B" wp14:editId="5F4216B1">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6A98319B" w14:textId="5C65B701" w:rsidR="00BD3D6F" w:rsidRPr="00BF45AC" w:rsidRDefault="00FC4C30" w:rsidP="00FC4C30">
      <w:pPr>
        <w:pStyle w:val="Caption"/>
        <w:jc w:val="left"/>
        <w:rPr>
          <w:lang w:val="en-GB" w:eastAsia="zh-CN"/>
        </w:rPr>
      </w:pPr>
      <w:bookmarkStart w:id="3" w:name="_Ref478132036"/>
      <w:r>
        <w:lastRenderedPageBreak/>
        <w:t xml:space="preserve">Figure </w:t>
      </w:r>
      <w:fldSimple w:instr=" SEQ Figure \* ARABIC ">
        <w:r>
          <w:rPr>
            <w:noProof/>
          </w:rPr>
          <w:t>3</w:t>
        </w:r>
      </w:fldSimple>
      <w:bookmarkEnd w:id="3"/>
      <w:r>
        <w:t>: Illustration of phase change over frequency of optimal beam combining coefficients for case with high per-beam delay spread and low differences in average delay of beams</w:t>
      </w:r>
    </w:p>
    <w:p w14:paraId="10A1E1DF" w14:textId="5B9D450D" w:rsidR="002E129C" w:rsidRDefault="002E129C" w:rsidP="00E11E20">
      <w:pPr>
        <w:rPr>
          <w:lang w:eastAsia="zh-CN"/>
        </w:rPr>
      </w:pPr>
      <w:r>
        <w:rPr>
          <w:lang w:eastAsia="zh-CN"/>
        </w:rPr>
        <w:t>One approach to utilizing the frequency correlation of the be</w:t>
      </w:r>
      <w:r w:rsidR="00D81FA1">
        <w:rPr>
          <w:lang w:eastAsia="zh-CN"/>
        </w:rPr>
        <w:t>am co-phasing coefficients of a single layer is to compress the CSI is to:</w:t>
      </w:r>
    </w:p>
    <w:p w14:paraId="159E0196" w14:textId="350FD197" w:rsidR="00D81FA1" w:rsidRPr="00D81FA1" w:rsidRDefault="00D81FA1" w:rsidP="00D81FA1">
      <w:pPr>
        <w:pStyle w:val="ListParagraph"/>
        <w:numPr>
          <w:ilvl w:val="0"/>
          <w:numId w:val="44"/>
        </w:numPr>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1A4BB5A2" w14:textId="5B61CA8B" w:rsidR="00D81FA1" w:rsidRPr="00D81FA1" w:rsidRDefault="00D81FA1" w:rsidP="00D81FA1">
      <w:pPr>
        <w:pStyle w:val="ListParagraph"/>
        <w:numPr>
          <w:ilvl w:val="0"/>
          <w:numId w:val="44"/>
        </w:numPr>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1A4173A" w14:textId="73AC1155" w:rsidR="00D81FA1" w:rsidRDefault="00D81FA1" w:rsidP="00D81FA1">
      <w:pPr>
        <w:pStyle w:val="ListParagraph"/>
        <w:numPr>
          <w:ilvl w:val="0"/>
          <w:numId w:val="44"/>
        </w:numPr>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 xml:space="preserve">where each </w:t>
      </w:r>
      <w:r w:rsidR="00893954">
        <w:t>row corresponds to a beam combining coefficient and each column corresponds to a PRB</w:t>
      </w:r>
    </w:p>
    <w:p w14:paraId="6E17A75D" w14:textId="1D0EFFFC" w:rsidR="00893954" w:rsidRPr="00893954" w:rsidRDefault="00893954" w:rsidP="00D81FA1">
      <w:pPr>
        <w:pStyle w:val="ListParagraph"/>
        <w:numPr>
          <w:ilvl w:val="0"/>
          <w:numId w:val="44"/>
        </w:numPr>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637F3213" w14:textId="3970DF94" w:rsidR="00893954" w:rsidRDefault="00893954" w:rsidP="00D81FA1">
      <w:pPr>
        <w:pStyle w:val="ListParagraph"/>
        <w:numPr>
          <w:ilvl w:val="0"/>
          <w:numId w:val="44"/>
        </w:numPr>
        <w:rPr>
          <w:lang w:eastAsia="zh-CN"/>
        </w:rPr>
      </w:pPr>
      <w:r w:rsidRPr="00893954">
        <w:t>For each beam combining coefficient,</w:t>
      </w:r>
      <w:r>
        <w:t xml:space="preserve"> window out </w:t>
      </w:r>
      <w:proofErr w:type="gramStart"/>
      <w:r>
        <w:t>a number of</w:t>
      </w:r>
      <w:proofErr w:type="gramEnd"/>
      <w:r>
        <w:t xml:space="preserve">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28090C34" w14:textId="0C852CA1" w:rsidR="00893954" w:rsidRDefault="00893954" w:rsidP="00893954">
      <w:pPr>
        <w:pStyle w:val="ListParagraph"/>
        <w:numPr>
          <w:ilvl w:val="1"/>
          <w:numId w:val="44"/>
        </w:numPr>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w:t>
      </w:r>
      <w:proofErr w:type="gramStart"/>
      <w:r>
        <w:t>needs to</w:t>
      </w:r>
      <w:proofErr w:type="gramEnd"/>
      <w:r>
        <w:t xml:space="preserve"> be fed back per beam</w:t>
      </w:r>
    </w:p>
    <w:p w14:paraId="6C0DDF2C" w14:textId="09CE34B3" w:rsidR="00893954" w:rsidRPr="002E129C" w:rsidRDefault="00893954" w:rsidP="00654196">
      <w:pPr>
        <w:pStyle w:val="ListParagraph"/>
        <w:numPr>
          <w:ilvl w:val="0"/>
          <w:numId w:val="44"/>
        </w:numPr>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60A57942" w14:textId="09CA63DF" w:rsidR="002E129C" w:rsidRPr="00E11E20" w:rsidRDefault="00AB1CC4" w:rsidP="00E11E20">
      <w:pPr>
        <w:rPr>
          <w:lang w:val="en-GB" w:eastAsia="zh-CN"/>
        </w:rPr>
      </w:pPr>
      <w:r>
        <w:rPr>
          <w:lang w:eastAsia="zh-CN"/>
        </w:rPr>
        <w:t>Depending on the size of the time-domain window, W,</w:t>
      </w:r>
      <w:r w:rsidR="00D91334">
        <w:rPr>
          <w:lang w:eastAsia="zh-CN"/>
        </w:rPr>
        <w:t xml:space="preserve"> as well as the carrier bandwidth and subband size, this approach may substantially reduce the CSI payload compare to per subband quantization approach.</w:t>
      </w:r>
    </w:p>
    <w:p w14:paraId="499E4468" w14:textId="046C474A" w:rsidR="00E11E20" w:rsidRDefault="00E11E20" w:rsidP="00E11E20">
      <w:pPr>
        <w:pStyle w:val="Heading1"/>
      </w:pPr>
      <w:r>
        <w:t>Evaluation results</w:t>
      </w:r>
    </w:p>
    <w:p w14:paraId="48F794D5" w14:textId="45255025" w:rsidR="00D91334" w:rsidRDefault="00D91334" w:rsidP="00D91334">
      <w:pPr>
        <w:rPr>
          <w:rFonts w:eastAsiaTheme="minorEastAsia"/>
          <w:lang w:val="en-GB" w:eastAsia="zh-CN"/>
        </w:rPr>
      </w:pPr>
      <w:r>
        <w:rPr>
          <w:lang w:val="en-GB" w:eastAsia="zh-CN"/>
        </w:rP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lang w:val="en-GB" w:eastAsia="zh-CN"/>
          </w:rPr>
          <m:t>W∈{1, 3 6}</m:t>
        </m:r>
      </m:oMath>
      <w:r>
        <w:rPr>
          <w:rFonts w:eastAsiaTheme="minorEastAsia"/>
          <w:lang w:val="en-GB" w:eastAsia="zh-CN"/>
        </w:rPr>
        <w:t xml:space="preserve">. This is compared to Type II codebook using per subband and per PRB W2 selection. All Type II schemes use 4 beams and quantize the </w:t>
      </w:r>
      <w:r w:rsidR="00496392">
        <w:rPr>
          <w:rFonts w:eastAsiaTheme="minorEastAsia"/>
          <w:lang w:val="en-GB" w:eastAsia="zh-CN"/>
        </w:rPr>
        <w:t>complex coefficients in W2 with 3 bits for amplitude and 3 bits for phase. As an upper bound, ideal SVD precoding per PRB is used.</w:t>
      </w:r>
    </w:p>
    <w:p w14:paraId="43807129" w14:textId="0A682752" w:rsidR="00496392" w:rsidRPr="00D91334" w:rsidRDefault="00496392" w:rsidP="00D91334">
      <w:pPr>
        <w:rPr>
          <w:lang w:val="en-GB" w:eastAsia="zh-CN"/>
        </w:rPr>
      </w:pPr>
      <w:r>
        <w:rPr>
          <w:rFonts w:eastAsiaTheme="minorEastAsia"/>
          <w:lang w:val="en-GB" w:eastAsia="zh-CN"/>
        </w:rPr>
        <w:t xml:space="preserve">The frequency parametrization scheme has a feedback payload of 110, 206 and 350 bits for window sizes of </w:t>
      </w:r>
      <m:oMath>
        <m:r>
          <w:rPr>
            <w:rFonts w:ascii="Cambria Math" w:eastAsiaTheme="minorEastAsia" w:hAnsi="Cambria Math"/>
            <w:lang w:val="en-GB" w:eastAsia="zh-CN"/>
          </w:rPr>
          <m:t>W=1,3 &amp; 6</m:t>
        </m:r>
      </m:oMath>
      <w:proofErr w:type="gramStart"/>
      <w:r>
        <w:rPr>
          <w:rFonts w:eastAsiaTheme="minorEastAsia"/>
          <w:lang w:val="en-GB" w:eastAsia="zh-CN"/>
        </w:rPr>
        <w:t>, respectively, assuming</w:t>
      </w:r>
      <w:proofErr w:type="gramEnd"/>
      <w:r>
        <w:rPr>
          <w:rFonts w:eastAsiaTheme="minorEastAsia"/>
          <w:lang w:val="en-GB" w:eastAsia="zh-CN"/>
        </w:rPr>
        <w:t xml:space="preserve"> 50 PRBs. This should be compared to 452 bits for the Type II scheme using per subband quantization and 67 bits for the LTE Rel-14 advanced CSI codebook. The evaluation results are presented in </w:t>
      </w:r>
      <w:r>
        <w:rPr>
          <w:rFonts w:eastAsiaTheme="minorEastAsia"/>
          <w:lang w:val="en-GB" w:eastAsia="zh-CN"/>
        </w:rPr>
        <w:fldChar w:fldCharType="begin"/>
      </w:r>
      <w:r>
        <w:rPr>
          <w:rFonts w:eastAsiaTheme="minorEastAsia"/>
          <w:lang w:val="en-GB" w:eastAsia="zh-CN"/>
        </w:rPr>
        <w:instrText xml:space="preserve"> REF _Ref478140112 \h </w:instrText>
      </w:r>
      <w:r>
        <w:rPr>
          <w:rFonts w:eastAsiaTheme="minorEastAsia"/>
          <w:lang w:val="en-GB" w:eastAsia="zh-CN"/>
        </w:rPr>
      </w:r>
      <w:r>
        <w:rPr>
          <w:rFonts w:eastAsiaTheme="minorEastAsia"/>
          <w:lang w:val="en-GB" w:eastAsia="zh-CN"/>
        </w:rPr>
        <w:fldChar w:fldCharType="separate"/>
      </w:r>
      <w:r>
        <w:t xml:space="preserve">Figure </w:t>
      </w:r>
      <w:r>
        <w:rPr>
          <w:noProof/>
        </w:rPr>
        <w:t>4</w:t>
      </w:r>
      <w:r>
        <w:rPr>
          <w:rFonts w:eastAsiaTheme="minorEastAsia"/>
          <w:lang w:val="en-GB" w:eastAsia="zh-CN"/>
        </w:rPr>
        <w:fldChar w:fldCharType="end"/>
      </w:r>
      <w:r>
        <w:rPr>
          <w:rFonts w:eastAsiaTheme="minorEastAsia"/>
          <w:lang w:val="en-GB" w:eastAsia="zh-CN"/>
        </w:rPr>
        <w:t>. As may be seen, the frequency parametrization scheme using a window size of one (W=1, corresponding to parametrizing the phase change over frequency as a linear function) can achieve significant increase in SNR compared to Rel-14 codebook</w:t>
      </w:r>
      <w:r w:rsidR="008951D5">
        <w:rPr>
          <w:rFonts w:eastAsiaTheme="minorEastAsia"/>
          <w:lang w:val="en-GB" w:eastAsia="zh-CN"/>
        </w:rPr>
        <w:t>, this increase in performance comes only at the cost of 43 additional bits</w:t>
      </w:r>
      <w:r>
        <w:rPr>
          <w:rFonts w:eastAsiaTheme="minorEastAsia"/>
          <w:lang w:val="en-GB" w:eastAsia="zh-CN"/>
        </w:rPr>
        <w:t>. With window sizes of 3 and 6, the resulting SNR is</w:t>
      </w:r>
      <w:r w:rsidR="008951D5">
        <w:rPr>
          <w:rFonts w:eastAsiaTheme="minorEastAsia"/>
          <w:lang w:val="en-GB" w:eastAsia="zh-CN"/>
        </w:rPr>
        <w:t xml:space="preserve"> on par with the Type II codebook using per subband quantization. But while the latter scheme uses 452 bits for a rank-1 report, the frequency parametrization scheme with W=3 uses only 206 bits, resulting in a 55% decrease in overhead!</w:t>
      </w:r>
    </w:p>
    <w:p w14:paraId="3A1D1FF1" w14:textId="4BA848A9" w:rsidR="00536CD6" w:rsidRDefault="008F5586" w:rsidP="00536CD6">
      <w:pPr>
        <w:keepNext/>
      </w:pPr>
      <w:r w:rsidRPr="008F5586">
        <w:rPr>
          <w:noProof/>
        </w:rPr>
        <w:lastRenderedPageBreak/>
        <w:drawing>
          <wp:inline distT="0" distB="0" distL="0" distR="0" wp14:anchorId="11F8498C" wp14:editId="11DCAAFE">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4720590"/>
                    </a:xfrm>
                    <a:prstGeom prst="rect">
                      <a:avLst/>
                    </a:prstGeom>
                  </pic:spPr>
                </pic:pic>
              </a:graphicData>
            </a:graphic>
          </wp:inline>
        </w:drawing>
      </w:r>
    </w:p>
    <w:p w14:paraId="555F0595" w14:textId="431711A6" w:rsidR="00E11E20" w:rsidRDefault="00536CD6" w:rsidP="00536CD6">
      <w:pPr>
        <w:pStyle w:val="Caption"/>
        <w:jc w:val="left"/>
        <w:rPr>
          <w:lang w:val="en-GB" w:eastAsia="zh-CN"/>
        </w:rPr>
      </w:pPr>
      <w:bookmarkStart w:id="4" w:name="_Ref478140112"/>
      <w:r>
        <w:t xml:space="preserve">Figure </w:t>
      </w:r>
      <w:fldSimple w:instr=" SEQ Figure \* ARABIC ">
        <w:r w:rsidR="00FC4C30">
          <w:rPr>
            <w:noProof/>
          </w:rPr>
          <w:t>4</w:t>
        </w:r>
      </w:fldSimple>
      <w:bookmarkEnd w:id="4"/>
      <w:r>
        <w:t xml:space="preserve">: SNR comparison between </w:t>
      </w:r>
      <w:r w:rsidR="00576181">
        <w:t>Type II codebooks using subband quantization and frequency parametrization</w:t>
      </w:r>
    </w:p>
    <w:p w14:paraId="6DE9F68D" w14:textId="40776D0C" w:rsidR="00576181" w:rsidRDefault="00576181" w:rsidP="00576181">
      <w:pPr>
        <w:pStyle w:val="Caption"/>
        <w:keepNext/>
      </w:pPr>
      <w:r>
        <w:t xml:space="preserve">Table </w:t>
      </w:r>
      <w:fldSimple w:instr=" SEQ Table \* ARABIC ">
        <w:r>
          <w:rPr>
            <w:noProof/>
          </w:rPr>
          <w:t>1</w:t>
        </w:r>
      </w:fldSimple>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576181" w:rsidRPr="00576181" w14:paraId="2E21F81D" w14:textId="6E341667" w:rsidTr="0057618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58A5D075"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Scheme</w:t>
            </w:r>
          </w:p>
        </w:tc>
        <w:tc>
          <w:tcPr>
            <w:tcW w:w="2680" w:type="dxa"/>
            <w:noWrap/>
            <w:hideMark/>
          </w:tcPr>
          <w:p w14:paraId="6C3AFDA8" w14:textId="14EF3A9F" w:rsidR="00576181" w:rsidRPr="00576181" w:rsidRDefault="00576181" w:rsidP="0057618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sidRPr="00576181">
              <w:rPr>
                <w:rFonts w:ascii="Calibri" w:eastAsia="Times New Roman" w:hAnsi="Calibri" w:cs="Times New Roman"/>
                <w:color w:val="000000"/>
              </w:rPr>
              <w:t xml:space="preserve">5th percentile </w:t>
            </w:r>
            <w:proofErr w:type="gramStart"/>
            <w:r w:rsidRPr="00576181">
              <w:rPr>
                <w:rFonts w:ascii="Calibri" w:eastAsia="Times New Roman" w:hAnsi="Calibri" w:cs="Times New Roman"/>
                <w:color w:val="000000"/>
              </w:rPr>
              <w:t xml:space="preserve">SNR </w:t>
            </w:r>
            <w:r w:rsidR="00A37AAA">
              <w:rPr>
                <w:rFonts w:ascii="Calibri" w:eastAsia="Times New Roman" w:hAnsi="Calibri" w:cs="Times New Roman"/>
                <w:color w:val="000000"/>
              </w:rPr>
              <w:t xml:space="preserve"> [</w:t>
            </w:r>
            <w:proofErr w:type="gramEnd"/>
            <w:r w:rsidR="00A37AAA">
              <w:rPr>
                <w:rFonts w:ascii="Calibri" w:eastAsia="Times New Roman" w:hAnsi="Calibri" w:cs="Times New Roman"/>
                <w:color w:val="000000"/>
              </w:rPr>
              <w:t>dB]</w:t>
            </w:r>
          </w:p>
        </w:tc>
        <w:tc>
          <w:tcPr>
            <w:tcW w:w="2680" w:type="dxa"/>
          </w:tcPr>
          <w:p w14:paraId="5F4C6AEC" w14:textId="2C07DAF7" w:rsidR="00576181" w:rsidRPr="00576181" w:rsidRDefault="00576181" w:rsidP="00576181">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Feedback overhead (single layer) over 50 PRBs</w:t>
            </w:r>
          </w:p>
        </w:tc>
      </w:tr>
      <w:tr w:rsidR="00576181" w:rsidRPr="00576181" w14:paraId="421B0327" w14:textId="11AEC32B" w:rsidTr="008F55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8384188"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LTE Rel-13 CB</w:t>
            </w:r>
          </w:p>
        </w:tc>
        <w:tc>
          <w:tcPr>
            <w:tcW w:w="2680" w:type="dxa"/>
            <w:noWrap/>
          </w:tcPr>
          <w:p w14:paraId="5136E5CE" w14:textId="1C52A168" w:rsidR="00576181" w:rsidRPr="00576181" w:rsidRDefault="00A37AAA"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10.54</w:t>
            </w:r>
          </w:p>
        </w:tc>
        <w:tc>
          <w:tcPr>
            <w:tcW w:w="2680" w:type="dxa"/>
          </w:tcPr>
          <w:p w14:paraId="7881FD84" w14:textId="4FE0DD0B" w:rsidR="00576181" w:rsidRPr="00576181" w:rsidRDefault="00A37AAA"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42</w:t>
            </w:r>
            <w:r w:rsidR="00576181">
              <w:rPr>
                <w:rFonts w:ascii="Calibri" w:eastAsia="Times New Roman" w:hAnsi="Calibri" w:cs="Times New Roman"/>
                <w:color w:val="000000"/>
              </w:rPr>
              <w:t xml:space="preserve"> bits </w:t>
            </w:r>
          </w:p>
        </w:tc>
      </w:tr>
      <w:tr w:rsidR="00A37AAA" w:rsidRPr="00576181" w14:paraId="78F49263" w14:textId="77777777" w:rsidTr="008F5586">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4965E4B0" w14:textId="2C9AC260" w:rsidR="00A37AAA" w:rsidRPr="00576181" w:rsidRDefault="00A37AAA" w:rsidP="00576181">
            <w:pPr>
              <w:spacing w:after="0" w:line="240" w:lineRule="auto"/>
              <w:rPr>
                <w:rFonts w:ascii="Calibri" w:eastAsia="Times New Roman" w:hAnsi="Calibri" w:cs="Times New Roman"/>
                <w:color w:val="000000"/>
              </w:rPr>
            </w:pPr>
            <w:r>
              <w:rPr>
                <w:rFonts w:ascii="Calibri" w:eastAsia="Times New Roman" w:hAnsi="Calibri" w:cs="Times New Roman"/>
                <w:color w:val="000000"/>
              </w:rPr>
              <w:t>LTE Rel-14 Adv. CSI</w:t>
            </w:r>
            <w:r w:rsidRPr="00576181">
              <w:rPr>
                <w:rFonts w:ascii="Calibri" w:eastAsia="Times New Roman" w:hAnsi="Calibri" w:cs="Times New Roman"/>
                <w:color w:val="000000"/>
              </w:rPr>
              <w:t xml:space="preserve"> CB</w:t>
            </w:r>
            <w:r>
              <w:rPr>
                <w:rFonts w:ascii="Calibri" w:eastAsia="Times New Roman" w:hAnsi="Calibri" w:cs="Times New Roman"/>
                <w:color w:val="000000"/>
              </w:rPr>
              <w:t xml:space="preserve"> (+ free beam selection)</w:t>
            </w:r>
          </w:p>
        </w:tc>
        <w:tc>
          <w:tcPr>
            <w:tcW w:w="2680" w:type="dxa"/>
            <w:noWrap/>
          </w:tcPr>
          <w:p w14:paraId="6503193D" w14:textId="376D8382" w:rsidR="00A37AAA" w:rsidRPr="00576181" w:rsidRDefault="00A37AAA"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11.52</w:t>
            </w:r>
          </w:p>
        </w:tc>
        <w:tc>
          <w:tcPr>
            <w:tcW w:w="2680" w:type="dxa"/>
          </w:tcPr>
          <w:p w14:paraId="42EC292E" w14:textId="1DCFFF69" w:rsidR="00A37AAA" w:rsidRDefault="00A37AAA"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67 bits</w:t>
            </w:r>
          </w:p>
        </w:tc>
      </w:tr>
      <w:tr w:rsidR="00576181" w:rsidRPr="00576181" w14:paraId="3E3478EC" w14:textId="2DE7BA4C" w:rsidTr="008F55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54B78D"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Type II CB, Freq. Par. IFFT W=1</w:t>
            </w:r>
          </w:p>
        </w:tc>
        <w:tc>
          <w:tcPr>
            <w:tcW w:w="2680" w:type="dxa"/>
            <w:noWrap/>
          </w:tcPr>
          <w:p w14:paraId="4A126188" w14:textId="7D7F811F" w:rsidR="00576181" w:rsidRPr="00576181" w:rsidRDefault="00A37AAA"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12.82</w:t>
            </w:r>
          </w:p>
        </w:tc>
        <w:tc>
          <w:tcPr>
            <w:tcW w:w="2680" w:type="dxa"/>
          </w:tcPr>
          <w:p w14:paraId="2DE2CD80" w14:textId="6E6C5D4F" w:rsidR="00576181" w:rsidRPr="00576181" w:rsidRDefault="003B51EB"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110</w:t>
            </w:r>
            <w:r w:rsidR="00576181">
              <w:rPr>
                <w:rFonts w:ascii="Calibri" w:eastAsia="Times New Roman" w:hAnsi="Calibri" w:cs="Times New Roman"/>
                <w:color w:val="000000"/>
              </w:rPr>
              <w:t xml:space="preserve"> bits</w:t>
            </w:r>
          </w:p>
        </w:tc>
      </w:tr>
      <w:tr w:rsidR="00576181" w:rsidRPr="00576181" w14:paraId="38C09ECE" w14:textId="70F283CF" w:rsidTr="008F5586">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7E0FB964"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Type II CB, Freq. Par. IFFT W=3</w:t>
            </w:r>
          </w:p>
        </w:tc>
        <w:tc>
          <w:tcPr>
            <w:tcW w:w="2680" w:type="dxa"/>
            <w:noWrap/>
          </w:tcPr>
          <w:p w14:paraId="3C48325B" w14:textId="71814522" w:rsidR="00576181" w:rsidRPr="00576181" w:rsidRDefault="00A37AAA"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13.33</w:t>
            </w:r>
          </w:p>
        </w:tc>
        <w:tc>
          <w:tcPr>
            <w:tcW w:w="2680" w:type="dxa"/>
          </w:tcPr>
          <w:p w14:paraId="22B79403" w14:textId="29E0F658" w:rsidR="00576181" w:rsidRPr="00576181" w:rsidRDefault="003B51EB"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206</w:t>
            </w:r>
            <w:r w:rsidR="00576181">
              <w:rPr>
                <w:rFonts w:ascii="Calibri" w:eastAsia="Times New Roman" w:hAnsi="Calibri" w:cs="Times New Roman"/>
                <w:color w:val="000000"/>
              </w:rPr>
              <w:t xml:space="preserve"> bits</w:t>
            </w:r>
          </w:p>
        </w:tc>
      </w:tr>
      <w:tr w:rsidR="00576181" w:rsidRPr="00576181" w14:paraId="67B45831" w14:textId="77B5FBA5" w:rsidTr="008F55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50992531"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Type II CB, Freq. Par. IFFT W=6</w:t>
            </w:r>
          </w:p>
        </w:tc>
        <w:tc>
          <w:tcPr>
            <w:tcW w:w="2680" w:type="dxa"/>
            <w:noWrap/>
          </w:tcPr>
          <w:p w14:paraId="1E34B945" w14:textId="396C04B4" w:rsidR="00576181" w:rsidRPr="00576181" w:rsidRDefault="00A37AAA"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13.51</w:t>
            </w:r>
          </w:p>
        </w:tc>
        <w:tc>
          <w:tcPr>
            <w:tcW w:w="2680" w:type="dxa"/>
          </w:tcPr>
          <w:p w14:paraId="1B83F0DD" w14:textId="6742FDBD" w:rsidR="00576181" w:rsidRPr="00576181" w:rsidRDefault="003B51EB"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 xml:space="preserve">350 </w:t>
            </w:r>
            <w:r w:rsidR="00576181">
              <w:rPr>
                <w:rFonts w:ascii="Calibri" w:eastAsia="Times New Roman" w:hAnsi="Calibri" w:cs="Times New Roman"/>
                <w:color w:val="000000"/>
              </w:rPr>
              <w:t>bits</w:t>
            </w:r>
          </w:p>
        </w:tc>
      </w:tr>
      <w:tr w:rsidR="008F5586" w:rsidRPr="00576181" w14:paraId="3CAD2626" w14:textId="77777777" w:rsidTr="008F5586">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021C1E39" w14:textId="5A13885C" w:rsidR="008F5586" w:rsidRPr="00576181" w:rsidRDefault="00A37AAA"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Type II CB, Per subband quantization</w:t>
            </w:r>
          </w:p>
        </w:tc>
        <w:tc>
          <w:tcPr>
            <w:tcW w:w="2680" w:type="dxa"/>
            <w:noWrap/>
          </w:tcPr>
          <w:p w14:paraId="0BC02AC8" w14:textId="74000861" w:rsidR="008F5586" w:rsidRPr="00576181" w:rsidRDefault="00A37AAA"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13.52</w:t>
            </w:r>
          </w:p>
        </w:tc>
        <w:tc>
          <w:tcPr>
            <w:tcW w:w="2680" w:type="dxa"/>
          </w:tcPr>
          <w:p w14:paraId="6635E55E" w14:textId="06203612" w:rsidR="008F5586" w:rsidRDefault="003B51EB"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452 bits</w:t>
            </w:r>
          </w:p>
        </w:tc>
      </w:tr>
      <w:tr w:rsidR="00576181" w:rsidRPr="00576181" w14:paraId="4EFB2406" w14:textId="2FBC14F2" w:rsidTr="008F55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CA83EA0" w14:textId="6EC2CD27" w:rsidR="00576181" w:rsidRPr="00576181" w:rsidRDefault="00A37AAA"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 xml:space="preserve">Type II CB, Per </w:t>
            </w:r>
            <w:r>
              <w:rPr>
                <w:rFonts w:ascii="Calibri" w:eastAsia="Times New Roman" w:hAnsi="Calibri" w:cs="Times New Roman"/>
                <w:color w:val="000000"/>
              </w:rPr>
              <w:t>RB</w:t>
            </w:r>
            <w:r w:rsidRPr="00576181">
              <w:rPr>
                <w:rFonts w:ascii="Calibri" w:eastAsia="Times New Roman" w:hAnsi="Calibri" w:cs="Times New Roman"/>
                <w:color w:val="000000"/>
              </w:rPr>
              <w:t xml:space="preserve"> quantization</w:t>
            </w:r>
          </w:p>
        </w:tc>
        <w:tc>
          <w:tcPr>
            <w:tcW w:w="2680" w:type="dxa"/>
            <w:noWrap/>
          </w:tcPr>
          <w:p w14:paraId="2D77260A" w14:textId="687104AF" w:rsidR="00576181" w:rsidRPr="00576181" w:rsidRDefault="00A37AAA"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14.11</w:t>
            </w:r>
          </w:p>
        </w:tc>
        <w:tc>
          <w:tcPr>
            <w:tcW w:w="2680" w:type="dxa"/>
          </w:tcPr>
          <w:p w14:paraId="5D7C4667" w14:textId="6EED7A00" w:rsidR="00576181" w:rsidRPr="00576181" w:rsidRDefault="003B51EB" w:rsidP="00576181">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2420 bits</w:t>
            </w:r>
          </w:p>
        </w:tc>
      </w:tr>
      <w:tr w:rsidR="00576181" w:rsidRPr="00576181" w14:paraId="34F01FA3" w14:textId="03A5C9FE" w:rsidTr="008F5586">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3A1E495" w14:textId="77777777" w:rsidR="00576181" w:rsidRPr="00576181" w:rsidRDefault="00576181" w:rsidP="00576181">
            <w:pPr>
              <w:spacing w:after="0" w:line="240" w:lineRule="auto"/>
              <w:rPr>
                <w:rFonts w:ascii="Calibri" w:eastAsia="Times New Roman" w:hAnsi="Calibri" w:cs="Times New Roman"/>
                <w:color w:val="000000"/>
              </w:rPr>
            </w:pPr>
            <w:r w:rsidRPr="00576181">
              <w:rPr>
                <w:rFonts w:ascii="Calibri" w:eastAsia="Times New Roman" w:hAnsi="Calibri" w:cs="Times New Roman"/>
                <w:color w:val="000000"/>
              </w:rPr>
              <w:t>SVD per PRB (ideal)</w:t>
            </w:r>
          </w:p>
        </w:tc>
        <w:tc>
          <w:tcPr>
            <w:tcW w:w="2680" w:type="dxa"/>
            <w:noWrap/>
          </w:tcPr>
          <w:p w14:paraId="44CAD8E8" w14:textId="3D81C762" w:rsidR="00576181" w:rsidRPr="00576181" w:rsidRDefault="00A37AAA"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15.33</w:t>
            </w:r>
          </w:p>
        </w:tc>
        <w:tc>
          <w:tcPr>
            <w:tcW w:w="2680" w:type="dxa"/>
          </w:tcPr>
          <w:p w14:paraId="0A42D052" w14:textId="7B9199CA" w:rsidR="00576181" w:rsidRPr="00576181" w:rsidRDefault="00576181" w:rsidP="00576181">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m:oMath>
              <m:r>
                <w:rPr>
                  <w:rFonts w:ascii="Cambria Math" w:eastAsia="Times New Roman" w:hAnsi="Cambria Math" w:cs="Times New Roman"/>
                  <w:color w:val="000000"/>
                </w:rPr>
                <m:t>∞</m:t>
              </m:r>
            </m:oMath>
            <w:r>
              <w:rPr>
                <w:rFonts w:ascii="Calibri" w:eastAsia="Times New Roman" w:hAnsi="Calibri" w:cs="Times New Roman"/>
                <w:color w:val="000000"/>
              </w:rPr>
              <w:t xml:space="preserve"> bits </w:t>
            </w:r>
          </w:p>
        </w:tc>
      </w:tr>
    </w:tbl>
    <w:p w14:paraId="67664667" w14:textId="05BC2726" w:rsidR="00E11E20" w:rsidRDefault="00E11E20" w:rsidP="00E11E20">
      <w:pPr>
        <w:rPr>
          <w:lang w:val="en-GB" w:eastAsia="zh-CN"/>
        </w:rPr>
      </w:pPr>
    </w:p>
    <w:p w14:paraId="1E369FDE" w14:textId="1F257588" w:rsidR="00496392" w:rsidRDefault="00496392" w:rsidP="00E11E20">
      <w:pPr>
        <w:rPr>
          <w:b/>
          <w:lang w:val="en-GB" w:eastAsia="zh-CN"/>
        </w:rPr>
      </w:pPr>
      <w:r w:rsidRPr="00496392">
        <w:rPr>
          <w:b/>
          <w:lang w:val="en-GB" w:eastAsia="zh-CN"/>
        </w:rPr>
        <w:lastRenderedPageBreak/>
        <w:t>Observations:</w:t>
      </w:r>
    </w:p>
    <w:p w14:paraId="7B1AA696" w14:textId="29BCB8A6" w:rsidR="00496392" w:rsidRDefault="00496392" w:rsidP="00496392">
      <w:pPr>
        <w:pStyle w:val="ListParagraph"/>
        <w:numPr>
          <w:ilvl w:val="0"/>
          <w:numId w:val="45"/>
        </w:numPr>
        <w:rPr>
          <w:lang w:val="en-GB" w:eastAsia="zh-CN"/>
        </w:rPr>
      </w:pPr>
      <w:r w:rsidRPr="00496392">
        <w:rPr>
          <w:lang w:val="en-GB" w:eastAsia="zh-CN"/>
        </w:rPr>
        <w:t>Frequency parametrization approach</w:t>
      </w:r>
      <w:r>
        <w:rPr>
          <w:lang w:val="en-GB" w:eastAsia="zh-CN"/>
        </w:rPr>
        <w:t>, with W=1, can yield substantial SNR improvement over Rel-14 advanced CSI codebook, with only a 43 bit increase in payload</w:t>
      </w:r>
    </w:p>
    <w:p w14:paraId="5640C568" w14:textId="5C4EB33E" w:rsidR="00496392" w:rsidRDefault="00496392" w:rsidP="00496392">
      <w:pPr>
        <w:pStyle w:val="ListParagraph"/>
        <w:numPr>
          <w:ilvl w:val="0"/>
          <w:numId w:val="45"/>
        </w:numPr>
        <w:rPr>
          <w:lang w:val="en-GB" w:eastAsia="zh-CN"/>
        </w:rPr>
      </w:pPr>
      <w:r w:rsidRPr="00496392">
        <w:rPr>
          <w:lang w:val="en-GB" w:eastAsia="zh-CN"/>
        </w:rPr>
        <w:t>Frequency parametrization approach</w:t>
      </w:r>
      <w:r>
        <w:rPr>
          <w:lang w:val="en-GB" w:eastAsia="zh-CN"/>
        </w:rPr>
        <w:t>, with W=3, can yield similar SNR as Type II codebook with per subband quantization</w:t>
      </w:r>
      <w:r w:rsidR="008951D5">
        <w:rPr>
          <w:lang w:val="en-GB" w:eastAsia="zh-CN"/>
        </w:rPr>
        <w:t>, but with a 55% reduction in overhead</w:t>
      </w:r>
    </w:p>
    <w:p w14:paraId="558692FD" w14:textId="68DDF8D8" w:rsidR="00E11E20" w:rsidRDefault="00496392" w:rsidP="00496392">
      <w:pPr>
        <w:pStyle w:val="Heading1"/>
      </w:pPr>
      <w:r>
        <w:t>Discussion</w:t>
      </w:r>
    </w:p>
    <w:p w14:paraId="70F752BE" w14:textId="0F7B815B" w:rsidR="00496392" w:rsidRDefault="008951D5" w:rsidP="00496392">
      <w:pPr>
        <w:rPr>
          <w:lang w:val="en-GB" w:eastAsia="zh-CN"/>
        </w:rPr>
      </w:pPr>
      <w:r>
        <w:rPr>
          <w:lang w:val="en-GB" w:eastAsia="zh-CN"/>
        </w:rPr>
        <w:t xml:space="preserve">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analysing the impact of channel estimation errors, </w:t>
      </w:r>
      <w:proofErr w:type="gramStart"/>
      <w:r>
        <w:rPr>
          <w:lang w:val="en-GB" w:eastAsia="zh-CN"/>
        </w:rPr>
        <w:t>UE  and</w:t>
      </w:r>
      <w:proofErr w:type="gramEnd"/>
      <w:r>
        <w:rPr>
          <w:lang w:val="en-GB" w:eastAsia="zh-CN"/>
        </w:rPr>
        <w:t xml:space="preserve">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t>
      </w:r>
      <w:r w:rsidR="00873720">
        <w:rPr>
          <w:lang w:val="en-GB" w:eastAsia="zh-CN"/>
        </w:rPr>
        <w:t xml:space="preserve"> We therefore make the proposal that this should be studied further:</w:t>
      </w:r>
    </w:p>
    <w:p w14:paraId="7C190582" w14:textId="2DF1A2F2" w:rsidR="00873720" w:rsidRDefault="00873720" w:rsidP="00496392">
      <w:pPr>
        <w:rPr>
          <w:b/>
          <w:lang w:val="en-GB" w:eastAsia="zh-CN"/>
        </w:rPr>
      </w:pPr>
      <w:r w:rsidRPr="00873720">
        <w:rPr>
          <w:b/>
          <w:lang w:val="en-GB" w:eastAsia="zh-CN"/>
        </w:rPr>
        <w:t>Proposal:</w:t>
      </w:r>
    </w:p>
    <w:p w14:paraId="2A04E240" w14:textId="6F7E9E68" w:rsidR="00873720" w:rsidRPr="00873720" w:rsidRDefault="00873720" w:rsidP="00873720">
      <w:pPr>
        <w:pStyle w:val="ListParagraph"/>
        <w:numPr>
          <w:ilvl w:val="0"/>
          <w:numId w:val="46"/>
        </w:numPr>
        <w:rPr>
          <w:b/>
          <w:lang w:val="en-GB" w:eastAsia="zh-CN"/>
        </w:rPr>
      </w:pPr>
      <w:r>
        <w:rPr>
          <w:lang w:val="en-GB" w:eastAsia="zh-CN"/>
        </w:rPr>
        <w:t>RAN1 should study frequency parametrization of beam combing coefficients as a method to further reduce the overhead for Type II CSI feedback</w:t>
      </w:r>
    </w:p>
    <w:p w14:paraId="4BB4CDCB" w14:textId="05BA7D04" w:rsidR="00C01F33" w:rsidRDefault="00C01F33" w:rsidP="003A0E41">
      <w:pPr>
        <w:pStyle w:val="Heading1"/>
      </w:pPr>
      <w:r w:rsidRPr="00CE0424">
        <w:t>Conclusion</w:t>
      </w:r>
      <w:r w:rsidR="00AE2FEB">
        <w:t>s</w:t>
      </w:r>
    </w:p>
    <w:p w14:paraId="5E5AA4FE" w14:textId="4EDB1FB0" w:rsidR="00496392" w:rsidRDefault="00873720" w:rsidP="00496392">
      <w:pPr>
        <w:rPr>
          <w:lang w:val="en-GB" w:eastAsia="zh-CN"/>
        </w:rPr>
      </w:pPr>
      <w:r>
        <w:rPr>
          <w:lang w:val="en-GB" w:eastAsia="zh-CN"/>
        </w:rPr>
        <w:t>In this contribution, we have presented an alternative methodology for compressing Type II CSI feedback using frequency parametrization of beam combining coefficients and provided some initial evaluation results. The following observations were made:</w:t>
      </w:r>
    </w:p>
    <w:p w14:paraId="10592DF4" w14:textId="77777777" w:rsidR="00873720" w:rsidRDefault="00873720" w:rsidP="00873720">
      <w:pPr>
        <w:rPr>
          <w:b/>
          <w:lang w:val="en-GB" w:eastAsia="zh-CN"/>
        </w:rPr>
      </w:pPr>
      <w:r w:rsidRPr="00496392">
        <w:rPr>
          <w:b/>
          <w:lang w:val="en-GB" w:eastAsia="zh-CN"/>
        </w:rPr>
        <w:t>Observations:</w:t>
      </w:r>
    </w:p>
    <w:p w14:paraId="4844A788" w14:textId="77777777" w:rsidR="00873720" w:rsidRDefault="00873720" w:rsidP="00873720">
      <w:pPr>
        <w:pStyle w:val="ListParagraph"/>
        <w:numPr>
          <w:ilvl w:val="0"/>
          <w:numId w:val="45"/>
        </w:numPr>
        <w:rPr>
          <w:lang w:val="en-GB" w:eastAsia="zh-CN"/>
        </w:rPr>
      </w:pPr>
      <w:r w:rsidRPr="00496392">
        <w:rPr>
          <w:lang w:val="en-GB" w:eastAsia="zh-CN"/>
        </w:rPr>
        <w:t>Frequency parametrization approach</w:t>
      </w:r>
      <w:r>
        <w:rPr>
          <w:lang w:val="en-GB" w:eastAsia="zh-CN"/>
        </w:rPr>
        <w:t>, with W=1, can yield substantial SNR improvement over Rel-14 advanced CSI codebook, with only a 43 bit increase in payload</w:t>
      </w:r>
    </w:p>
    <w:p w14:paraId="0CDBE799" w14:textId="77777777" w:rsidR="00873720" w:rsidRDefault="00873720" w:rsidP="00873720">
      <w:pPr>
        <w:pStyle w:val="ListParagraph"/>
        <w:numPr>
          <w:ilvl w:val="0"/>
          <w:numId w:val="45"/>
        </w:numPr>
        <w:rPr>
          <w:lang w:val="en-GB" w:eastAsia="zh-CN"/>
        </w:rPr>
      </w:pPr>
      <w:r w:rsidRPr="00496392">
        <w:rPr>
          <w:lang w:val="en-GB" w:eastAsia="zh-CN"/>
        </w:rPr>
        <w:t>Frequency parametrization approach</w:t>
      </w:r>
      <w:r>
        <w:rPr>
          <w:lang w:val="en-GB" w:eastAsia="zh-CN"/>
        </w:rPr>
        <w:t>, with W=3, can yield similar SNR as Type II codebook with per subband quantization, but with a 55% reduction in overhead</w:t>
      </w:r>
    </w:p>
    <w:p w14:paraId="4B32AF7F" w14:textId="1A553BAA" w:rsidR="00873720" w:rsidRDefault="00873720" w:rsidP="00496392">
      <w:pPr>
        <w:rPr>
          <w:lang w:val="en-GB" w:eastAsia="zh-CN"/>
        </w:rPr>
      </w:pPr>
      <w:r>
        <w:rPr>
          <w:lang w:val="en-GB" w:eastAsia="zh-CN"/>
        </w:rPr>
        <w:t>Which led to a proposal to further study these method considering more realistic assumptions:</w:t>
      </w:r>
    </w:p>
    <w:p w14:paraId="302C5252" w14:textId="77777777" w:rsidR="00873720" w:rsidRPr="00873720" w:rsidRDefault="00873720" w:rsidP="00873720">
      <w:pPr>
        <w:pStyle w:val="ListParagraph"/>
        <w:numPr>
          <w:ilvl w:val="0"/>
          <w:numId w:val="46"/>
        </w:numPr>
        <w:rPr>
          <w:b/>
          <w:lang w:val="en-GB" w:eastAsia="zh-CN"/>
        </w:rPr>
      </w:pPr>
      <w:r>
        <w:rPr>
          <w:lang w:val="en-GB" w:eastAsia="zh-CN"/>
        </w:rPr>
        <w:t>RAN1 should study frequency parametrization of beam combing coefficients as a method to further reduce the overhead for Type II CSI feedback</w:t>
      </w:r>
    </w:p>
    <w:p w14:paraId="418E14A0" w14:textId="77777777" w:rsidR="00873720" w:rsidRPr="00496392" w:rsidRDefault="00873720" w:rsidP="00496392">
      <w:pPr>
        <w:rPr>
          <w:lang w:val="en-GB" w:eastAsia="zh-CN"/>
        </w:rPr>
      </w:pPr>
    </w:p>
    <w:p w14:paraId="254DC42C" w14:textId="77777777" w:rsidR="00F507D1" w:rsidRPr="00CE0424" w:rsidRDefault="00F507D1" w:rsidP="00CE0424">
      <w:pPr>
        <w:pStyle w:val="Heading1"/>
      </w:pPr>
      <w:bookmarkStart w:id="5" w:name="_In-sequence_SDU_delivery"/>
      <w:bookmarkEnd w:id="5"/>
      <w:r w:rsidRPr="00CE0424">
        <w:lastRenderedPageBreak/>
        <w:t>References</w:t>
      </w:r>
    </w:p>
    <w:p w14:paraId="5224F133" w14:textId="0E12F7D9" w:rsidR="005B17AA" w:rsidRDefault="005B17AA" w:rsidP="005B17AA">
      <w:pPr>
        <w:pStyle w:val="Reference"/>
        <w:numPr>
          <w:ilvl w:val="0"/>
          <w:numId w:val="43"/>
        </w:numPr>
        <w:overflowPunct w:val="0"/>
        <w:autoSpaceDE w:val="0"/>
        <w:autoSpaceDN w:val="0"/>
        <w:adjustRightInd w:val="0"/>
        <w:spacing w:after="120" w:line="240" w:lineRule="auto"/>
        <w:jc w:val="both"/>
      </w:pPr>
      <w:bookmarkStart w:id="6" w:name="_Ref449678105"/>
      <w:bookmarkStart w:id="7" w:name="_Ref453835673"/>
      <w:bookmarkStart w:id="8" w:name="_Ref477864450"/>
      <w:r w:rsidRPr="00BB6613">
        <w:rPr>
          <w:noProof/>
        </w:rPr>
        <w:t>RP-170</w:t>
      </w:r>
      <w:r w:rsidRPr="00BB6613">
        <w:rPr>
          <w:rFonts w:hint="eastAsia"/>
          <w:noProof/>
          <w:lang w:eastAsia="ja-JP"/>
        </w:rPr>
        <w:t>847</w:t>
      </w:r>
      <w:r>
        <w:t xml:space="preserve">, </w:t>
      </w:r>
      <w:r w:rsidRPr="0020255A">
        <w:t>Work Item on New Radio (NR) Access Technology</w:t>
      </w:r>
      <w:r>
        <w:t xml:space="preserve">, </w:t>
      </w:r>
      <w:r w:rsidRPr="00BB6613">
        <w:rPr>
          <w:rFonts w:hint="eastAsia"/>
          <w:lang w:eastAsia="ja-JP"/>
        </w:rPr>
        <w:t>NTT DOCOMO</w:t>
      </w:r>
      <w:r>
        <w:t>, RAN#75, March 2017</w:t>
      </w:r>
      <w:bookmarkEnd w:id="6"/>
      <w:bookmarkEnd w:id="7"/>
      <w:bookmarkEnd w:id="8"/>
    </w:p>
    <w:p w14:paraId="08BB091E" w14:textId="010D1502" w:rsidR="005B17AA" w:rsidRPr="00BB3D9D" w:rsidRDefault="005B17AA" w:rsidP="00BB3D9D">
      <w:pPr>
        <w:pStyle w:val="Reference"/>
        <w:numPr>
          <w:ilvl w:val="0"/>
          <w:numId w:val="43"/>
        </w:numPr>
        <w:overflowPunct w:val="0"/>
        <w:autoSpaceDE w:val="0"/>
        <w:autoSpaceDN w:val="0"/>
        <w:adjustRightInd w:val="0"/>
        <w:spacing w:after="120" w:line="240" w:lineRule="auto"/>
        <w:jc w:val="both"/>
      </w:pPr>
      <w:bookmarkStart w:id="9" w:name="_Ref478125215"/>
      <w:r w:rsidRPr="00BB3D9D">
        <w:t>R1-</w:t>
      </w:r>
      <w:r w:rsidR="00BB3D9D" w:rsidRPr="00BB3D9D">
        <w:t xml:space="preserve"> 1705899</w:t>
      </w:r>
      <w:r w:rsidRPr="00BB3D9D">
        <w:t>, Type II CSI feedback, Ericsson, RAN1#88b, April 2017</w:t>
      </w:r>
      <w:bookmarkEnd w:id="9"/>
    </w:p>
    <w:p w14:paraId="3A23E95E" w14:textId="77777777" w:rsidR="0084538F" w:rsidRDefault="0084538F" w:rsidP="0084538F">
      <w:pPr>
        <w:pStyle w:val="Heading1"/>
      </w:pPr>
      <w:r>
        <w:t>Appendix</w:t>
      </w:r>
    </w:p>
    <w:p w14:paraId="0EBC9CA2" w14:textId="77777777" w:rsidR="0084538F" w:rsidRDefault="0084538F" w:rsidP="0084538F">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84538F" w:rsidRPr="00886536" w14:paraId="2BB5815E" w14:textId="77777777" w:rsidTr="00E85D35">
        <w:trPr>
          <w:trHeight w:val="255"/>
          <w:tblCellSpacing w:w="0" w:type="dxa"/>
        </w:trPr>
        <w:tc>
          <w:tcPr>
            <w:tcW w:w="8515" w:type="dxa"/>
            <w:gridSpan w:val="2"/>
            <w:tcBorders>
              <w:top w:val="single" w:sz="4" w:space="0" w:color="000000"/>
              <w:right w:val="single" w:sz="4" w:space="0" w:color="000000"/>
            </w:tcBorders>
            <w:shd w:val="clear" w:color="auto" w:fill="auto"/>
          </w:tcPr>
          <w:p w14:paraId="74D1B263" w14:textId="77777777" w:rsidR="0084538F" w:rsidRPr="00886536" w:rsidRDefault="0084538F" w:rsidP="00E85D35">
            <w:pPr>
              <w:pStyle w:val="BodyText"/>
              <w:keepNext/>
              <w:jc w:val="center"/>
            </w:pPr>
            <w:r w:rsidRPr="00886536">
              <w:rPr>
                <w:b/>
                <w:bCs/>
              </w:rPr>
              <w:t>Simulation parameters</w:t>
            </w:r>
          </w:p>
        </w:tc>
      </w:tr>
      <w:tr w:rsidR="0084538F" w:rsidRPr="00886536" w14:paraId="4756C1BA" w14:textId="77777777" w:rsidTr="00E85D35">
        <w:trPr>
          <w:tblCellSpacing w:w="0" w:type="dxa"/>
        </w:trPr>
        <w:tc>
          <w:tcPr>
            <w:tcW w:w="3045" w:type="dxa"/>
          </w:tcPr>
          <w:p w14:paraId="6D30C14C" w14:textId="77777777" w:rsidR="0084538F" w:rsidRPr="00886536" w:rsidRDefault="0084538F" w:rsidP="00E85D35">
            <w:pPr>
              <w:pStyle w:val="BodyText"/>
              <w:keepNext/>
              <w:spacing w:after="0"/>
            </w:pPr>
            <w:r w:rsidRPr="00886536">
              <w:t>Carrier frequency</w:t>
            </w:r>
          </w:p>
        </w:tc>
        <w:tc>
          <w:tcPr>
            <w:tcW w:w="5470" w:type="dxa"/>
          </w:tcPr>
          <w:p w14:paraId="02746BC3" w14:textId="77777777" w:rsidR="0084538F" w:rsidRPr="00886536" w:rsidRDefault="0084538F" w:rsidP="00E85D35">
            <w:pPr>
              <w:pStyle w:val="BodyText"/>
              <w:keepNext/>
              <w:spacing w:after="0"/>
            </w:pPr>
            <w:r w:rsidRPr="00886536">
              <w:t xml:space="preserve">2 GHz </w:t>
            </w:r>
          </w:p>
        </w:tc>
      </w:tr>
      <w:tr w:rsidR="0084538F" w:rsidRPr="005404D6" w14:paraId="46C3DA86" w14:textId="77777777" w:rsidTr="00E85D35">
        <w:trPr>
          <w:tblCellSpacing w:w="0" w:type="dxa"/>
        </w:trPr>
        <w:tc>
          <w:tcPr>
            <w:tcW w:w="3045" w:type="dxa"/>
          </w:tcPr>
          <w:p w14:paraId="6652C4A7" w14:textId="77777777" w:rsidR="0084538F" w:rsidRPr="00886536" w:rsidRDefault="0084538F" w:rsidP="00E85D35">
            <w:pPr>
              <w:pStyle w:val="BodyText"/>
              <w:keepNext/>
              <w:spacing w:after="0"/>
            </w:pPr>
            <w:r w:rsidRPr="00886536">
              <w:t>Bandwidth</w:t>
            </w:r>
          </w:p>
        </w:tc>
        <w:tc>
          <w:tcPr>
            <w:tcW w:w="5470" w:type="dxa"/>
          </w:tcPr>
          <w:p w14:paraId="104F2179" w14:textId="77777777" w:rsidR="0084538F" w:rsidRPr="005404D6" w:rsidRDefault="0084538F" w:rsidP="00E85D35">
            <w:pPr>
              <w:pStyle w:val="BodyText"/>
              <w:keepNext/>
              <w:spacing w:after="0"/>
            </w:pPr>
            <w:r w:rsidRPr="005404D6">
              <w:t xml:space="preserve">10 MHz </w:t>
            </w:r>
          </w:p>
        </w:tc>
      </w:tr>
      <w:tr w:rsidR="0084538F" w:rsidRPr="008D3BC0" w14:paraId="3E15E5AB" w14:textId="77777777" w:rsidTr="00E85D35">
        <w:trPr>
          <w:tblCellSpacing w:w="0" w:type="dxa"/>
        </w:trPr>
        <w:tc>
          <w:tcPr>
            <w:tcW w:w="3045" w:type="dxa"/>
          </w:tcPr>
          <w:p w14:paraId="62A33007" w14:textId="77777777" w:rsidR="0084538F" w:rsidRPr="00886536" w:rsidRDefault="0084538F" w:rsidP="00E85D35">
            <w:pPr>
              <w:pStyle w:val="BodyText"/>
              <w:keepNext/>
              <w:spacing w:after="0"/>
            </w:pPr>
            <w:r w:rsidRPr="00886536">
              <w:t>Scenarios</w:t>
            </w:r>
          </w:p>
        </w:tc>
        <w:tc>
          <w:tcPr>
            <w:tcW w:w="5470" w:type="dxa"/>
          </w:tcPr>
          <w:p w14:paraId="29766538" w14:textId="77777777" w:rsidR="0084538F" w:rsidRPr="005404D6" w:rsidRDefault="0084538F" w:rsidP="00E85D35">
            <w:pPr>
              <w:pStyle w:val="BodyText"/>
              <w:keepNext/>
              <w:spacing w:after="0"/>
              <w:rPr>
                <w:lang w:val="sv-SE"/>
              </w:rPr>
            </w:pPr>
            <w:r>
              <w:rPr>
                <w:lang w:val="sv-SE"/>
              </w:rPr>
              <w:t>3D UMi 200m ISD</w:t>
            </w:r>
          </w:p>
        </w:tc>
      </w:tr>
      <w:tr w:rsidR="0084538F" w:rsidRPr="00067A4F" w14:paraId="098A9646" w14:textId="77777777" w:rsidTr="00E85D35">
        <w:trPr>
          <w:trHeight w:val="407"/>
          <w:tblCellSpacing w:w="0" w:type="dxa"/>
        </w:trPr>
        <w:tc>
          <w:tcPr>
            <w:tcW w:w="3045" w:type="dxa"/>
          </w:tcPr>
          <w:p w14:paraId="6918A02B" w14:textId="77777777" w:rsidR="0084538F" w:rsidRPr="00886536" w:rsidRDefault="0084538F" w:rsidP="00E85D35">
            <w:pPr>
              <w:pStyle w:val="BodyText"/>
              <w:keepNext/>
              <w:spacing w:after="0"/>
            </w:pPr>
            <w:r>
              <w:t>Antenna Configurations</w:t>
            </w:r>
          </w:p>
        </w:tc>
        <w:tc>
          <w:tcPr>
            <w:tcW w:w="5470" w:type="dxa"/>
          </w:tcPr>
          <w:p w14:paraId="6458D5C4" w14:textId="05F0B8B7" w:rsidR="0084538F" w:rsidRDefault="0084538F" w:rsidP="005B17AA">
            <w:pPr>
              <w:pStyle w:val="BodyText"/>
              <w:keepNext/>
              <w:spacing w:after="0"/>
            </w:pPr>
            <w:r>
              <w:t xml:space="preserve">32 ports:  </w:t>
            </w:r>
            <w:r w:rsidR="005B17AA">
              <w:t>1x16 antenna array</w:t>
            </w:r>
          </w:p>
          <w:p w14:paraId="3F0DA548" w14:textId="77777777" w:rsidR="0084538F" w:rsidRPr="00067A4F" w:rsidRDefault="0084538F" w:rsidP="00E85D35">
            <w:pPr>
              <w:pStyle w:val="BodyText"/>
              <w:keepNext/>
              <w:spacing w:after="0"/>
            </w:pPr>
          </w:p>
        </w:tc>
      </w:tr>
      <w:tr w:rsidR="0084538F" w:rsidRPr="005404D6" w14:paraId="4487B007" w14:textId="77777777" w:rsidTr="00E85D35">
        <w:trPr>
          <w:tblCellSpacing w:w="0" w:type="dxa"/>
        </w:trPr>
        <w:tc>
          <w:tcPr>
            <w:tcW w:w="3045" w:type="dxa"/>
          </w:tcPr>
          <w:p w14:paraId="24B3AA1D" w14:textId="77777777" w:rsidR="0084538F" w:rsidRPr="00886536" w:rsidRDefault="0084538F" w:rsidP="00E85D35">
            <w:pPr>
              <w:pStyle w:val="BodyText"/>
              <w:keepNext/>
              <w:spacing w:after="0"/>
            </w:pPr>
            <w:r w:rsidRPr="00886536">
              <w:t>Cell layout</w:t>
            </w:r>
          </w:p>
        </w:tc>
        <w:tc>
          <w:tcPr>
            <w:tcW w:w="5470" w:type="dxa"/>
          </w:tcPr>
          <w:p w14:paraId="1B91D43C" w14:textId="77777777" w:rsidR="0084538F" w:rsidRPr="005404D6" w:rsidRDefault="0084538F" w:rsidP="00E85D35">
            <w:pPr>
              <w:pStyle w:val="BodyText"/>
              <w:keepNext/>
              <w:spacing w:after="0"/>
            </w:pPr>
            <w:r w:rsidRPr="005404D6">
              <w:t>57 sectors in total</w:t>
            </w:r>
          </w:p>
        </w:tc>
      </w:tr>
      <w:tr w:rsidR="0084538F" w:rsidRPr="005404D6" w14:paraId="7C4687C5" w14:textId="77777777" w:rsidTr="00E85D35">
        <w:trPr>
          <w:tblCellSpacing w:w="0" w:type="dxa"/>
        </w:trPr>
        <w:tc>
          <w:tcPr>
            <w:tcW w:w="3045" w:type="dxa"/>
          </w:tcPr>
          <w:p w14:paraId="2478D928" w14:textId="77777777" w:rsidR="0084538F" w:rsidRPr="00886536" w:rsidRDefault="0084538F" w:rsidP="00E85D35">
            <w:pPr>
              <w:pStyle w:val="BodyText"/>
              <w:keepNext/>
              <w:spacing w:after="0"/>
            </w:pPr>
            <w:r w:rsidRPr="00886536">
              <w:t>Wrapping</w:t>
            </w:r>
          </w:p>
        </w:tc>
        <w:tc>
          <w:tcPr>
            <w:tcW w:w="5470" w:type="dxa"/>
          </w:tcPr>
          <w:p w14:paraId="4B2F9A7D" w14:textId="77777777" w:rsidR="0084538F" w:rsidRPr="005404D6" w:rsidRDefault="0084538F" w:rsidP="00E85D35">
            <w:pPr>
              <w:pStyle w:val="BodyText"/>
              <w:keepNext/>
              <w:spacing w:after="0"/>
            </w:pPr>
            <w:r w:rsidRPr="005404D6">
              <w:t>Radio distance based</w:t>
            </w:r>
          </w:p>
        </w:tc>
      </w:tr>
      <w:tr w:rsidR="0084538F" w:rsidRPr="005404D6" w14:paraId="7F45B5AC" w14:textId="77777777" w:rsidTr="00E85D35">
        <w:trPr>
          <w:tblCellSpacing w:w="0" w:type="dxa"/>
        </w:trPr>
        <w:tc>
          <w:tcPr>
            <w:tcW w:w="3045" w:type="dxa"/>
          </w:tcPr>
          <w:p w14:paraId="79085FE1" w14:textId="77777777" w:rsidR="0084538F" w:rsidRPr="00886536" w:rsidRDefault="0084538F" w:rsidP="00E85D35">
            <w:pPr>
              <w:pStyle w:val="BodyText"/>
              <w:keepNext/>
              <w:spacing w:after="0"/>
            </w:pPr>
            <w:proofErr w:type="spellStart"/>
            <w:r w:rsidRPr="00886536">
              <w:t>eNB</w:t>
            </w:r>
            <w:proofErr w:type="spellEnd"/>
            <w:r w:rsidRPr="00886536">
              <w:t xml:space="preserve"> </w:t>
            </w:r>
            <w:proofErr w:type="spellStart"/>
            <w:r w:rsidRPr="00886536">
              <w:t>Tx</w:t>
            </w:r>
            <w:proofErr w:type="spellEnd"/>
            <w:r w:rsidRPr="00886536">
              <w:t xml:space="preserve"> power </w:t>
            </w:r>
          </w:p>
        </w:tc>
        <w:tc>
          <w:tcPr>
            <w:tcW w:w="5470" w:type="dxa"/>
          </w:tcPr>
          <w:p w14:paraId="51532F2D" w14:textId="77777777" w:rsidR="0084538F" w:rsidRPr="005404D6" w:rsidRDefault="0084538F" w:rsidP="00E85D35">
            <w:pPr>
              <w:pStyle w:val="BodyText"/>
              <w:keepNext/>
              <w:spacing w:after="0"/>
            </w:pPr>
            <w:r w:rsidRPr="005404D6">
              <w:t xml:space="preserve">41 </w:t>
            </w:r>
            <w:proofErr w:type="spellStart"/>
            <w:r w:rsidRPr="005404D6">
              <w:t>dBm</w:t>
            </w:r>
            <w:proofErr w:type="spellEnd"/>
            <w:r w:rsidRPr="005404D6">
              <w:t xml:space="preserve"> (UMi),</w:t>
            </w:r>
          </w:p>
        </w:tc>
      </w:tr>
      <w:tr w:rsidR="0084538F" w:rsidRPr="005404D6" w14:paraId="16818D2B" w14:textId="77777777" w:rsidTr="00E85D35">
        <w:trPr>
          <w:tblCellSpacing w:w="0" w:type="dxa"/>
        </w:trPr>
        <w:tc>
          <w:tcPr>
            <w:tcW w:w="3045" w:type="dxa"/>
          </w:tcPr>
          <w:p w14:paraId="494519CB" w14:textId="77777777" w:rsidR="0084538F" w:rsidRPr="00886536" w:rsidRDefault="0084538F" w:rsidP="00E85D35">
            <w:pPr>
              <w:pStyle w:val="BodyText"/>
              <w:keepNext/>
              <w:spacing w:after="0"/>
            </w:pPr>
            <w:r w:rsidRPr="00886536">
              <w:t>Antenna spacing</w:t>
            </w:r>
          </w:p>
        </w:tc>
        <w:tc>
          <w:tcPr>
            <w:tcW w:w="5470" w:type="dxa"/>
          </w:tcPr>
          <w:p w14:paraId="7AFB51E4" w14:textId="75E9328E" w:rsidR="0084538F" w:rsidRPr="005404D6" w:rsidRDefault="0084538F" w:rsidP="00E85D35">
            <w:pPr>
              <w:pStyle w:val="BodyText"/>
              <w:keepNext/>
              <w:spacing w:after="0"/>
            </w:pPr>
            <w:r w:rsidRPr="005404D6">
              <w:t>0.5 lambda in horizontal</w:t>
            </w:r>
          </w:p>
        </w:tc>
      </w:tr>
      <w:tr w:rsidR="0084538F" w:rsidRPr="005404D6" w14:paraId="3266DA24" w14:textId="77777777" w:rsidTr="00E85D35">
        <w:trPr>
          <w:tblCellSpacing w:w="0" w:type="dxa"/>
        </w:trPr>
        <w:tc>
          <w:tcPr>
            <w:tcW w:w="3045" w:type="dxa"/>
          </w:tcPr>
          <w:p w14:paraId="03116F7C" w14:textId="116ED1C3" w:rsidR="0084538F" w:rsidRPr="00886536" w:rsidRDefault="005B17AA" w:rsidP="00E85D35">
            <w:pPr>
              <w:pStyle w:val="BodyText"/>
              <w:spacing w:after="0"/>
            </w:pPr>
            <w:r>
              <w:t>Metric</w:t>
            </w:r>
          </w:p>
        </w:tc>
        <w:tc>
          <w:tcPr>
            <w:tcW w:w="5470" w:type="dxa"/>
          </w:tcPr>
          <w:p w14:paraId="4EEE98C0" w14:textId="1C244E7B" w:rsidR="0084538F" w:rsidRPr="005B17AA" w:rsidRDefault="00077D07" w:rsidP="00E85D35">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1185C0B5" w14:textId="66AAEC7A" w:rsidR="0084538F" w:rsidRDefault="0084538F" w:rsidP="0084538F">
      <w:pPr>
        <w:pStyle w:val="references"/>
        <w:numPr>
          <w:ilvl w:val="0"/>
          <w:numId w:val="0"/>
        </w:numPr>
        <w:rPr>
          <w:sz w:val="20"/>
          <w:szCs w:val="20"/>
        </w:rPr>
      </w:pPr>
    </w:p>
    <w:sectPr w:rsidR="0084538F"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8ACFD" w14:textId="77777777" w:rsidR="00077D07" w:rsidRDefault="00077D07">
      <w:r>
        <w:separator/>
      </w:r>
    </w:p>
  </w:endnote>
  <w:endnote w:type="continuationSeparator" w:id="0">
    <w:p w14:paraId="598632E1" w14:textId="77777777" w:rsidR="00077D07" w:rsidRDefault="0007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8464" w14:textId="77777777" w:rsidR="00FF450A" w:rsidRDefault="00FF45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BAD9C" w14:textId="0BE4056F" w:rsidR="00D81FA1" w:rsidRPr="00FF450A" w:rsidRDefault="00D81FA1" w:rsidP="00FF45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3FE3B" w14:textId="77777777" w:rsidR="00FF450A" w:rsidRDefault="00FF4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8B551" w14:textId="77777777" w:rsidR="00077D07" w:rsidRDefault="00077D07">
      <w:r>
        <w:separator/>
      </w:r>
    </w:p>
  </w:footnote>
  <w:footnote w:type="continuationSeparator" w:id="0">
    <w:p w14:paraId="5E0EFF10" w14:textId="77777777" w:rsidR="00077D07" w:rsidRDefault="0007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D7B3C" w14:textId="45B13C74" w:rsidR="00D81FA1" w:rsidRPr="00FF450A" w:rsidRDefault="00D81FA1" w:rsidP="00FF45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D44F" w14:textId="77777777" w:rsidR="00FF450A" w:rsidRDefault="00FF4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69F46" w14:textId="77777777" w:rsidR="00FF450A" w:rsidRDefault="00FF4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0A89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C8D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9CB13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5E3EA0"/>
    <w:multiLevelType w:val="hybridMultilevel"/>
    <w:tmpl w:val="A1F4B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8796E"/>
    <w:multiLevelType w:val="hybridMultilevel"/>
    <w:tmpl w:val="90BE380C"/>
    <w:lvl w:ilvl="0" w:tplc="B0F8A1E2">
      <w:start w:val="1"/>
      <w:numFmt w:val="bullet"/>
      <w:lvlText w:val="–"/>
      <w:lvlJc w:val="left"/>
      <w:pPr>
        <w:tabs>
          <w:tab w:val="num" w:pos="720"/>
        </w:tabs>
        <w:ind w:left="720" w:hanging="360"/>
      </w:pPr>
      <w:rPr>
        <w:rFonts w:ascii="Ericsson Capital TT" w:hAnsi="Ericsson Capital TT" w:hint="default"/>
      </w:rPr>
    </w:lvl>
    <w:lvl w:ilvl="1" w:tplc="00C03CCA">
      <w:start w:val="1"/>
      <w:numFmt w:val="bullet"/>
      <w:lvlText w:val="–"/>
      <w:lvlJc w:val="left"/>
      <w:pPr>
        <w:tabs>
          <w:tab w:val="num" w:pos="1440"/>
        </w:tabs>
        <w:ind w:left="1440" w:hanging="360"/>
      </w:pPr>
      <w:rPr>
        <w:rFonts w:ascii="Ericsson Capital TT" w:hAnsi="Ericsson Capital TT" w:hint="default"/>
      </w:rPr>
    </w:lvl>
    <w:lvl w:ilvl="2" w:tplc="823CD304">
      <w:numFmt w:val="bullet"/>
      <w:lvlText w:val="›"/>
      <w:lvlJc w:val="left"/>
      <w:pPr>
        <w:tabs>
          <w:tab w:val="num" w:pos="2160"/>
        </w:tabs>
        <w:ind w:left="2160" w:hanging="360"/>
      </w:pPr>
      <w:rPr>
        <w:rFonts w:ascii="Ericsson Capital TT" w:hAnsi="Ericsson Capital TT" w:hint="default"/>
      </w:rPr>
    </w:lvl>
    <w:lvl w:ilvl="3" w:tplc="C5EA4CBA">
      <w:numFmt w:val="bullet"/>
      <w:lvlText w:val="-"/>
      <w:lvlJc w:val="left"/>
      <w:pPr>
        <w:tabs>
          <w:tab w:val="num" w:pos="2880"/>
        </w:tabs>
        <w:ind w:left="2880" w:hanging="360"/>
      </w:pPr>
      <w:rPr>
        <w:rFonts w:ascii="Ericsson Capital TT" w:hAnsi="Ericsson Capital TT" w:hint="default"/>
      </w:rPr>
    </w:lvl>
    <w:lvl w:ilvl="4" w:tplc="0E0AF9FA" w:tentative="1">
      <w:start w:val="1"/>
      <w:numFmt w:val="bullet"/>
      <w:lvlText w:val="–"/>
      <w:lvlJc w:val="left"/>
      <w:pPr>
        <w:tabs>
          <w:tab w:val="num" w:pos="3600"/>
        </w:tabs>
        <w:ind w:left="3600" w:hanging="360"/>
      </w:pPr>
      <w:rPr>
        <w:rFonts w:ascii="Ericsson Capital TT" w:hAnsi="Ericsson Capital TT" w:hint="default"/>
      </w:rPr>
    </w:lvl>
    <w:lvl w:ilvl="5" w:tplc="A88C9292" w:tentative="1">
      <w:start w:val="1"/>
      <w:numFmt w:val="bullet"/>
      <w:lvlText w:val="–"/>
      <w:lvlJc w:val="left"/>
      <w:pPr>
        <w:tabs>
          <w:tab w:val="num" w:pos="4320"/>
        </w:tabs>
        <w:ind w:left="4320" w:hanging="360"/>
      </w:pPr>
      <w:rPr>
        <w:rFonts w:ascii="Ericsson Capital TT" w:hAnsi="Ericsson Capital TT" w:hint="default"/>
      </w:rPr>
    </w:lvl>
    <w:lvl w:ilvl="6" w:tplc="50C29BBA" w:tentative="1">
      <w:start w:val="1"/>
      <w:numFmt w:val="bullet"/>
      <w:lvlText w:val="–"/>
      <w:lvlJc w:val="left"/>
      <w:pPr>
        <w:tabs>
          <w:tab w:val="num" w:pos="5040"/>
        </w:tabs>
        <w:ind w:left="5040" w:hanging="360"/>
      </w:pPr>
      <w:rPr>
        <w:rFonts w:ascii="Ericsson Capital TT" w:hAnsi="Ericsson Capital TT" w:hint="default"/>
      </w:rPr>
    </w:lvl>
    <w:lvl w:ilvl="7" w:tplc="C74EB4F2" w:tentative="1">
      <w:start w:val="1"/>
      <w:numFmt w:val="bullet"/>
      <w:lvlText w:val="–"/>
      <w:lvlJc w:val="left"/>
      <w:pPr>
        <w:tabs>
          <w:tab w:val="num" w:pos="5760"/>
        </w:tabs>
        <w:ind w:left="5760" w:hanging="360"/>
      </w:pPr>
      <w:rPr>
        <w:rFonts w:ascii="Ericsson Capital TT" w:hAnsi="Ericsson Capital TT" w:hint="default"/>
      </w:rPr>
    </w:lvl>
    <w:lvl w:ilvl="8" w:tplc="1E5ABE1C"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A51D3"/>
    <w:multiLevelType w:val="hybridMultilevel"/>
    <w:tmpl w:val="6036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E20E9"/>
    <w:multiLevelType w:val="hybridMultilevel"/>
    <w:tmpl w:val="62F0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33C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41D11"/>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F0742"/>
    <w:multiLevelType w:val="hybridMultilevel"/>
    <w:tmpl w:val="2A9AC112"/>
    <w:lvl w:ilvl="0" w:tplc="8BB4DD1A">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hint="default"/>
      </w:rPr>
    </w:lvl>
    <w:lvl w:ilvl="4" w:tplc="BB425B1E" w:tentative="1">
      <w:start w:val="1"/>
      <w:numFmt w:val="bullet"/>
      <w:lvlText w:val="›"/>
      <w:lvlJc w:val="left"/>
      <w:pPr>
        <w:tabs>
          <w:tab w:val="num" w:pos="3240"/>
        </w:tabs>
        <w:ind w:left="3240" w:hanging="360"/>
      </w:pPr>
      <w:rPr>
        <w:rFonts w:ascii="Arial" w:hAnsi="Arial" w:hint="default"/>
      </w:rPr>
    </w:lvl>
    <w:lvl w:ilvl="5" w:tplc="0B9A4ED2" w:tentative="1">
      <w:start w:val="1"/>
      <w:numFmt w:val="bullet"/>
      <w:lvlText w:val="›"/>
      <w:lvlJc w:val="left"/>
      <w:pPr>
        <w:tabs>
          <w:tab w:val="num" w:pos="3960"/>
        </w:tabs>
        <w:ind w:left="3960" w:hanging="360"/>
      </w:pPr>
      <w:rPr>
        <w:rFonts w:ascii="Arial" w:hAnsi="Arial" w:hint="default"/>
      </w:rPr>
    </w:lvl>
    <w:lvl w:ilvl="6" w:tplc="599C2058" w:tentative="1">
      <w:start w:val="1"/>
      <w:numFmt w:val="bullet"/>
      <w:lvlText w:val="›"/>
      <w:lvlJc w:val="left"/>
      <w:pPr>
        <w:tabs>
          <w:tab w:val="num" w:pos="4680"/>
        </w:tabs>
        <w:ind w:left="4680" w:hanging="360"/>
      </w:pPr>
      <w:rPr>
        <w:rFonts w:ascii="Arial" w:hAnsi="Arial" w:hint="default"/>
      </w:rPr>
    </w:lvl>
    <w:lvl w:ilvl="7" w:tplc="24A08D54" w:tentative="1">
      <w:start w:val="1"/>
      <w:numFmt w:val="bullet"/>
      <w:lvlText w:val="›"/>
      <w:lvlJc w:val="left"/>
      <w:pPr>
        <w:tabs>
          <w:tab w:val="num" w:pos="5400"/>
        </w:tabs>
        <w:ind w:left="5400" w:hanging="360"/>
      </w:pPr>
      <w:rPr>
        <w:rFonts w:ascii="Arial" w:hAnsi="Arial" w:hint="default"/>
      </w:rPr>
    </w:lvl>
    <w:lvl w:ilvl="8" w:tplc="76D2D39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517CAA"/>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D35F7"/>
    <w:multiLevelType w:val="hybridMultilevel"/>
    <w:tmpl w:val="08A4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D14DC1"/>
    <w:multiLevelType w:val="hybridMultilevel"/>
    <w:tmpl w:val="44FCF39C"/>
    <w:lvl w:ilvl="0" w:tplc="17D0E28C">
      <w:start w:val="1"/>
      <w:numFmt w:val="bullet"/>
      <w:lvlText w:val="›"/>
      <w:lvlJc w:val="left"/>
      <w:pPr>
        <w:tabs>
          <w:tab w:val="num" w:pos="360"/>
        </w:tabs>
        <w:ind w:left="360" w:hanging="360"/>
      </w:pPr>
      <w:rPr>
        <w:rFonts w:ascii="Arial" w:hAnsi="Arial" w:cs="Times New Roman" w:hint="default"/>
      </w:rPr>
    </w:lvl>
    <w:lvl w:ilvl="1" w:tplc="8BB4DD1A">
      <w:start w:val="1"/>
      <w:numFmt w:val="bullet"/>
      <w:lvlText w:val="›"/>
      <w:lvlJc w:val="left"/>
      <w:pPr>
        <w:tabs>
          <w:tab w:val="num" w:pos="1080"/>
        </w:tabs>
        <w:ind w:left="1080" w:hanging="360"/>
      </w:pPr>
      <w:rPr>
        <w:rFonts w:ascii="Arial" w:hAnsi="Arial" w:cs="Times New Roman"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cs="Times New Roman" w:hint="default"/>
      </w:rPr>
    </w:lvl>
    <w:lvl w:ilvl="4" w:tplc="2500F6EE">
      <w:start w:val="1"/>
      <w:numFmt w:val="bullet"/>
      <w:lvlText w:val="›"/>
      <w:lvlJc w:val="left"/>
      <w:pPr>
        <w:tabs>
          <w:tab w:val="num" w:pos="3240"/>
        </w:tabs>
        <w:ind w:left="3240" w:hanging="360"/>
      </w:pPr>
      <w:rPr>
        <w:rFonts w:ascii="Arial" w:hAnsi="Arial" w:cs="Times New Roman" w:hint="default"/>
      </w:rPr>
    </w:lvl>
    <w:lvl w:ilvl="5" w:tplc="D420549A">
      <w:start w:val="1"/>
      <w:numFmt w:val="bullet"/>
      <w:lvlText w:val="›"/>
      <w:lvlJc w:val="left"/>
      <w:pPr>
        <w:tabs>
          <w:tab w:val="num" w:pos="3960"/>
        </w:tabs>
        <w:ind w:left="3960" w:hanging="360"/>
      </w:pPr>
      <w:rPr>
        <w:rFonts w:ascii="Arial" w:hAnsi="Arial" w:cs="Times New Roman" w:hint="default"/>
      </w:rPr>
    </w:lvl>
    <w:lvl w:ilvl="6" w:tplc="1B82B7AE">
      <w:start w:val="1"/>
      <w:numFmt w:val="bullet"/>
      <w:lvlText w:val="›"/>
      <w:lvlJc w:val="left"/>
      <w:pPr>
        <w:tabs>
          <w:tab w:val="num" w:pos="4680"/>
        </w:tabs>
        <w:ind w:left="4680" w:hanging="360"/>
      </w:pPr>
      <w:rPr>
        <w:rFonts w:ascii="Arial" w:hAnsi="Arial" w:cs="Times New Roman" w:hint="default"/>
      </w:rPr>
    </w:lvl>
    <w:lvl w:ilvl="7" w:tplc="2422B180">
      <w:start w:val="1"/>
      <w:numFmt w:val="bullet"/>
      <w:lvlText w:val="›"/>
      <w:lvlJc w:val="left"/>
      <w:pPr>
        <w:tabs>
          <w:tab w:val="num" w:pos="5400"/>
        </w:tabs>
        <w:ind w:left="5400" w:hanging="360"/>
      </w:pPr>
      <w:rPr>
        <w:rFonts w:ascii="Arial" w:hAnsi="Arial" w:cs="Times New Roman" w:hint="default"/>
      </w:rPr>
    </w:lvl>
    <w:lvl w:ilvl="8" w:tplc="1B3E7EDC">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D286F82"/>
    <w:multiLevelType w:val="hybridMultilevel"/>
    <w:tmpl w:val="0E9855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CC614C7"/>
    <w:multiLevelType w:val="hybridMultilevel"/>
    <w:tmpl w:val="79FA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15"/>
  </w:num>
  <w:num w:numId="15">
    <w:abstractNumId w:val="29"/>
  </w:num>
  <w:num w:numId="16">
    <w:abstractNumId w:val="9"/>
  </w:num>
  <w:num w:numId="17">
    <w:abstractNumId w:val="28"/>
  </w:num>
  <w:num w:numId="18">
    <w:abstractNumId w:val="7"/>
  </w:num>
  <w:num w:numId="19">
    <w:abstractNumId w:val="34"/>
  </w:num>
  <w:num w:numId="20">
    <w:abstractNumId w:val="24"/>
  </w:num>
  <w:num w:numId="21">
    <w:abstractNumId w:val="25"/>
  </w:num>
  <w:num w:numId="22">
    <w:abstractNumId w:val="5"/>
  </w:num>
  <w:num w:numId="23">
    <w:abstractNumId w:val="31"/>
  </w:num>
  <w:num w:numId="24">
    <w:abstractNumId w:val="3"/>
  </w:num>
  <w:num w:numId="25">
    <w:abstractNumId w:val="25"/>
  </w:num>
  <w:num w:numId="26">
    <w:abstractNumId w:val="25"/>
  </w:num>
  <w:num w:numId="27">
    <w:abstractNumId w:val="25"/>
  </w:num>
  <w:num w:numId="28">
    <w:abstractNumId w:val="25"/>
  </w:num>
  <w:num w:numId="29">
    <w:abstractNumId w:val="19"/>
  </w:num>
  <w:num w:numId="30">
    <w:abstractNumId w:val="27"/>
  </w:num>
  <w:num w:numId="31">
    <w:abstractNumId w:val="35"/>
  </w:num>
  <w:num w:numId="32">
    <w:abstractNumId w:val="33"/>
  </w:num>
  <w:num w:numId="33">
    <w:abstractNumId w:val="25"/>
  </w:num>
  <w:num w:numId="34">
    <w:abstractNumId w:val="25"/>
  </w:num>
  <w:num w:numId="35">
    <w:abstractNumId w:val="8"/>
  </w:num>
  <w:num w:numId="36">
    <w:abstractNumId w:val="3"/>
  </w:num>
  <w:num w:numId="37">
    <w:abstractNumId w:val="3"/>
  </w:num>
  <w:num w:numId="38">
    <w:abstractNumId w:val="11"/>
  </w:num>
  <w:num w:numId="39">
    <w:abstractNumId w:val="20"/>
  </w:num>
  <w:num w:numId="40">
    <w:abstractNumId w:val="4"/>
  </w:num>
  <w:num w:numId="41">
    <w:abstractNumId w:val="10"/>
  </w:num>
  <w:num w:numId="42">
    <w:abstractNumId w:val="30"/>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32"/>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319"/>
    <w:rsid w:val="00011B28"/>
    <w:rsid w:val="00015D15"/>
    <w:rsid w:val="0002564D"/>
    <w:rsid w:val="00025ECA"/>
    <w:rsid w:val="00030B30"/>
    <w:rsid w:val="000325B8"/>
    <w:rsid w:val="00034C15"/>
    <w:rsid w:val="00036BA1"/>
    <w:rsid w:val="00042009"/>
    <w:rsid w:val="000422E2"/>
    <w:rsid w:val="00042F22"/>
    <w:rsid w:val="000444EF"/>
    <w:rsid w:val="0005154B"/>
    <w:rsid w:val="00052A07"/>
    <w:rsid w:val="000534E3"/>
    <w:rsid w:val="00053BD1"/>
    <w:rsid w:val="0005606A"/>
    <w:rsid w:val="00057117"/>
    <w:rsid w:val="000616E7"/>
    <w:rsid w:val="00063F6F"/>
    <w:rsid w:val="0006487E"/>
    <w:rsid w:val="00065E1A"/>
    <w:rsid w:val="00067B08"/>
    <w:rsid w:val="00077D07"/>
    <w:rsid w:val="00077E5F"/>
    <w:rsid w:val="0008036A"/>
    <w:rsid w:val="00081AE6"/>
    <w:rsid w:val="000855EB"/>
    <w:rsid w:val="00085B52"/>
    <w:rsid w:val="000866F2"/>
    <w:rsid w:val="0009009F"/>
    <w:rsid w:val="00091557"/>
    <w:rsid w:val="000924C1"/>
    <w:rsid w:val="000924F0"/>
    <w:rsid w:val="00093474"/>
    <w:rsid w:val="0009510F"/>
    <w:rsid w:val="000973EC"/>
    <w:rsid w:val="000A14C1"/>
    <w:rsid w:val="000A1B7B"/>
    <w:rsid w:val="000A56F2"/>
    <w:rsid w:val="000B2719"/>
    <w:rsid w:val="000B3A8F"/>
    <w:rsid w:val="000B4AB9"/>
    <w:rsid w:val="000B58C3"/>
    <w:rsid w:val="000B61E9"/>
    <w:rsid w:val="000C165A"/>
    <w:rsid w:val="000C2E19"/>
    <w:rsid w:val="000D0D07"/>
    <w:rsid w:val="000D4797"/>
    <w:rsid w:val="000E0527"/>
    <w:rsid w:val="000E1E92"/>
    <w:rsid w:val="000E238E"/>
    <w:rsid w:val="000F06D6"/>
    <w:rsid w:val="000F0EB1"/>
    <w:rsid w:val="000F1106"/>
    <w:rsid w:val="000F3BE9"/>
    <w:rsid w:val="000F3F6C"/>
    <w:rsid w:val="000F6DF3"/>
    <w:rsid w:val="001005FF"/>
    <w:rsid w:val="00105074"/>
    <w:rsid w:val="001062FB"/>
    <w:rsid w:val="001063E6"/>
    <w:rsid w:val="00113CF4"/>
    <w:rsid w:val="001153EA"/>
    <w:rsid w:val="00115643"/>
    <w:rsid w:val="00116765"/>
    <w:rsid w:val="001219F5"/>
    <w:rsid w:val="00121A20"/>
    <w:rsid w:val="0012377F"/>
    <w:rsid w:val="00124314"/>
    <w:rsid w:val="00126B4A"/>
    <w:rsid w:val="00126BA6"/>
    <w:rsid w:val="00132FD0"/>
    <w:rsid w:val="001344C0"/>
    <w:rsid w:val="001346FA"/>
    <w:rsid w:val="00135252"/>
    <w:rsid w:val="00137AB5"/>
    <w:rsid w:val="00137F0B"/>
    <w:rsid w:val="00142B04"/>
    <w:rsid w:val="00151E23"/>
    <w:rsid w:val="001526E0"/>
    <w:rsid w:val="0015373E"/>
    <w:rsid w:val="001551B5"/>
    <w:rsid w:val="001659C1"/>
    <w:rsid w:val="0016785B"/>
    <w:rsid w:val="00173A8E"/>
    <w:rsid w:val="00174C0C"/>
    <w:rsid w:val="0018143F"/>
    <w:rsid w:val="00190AC1"/>
    <w:rsid w:val="0019341A"/>
    <w:rsid w:val="001954D2"/>
    <w:rsid w:val="00197DF9"/>
    <w:rsid w:val="001A1987"/>
    <w:rsid w:val="001A2564"/>
    <w:rsid w:val="001A6173"/>
    <w:rsid w:val="001A6CBA"/>
    <w:rsid w:val="001B0D97"/>
    <w:rsid w:val="001B5A5D"/>
    <w:rsid w:val="001C19A9"/>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D01"/>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08D5"/>
    <w:rsid w:val="0027144F"/>
    <w:rsid w:val="00271813"/>
    <w:rsid w:val="00271F3A"/>
    <w:rsid w:val="00273278"/>
    <w:rsid w:val="002737F4"/>
    <w:rsid w:val="0027486F"/>
    <w:rsid w:val="00275583"/>
    <w:rsid w:val="002805F5"/>
    <w:rsid w:val="00280751"/>
    <w:rsid w:val="0028280A"/>
    <w:rsid w:val="00286ACD"/>
    <w:rsid w:val="00287838"/>
    <w:rsid w:val="002907B5"/>
    <w:rsid w:val="00292EB7"/>
    <w:rsid w:val="00296227"/>
    <w:rsid w:val="00296F44"/>
    <w:rsid w:val="0029777D"/>
    <w:rsid w:val="002A055E"/>
    <w:rsid w:val="002A1D4E"/>
    <w:rsid w:val="002A2869"/>
    <w:rsid w:val="002A6817"/>
    <w:rsid w:val="002B24D6"/>
    <w:rsid w:val="002C41E6"/>
    <w:rsid w:val="002D071A"/>
    <w:rsid w:val="002D34B2"/>
    <w:rsid w:val="002D7637"/>
    <w:rsid w:val="002E129C"/>
    <w:rsid w:val="002E17F2"/>
    <w:rsid w:val="002E381E"/>
    <w:rsid w:val="002E7CAE"/>
    <w:rsid w:val="002F2771"/>
    <w:rsid w:val="002F37A9"/>
    <w:rsid w:val="002F4E06"/>
    <w:rsid w:val="002F6288"/>
    <w:rsid w:val="00301CE6"/>
    <w:rsid w:val="0030256B"/>
    <w:rsid w:val="0030501F"/>
    <w:rsid w:val="00307BA1"/>
    <w:rsid w:val="00311702"/>
    <w:rsid w:val="00311E82"/>
    <w:rsid w:val="00313FD6"/>
    <w:rsid w:val="003143BD"/>
    <w:rsid w:val="003203ED"/>
    <w:rsid w:val="00321863"/>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3828"/>
    <w:rsid w:val="00366960"/>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67D"/>
    <w:rsid w:val="003B369F"/>
    <w:rsid w:val="003B36A3"/>
    <w:rsid w:val="003B51EB"/>
    <w:rsid w:val="003B7FE5"/>
    <w:rsid w:val="003C11C8"/>
    <w:rsid w:val="003C2702"/>
    <w:rsid w:val="003C7806"/>
    <w:rsid w:val="003D109F"/>
    <w:rsid w:val="003D2478"/>
    <w:rsid w:val="003D3C45"/>
    <w:rsid w:val="003D5B1F"/>
    <w:rsid w:val="003E15FA"/>
    <w:rsid w:val="003E26A3"/>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DFA"/>
    <w:rsid w:val="00413E92"/>
    <w:rsid w:val="00421105"/>
    <w:rsid w:val="004242F4"/>
    <w:rsid w:val="00427248"/>
    <w:rsid w:val="004327C3"/>
    <w:rsid w:val="00437447"/>
    <w:rsid w:val="00440F42"/>
    <w:rsid w:val="00441782"/>
    <w:rsid w:val="00441A92"/>
    <w:rsid w:val="00444F56"/>
    <w:rsid w:val="00446488"/>
    <w:rsid w:val="004517AA"/>
    <w:rsid w:val="00452CAC"/>
    <w:rsid w:val="00457565"/>
    <w:rsid w:val="00457B71"/>
    <w:rsid w:val="004669E2"/>
    <w:rsid w:val="00466DF3"/>
    <w:rsid w:val="00470C31"/>
    <w:rsid w:val="004722DD"/>
    <w:rsid w:val="004734D0"/>
    <w:rsid w:val="0047556B"/>
    <w:rsid w:val="00477768"/>
    <w:rsid w:val="0048316F"/>
    <w:rsid w:val="00484296"/>
    <w:rsid w:val="00492BC5"/>
    <w:rsid w:val="00496392"/>
    <w:rsid w:val="004964F1"/>
    <w:rsid w:val="004A16BC"/>
    <w:rsid w:val="004A2B94"/>
    <w:rsid w:val="004B7C0C"/>
    <w:rsid w:val="004C3898"/>
    <w:rsid w:val="004D36B1"/>
    <w:rsid w:val="004D7EBD"/>
    <w:rsid w:val="004E2680"/>
    <w:rsid w:val="004E28F9"/>
    <w:rsid w:val="004E30D7"/>
    <w:rsid w:val="004E462E"/>
    <w:rsid w:val="004E56DC"/>
    <w:rsid w:val="004E76F4"/>
    <w:rsid w:val="004F00AD"/>
    <w:rsid w:val="004F02F4"/>
    <w:rsid w:val="004F0B4E"/>
    <w:rsid w:val="004F0B6C"/>
    <w:rsid w:val="004F2078"/>
    <w:rsid w:val="004F4DA3"/>
    <w:rsid w:val="00506557"/>
    <w:rsid w:val="0050677A"/>
    <w:rsid w:val="005108D8"/>
    <w:rsid w:val="005116F9"/>
    <w:rsid w:val="005147FD"/>
    <w:rsid w:val="005153A7"/>
    <w:rsid w:val="005219CF"/>
    <w:rsid w:val="00534B59"/>
    <w:rsid w:val="00536759"/>
    <w:rsid w:val="00536CD6"/>
    <w:rsid w:val="00537C62"/>
    <w:rsid w:val="00546970"/>
    <w:rsid w:val="00550DF9"/>
    <w:rsid w:val="00554192"/>
    <w:rsid w:val="00554E19"/>
    <w:rsid w:val="00556ACC"/>
    <w:rsid w:val="0056121F"/>
    <w:rsid w:val="00571800"/>
    <w:rsid w:val="00572505"/>
    <w:rsid w:val="00575DA6"/>
    <w:rsid w:val="00576181"/>
    <w:rsid w:val="00577C40"/>
    <w:rsid w:val="00582809"/>
    <w:rsid w:val="0058798C"/>
    <w:rsid w:val="005900FA"/>
    <w:rsid w:val="005935A4"/>
    <w:rsid w:val="005948C2"/>
    <w:rsid w:val="00595DCA"/>
    <w:rsid w:val="0059779B"/>
    <w:rsid w:val="005A209A"/>
    <w:rsid w:val="005A662D"/>
    <w:rsid w:val="005B17AA"/>
    <w:rsid w:val="005B35D7"/>
    <w:rsid w:val="005B392A"/>
    <w:rsid w:val="005B3AA3"/>
    <w:rsid w:val="005B6F83"/>
    <w:rsid w:val="005C0550"/>
    <w:rsid w:val="005C74FB"/>
    <w:rsid w:val="005D1602"/>
    <w:rsid w:val="005E18DA"/>
    <w:rsid w:val="005E2392"/>
    <w:rsid w:val="005E2F45"/>
    <w:rsid w:val="005E385F"/>
    <w:rsid w:val="005E5B12"/>
    <w:rsid w:val="005E5B81"/>
    <w:rsid w:val="005F2CB1"/>
    <w:rsid w:val="005F3025"/>
    <w:rsid w:val="005F618C"/>
    <w:rsid w:val="005F70BD"/>
    <w:rsid w:val="0060283C"/>
    <w:rsid w:val="00604F14"/>
    <w:rsid w:val="00606180"/>
    <w:rsid w:val="00611B83"/>
    <w:rsid w:val="00613257"/>
    <w:rsid w:val="00616BF5"/>
    <w:rsid w:val="00620A71"/>
    <w:rsid w:val="00620D80"/>
    <w:rsid w:val="006234A6"/>
    <w:rsid w:val="00630001"/>
    <w:rsid w:val="006311B3"/>
    <w:rsid w:val="0063284C"/>
    <w:rsid w:val="00636398"/>
    <w:rsid w:val="006368D3"/>
    <w:rsid w:val="00636B9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24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311"/>
    <w:rsid w:val="00712287"/>
    <w:rsid w:val="00712772"/>
    <w:rsid w:val="00714880"/>
    <w:rsid w:val="007148D3"/>
    <w:rsid w:val="00715B9A"/>
    <w:rsid w:val="0072554E"/>
    <w:rsid w:val="0072666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5F89"/>
    <w:rsid w:val="00776971"/>
    <w:rsid w:val="00777D37"/>
    <w:rsid w:val="0078177E"/>
    <w:rsid w:val="0078304C"/>
    <w:rsid w:val="00783673"/>
    <w:rsid w:val="00785490"/>
    <w:rsid w:val="00790B99"/>
    <w:rsid w:val="007925EA"/>
    <w:rsid w:val="00793CD8"/>
    <w:rsid w:val="00795695"/>
    <w:rsid w:val="00795C92"/>
    <w:rsid w:val="00796231"/>
    <w:rsid w:val="007968FF"/>
    <w:rsid w:val="007A1CB3"/>
    <w:rsid w:val="007A306F"/>
    <w:rsid w:val="007A37C9"/>
    <w:rsid w:val="007A43A6"/>
    <w:rsid w:val="007A58A6"/>
    <w:rsid w:val="007B0A78"/>
    <w:rsid w:val="007B2D06"/>
    <w:rsid w:val="007B38BF"/>
    <w:rsid w:val="007B3D2D"/>
    <w:rsid w:val="007B3F0B"/>
    <w:rsid w:val="007B50AE"/>
    <w:rsid w:val="007B51DF"/>
    <w:rsid w:val="007B7374"/>
    <w:rsid w:val="007C05DD"/>
    <w:rsid w:val="007C1775"/>
    <w:rsid w:val="007C3D18"/>
    <w:rsid w:val="007C60BF"/>
    <w:rsid w:val="007C6A07"/>
    <w:rsid w:val="007C75A1"/>
    <w:rsid w:val="007C77A5"/>
    <w:rsid w:val="007D04E5"/>
    <w:rsid w:val="007D5901"/>
    <w:rsid w:val="007D7526"/>
    <w:rsid w:val="007E2C32"/>
    <w:rsid w:val="007E4610"/>
    <w:rsid w:val="007E4715"/>
    <w:rsid w:val="007E505B"/>
    <w:rsid w:val="007E7091"/>
    <w:rsid w:val="007E78AC"/>
    <w:rsid w:val="007F75D5"/>
    <w:rsid w:val="0080009F"/>
    <w:rsid w:val="00803FAE"/>
    <w:rsid w:val="0080605F"/>
    <w:rsid w:val="00807786"/>
    <w:rsid w:val="00811FCB"/>
    <w:rsid w:val="008158D6"/>
    <w:rsid w:val="008169EF"/>
    <w:rsid w:val="00817196"/>
    <w:rsid w:val="0082228F"/>
    <w:rsid w:val="008235DB"/>
    <w:rsid w:val="00824AB4"/>
    <w:rsid w:val="00825C42"/>
    <w:rsid w:val="00825D25"/>
    <w:rsid w:val="00827D6F"/>
    <w:rsid w:val="008376AC"/>
    <w:rsid w:val="00841A47"/>
    <w:rsid w:val="008444E8"/>
    <w:rsid w:val="00844E80"/>
    <w:rsid w:val="0084538F"/>
    <w:rsid w:val="00846FE7"/>
    <w:rsid w:val="00856911"/>
    <w:rsid w:val="00863DCC"/>
    <w:rsid w:val="008677FD"/>
    <w:rsid w:val="008706D4"/>
    <w:rsid w:val="00870F8A"/>
    <w:rsid w:val="008719A4"/>
    <w:rsid w:val="00871D23"/>
    <w:rsid w:val="00873720"/>
    <w:rsid w:val="00874312"/>
    <w:rsid w:val="0087437C"/>
    <w:rsid w:val="00875CD7"/>
    <w:rsid w:val="00876B4D"/>
    <w:rsid w:val="00877F18"/>
    <w:rsid w:val="0089230D"/>
    <w:rsid w:val="00893954"/>
    <w:rsid w:val="00894A88"/>
    <w:rsid w:val="008951D5"/>
    <w:rsid w:val="00895386"/>
    <w:rsid w:val="008A21FF"/>
    <w:rsid w:val="008A2CE2"/>
    <w:rsid w:val="008A30AC"/>
    <w:rsid w:val="008A44B8"/>
    <w:rsid w:val="008A51A8"/>
    <w:rsid w:val="008A54C7"/>
    <w:rsid w:val="008A77D8"/>
    <w:rsid w:val="008B0483"/>
    <w:rsid w:val="008B120C"/>
    <w:rsid w:val="008B31F6"/>
    <w:rsid w:val="008B51A0"/>
    <w:rsid w:val="008B592A"/>
    <w:rsid w:val="008B7B5C"/>
    <w:rsid w:val="008C0C99"/>
    <w:rsid w:val="008C2017"/>
    <w:rsid w:val="008C4958"/>
    <w:rsid w:val="008C4BAA"/>
    <w:rsid w:val="008C6AE8"/>
    <w:rsid w:val="008C7573"/>
    <w:rsid w:val="008C7D51"/>
    <w:rsid w:val="008D34F1"/>
    <w:rsid w:val="008D39D8"/>
    <w:rsid w:val="008D6D1A"/>
    <w:rsid w:val="008E065E"/>
    <w:rsid w:val="008E0927"/>
    <w:rsid w:val="008E1909"/>
    <w:rsid w:val="008F1EAB"/>
    <w:rsid w:val="008F33DC"/>
    <w:rsid w:val="008F477F"/>
    <w:rsid w:val="008F5586"/>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4F4A"/>
    <w:rsid w:val="00945C05"/>
    <w:rsid w:val="00946945"/>
    <w:rsid w:val="00947713"/>
    <w:rsid w:val="00950DE7"/>
    <w:rsid w:val="00952A24"/>
    <w:rsid w:val="00953920"/>
    <w:rsid w:val="00953D47"/>
    <w:rsid w:val="0095681E"/>
    <w:rsid w:val="00956B19"/>
    <w:rsid w:val="009572D4"/>
    <w:rsid w:val="00961921"/>
    <w:rsid w:val="0096430A"/>
    <w:rsid w:val="0096554B"/>
    <w:rsid w:val="0096584A"/>
    <w:rsid w:val="00970418"/>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B57"/>
    <w:rsid w:val="009A5CBA"/>
    <w:rsid w:val="009B1F30"/>
    <w:rsid w:val="009B3AC2"/>
    <w:rsid w:val="009B4DF4"/>
    <w:rsid w:val="009B564E"/>
    <w:rsid w:val="009B7E87"/>
    <w:rsid w:val="009C0C46"/>
    <w:rsid w:val="009C403E"/>
    <w:rsid w:val="009C6832"/>
    <w:rsid w:val="009D4604"/>
    <w:rsid w:val="009D4FF0"/>
    <w:rsid w:val="009D703C"/>
    <w:rsid w:val="009D718F"/>
    <w:rsid w:val="009E068F"/>
    <w:rsid w:val="009E14E0"/>
    <w:rsid w:val="009E35DB"/>
    <w:rsid w:val="009E47A3"/>
    <w:rsid w:val="009F08F3"/>
    <w:rsid w:val="009F344F"/>
    <w:rsid w:val="009F480B"/>
    <w:rsid w:val="00A031D8"/>
    <w:rsid w:val="00A048A8"/>
    <w:rsid w:val="00A04F49"/>
    <w:rsid w:val="00A13E54"/>
    <w:rsid w:val="00A15745"/>
    <w:rsid w:val="00A17F63"/>
    <w:rsid w:val="00A2193B"/>
    <w:rsid w:val="00A2351A"/>
    <w:rsid w:val="00A24406"/>
    <w:rsid w:val="00A26093"/>
    <w:rsid w:val="00A264A9"/>
    <w:rsid w:val="00A27785"/>
    <w:rsid w:val="00A30187"/>
    <w:rsid w:val="00A3448A"/>
    <w:rsid w:val="00A36297"/>
    <w:rsid w:val="00A37AAA"/>
    <w:rsid w:val="00A41E2B"/>
    <w:rsid w:val="00A45B74"/>
    <w:rsid w:val="00A52BEE"/>
    <w:rsid w:val="00A52E1D"/>
    <w:rsid w:val="00A61499"/>
    <w:rsid w:val="00A62A77"/>
    <w:rsid w:val="00A63483"/>
    <w:rsid w:val="00A63A87"/>
    <w:rsid w:val="00A657D7"/>
    <w:rsid w:val="00A660AC"/>
    <w:rsid w:val="00A67E6C"/>
    <w:rsid w:val="00A71B99"/>
    <w:rsid w:val="00A739D0"/>
    <w:rsid w:val="00A761D4"/>
    <w:rsid w:val="00A77956"/>
    <w:rsid w:val="00A77EC4"/>
    <w:rsid w:val="00A85C6C"/>
    <w:rsid w:val="00A85EF6"/>
    <w:rsid w:val="00A92879"/>
    <w:rsid w:val="00A9442A"/>
    <w:rsid w:val="00AA016F"/>
    <w:rsid w:val="00AA1ED6"/>
    <w:rsid w:val="00AA51D6"/>
    <w:rsid w:val="00AB0BC8"/>
    <w:rsid w:val="00AB11CA"/>
    <w:rsid w:val="00AB14D9"/>
    <w:rsid w:val="00AB153C"/>
    <w:rsid w:val="00AB1CC4"/>
    <w:rsid w:val="00AB4AB8"/>
    <w:rsid w:val="00AB655E"/>
    <w:rsid w:val="00AC007F"/>
    <w:rsid w:val="00AC1847"/>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4A9"/>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0351"/>
    <w:rsid w:val="00BB0D8D"/>
    <w:rsid w:val="00BB2A25"/>
    <w:rsid w:val="00BB3D9D"/>
    <w:rsid w:val="00BB51E9"/>
    <w:rsid w:val="00BB78BD"/>
    <w:rsid w:val="00BC0FDC"/>
    <w:rsid w:val="00BC3053"/>
    <w:rsid w:val="00BC4D2E"/>
    <w:rsid w:val="00BD3D6F"/>
    <w:rsid w:val="00BD48AC"/>
    <w:rsid w:val="00BD5F1A"/>
    <w:rsid w:val="00BE1234"/>
    <w:rsid w:val="00BE2FA6"/>
    <w:rsid w:val="00BE333F"/>
    <w:rsid w:val="00BE5BEB"/>
    <w:rsid w:val="00BE7406"/>
    <w:rsid w:val="00BE7603"/>
    <w:rsid w:val="00BF3279"/>
    <w:rsid w:val="00BF45AC"/>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27F"/>
    <w:rsid w:val="00C279B5"/>
    <w:rsid w:val="00C27C45"/>
    <w:rsid w:val="00C3719D"/>
    <w:rsid w:val="00C42102"/>
    <w:rsid w:val="00C54995"/>
    <w:rsid w:val="00C54D41"/>
    <w:rsid w:val="00C60783"/>
    <w:rsid w:val="00C6419D"/>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50B"/>
    <w:rsid w:val="00CB1C4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48D"/>
    <w:rsid w:val="00D546FF"/>
    <w:rsid w:val="00D55AD5"/>
    <w:rsid w:val="00D576CA"/>
    <w:rsid w:val="00D61AF5"/>
    <w:rsid w:val="00D652B5"/>
    <w:rsid w:val="00D654F6"/>
    <w:rsid w:val="00D66155"/>
    <w:rsid w:val="00D708B0"/>
    <w:rsid w:val="00D77B1D"/>
    <w:rsid w:val="00D8021F"/>
    <w:rsid w:val="00D80383"/>
    <w:rsid w:val="00D81FA1"/>
    <w:rsid w:val="00D823C6"/>
    <w:rsid w:val="00D859E1"/>
    <w:rsid w:val="00D86CA3"/>
    <w:rsid w:val="00D871CE"/>
    <w:rsid w:val="00D91334"/>
    <w:rsid w:val="00D9196D"/>
    <w:rsid w:val="00D92982"/>
    <w:rsid w:val="00D969CD"/>
    <w:rsid w:val="00DA305E"/>
    <w:rsid w:val="00DA5417"/>
    <w:rsid w:val="00DA56E8"/>
    <w:rsid w:val="00DB07CA"/>
    <w:rsid w:val="00DB0A9F"/>
    <w:rsid w:val="00DB1878"/>
    <w:rsid w:val="00DB377D"/>
    <w:rsid w:val="00DC2D36"/>
    <w:rsid w:val="00DC53EF"/>
    <w:rsid w:val="00DD6977"/>
    <w:rsid w:val="00DE5608"/>
    <w:rsid w:val="00DE58D0"/>
    <w:rsid w:val="00DE654F"/>
    <w:rsid w:val="00DF0B6E"/>
    <w:rsid w:val="00DF15E0"/>
    <w:rsid w:val="00DF37A0"/>
    <w:rsid w:val="00E0042F"/>
    <w:rsid w:val="00E07544"/>
    <w:rsid w:val="00E110E7"/>
    <w:rsid w:val="00E11B20"/>
    <w:rsid w:val="00E11E20"/>
    <w:rsid w:val="00E1464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5F5"/>
    <w:rsid w:val="00E6199F"/>
    <w:rsid w:val="00E63838"/>
    <w:rsid w:val="00E64249"/>
    <w:rsid w:val="00E64434"/>
    <w:rsid w:val="00E67C51"/>
    <w:rsid w:val="00E70B48"/>
    <w:rsid w:val="00E72EFC"/>
    <w:rsid w:val="00E758EC"/>
    <w:rsid w:val="00E767DE"/>
    <w:rsid w:val="00E8234C"/>
    <w:rsid w:val="00E83AA9"/>
    <w:rsid w:val="00E85718"/>
    <w:rsid w:val="00E85928"/>
    <w:rsid w:val="00E85D35"/>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5D8B"/>
    <w:rsid w:val="00EC71CE"/>
    <w:rsid w:val="00EC77A7"/>
    <w:rsid w:val="00ED1006"/>
    <w:rsid w:val="00EE59C8"/>
    <w:rsid w:val="00EF18FE"/>
    <w:rsid w:val="00EF5787"/>
    <w:rsid w:val="00EF60D0"/>
    <w:rsid w:val="00F0528D"/>
    <w:rsid w:val="00F06C67"/>
    <w:rsid w:val="00F06DFD"/>
    <w:rsid w:val="00F071D1"/>
    <w:rsid w:val="00F07533"/>
    <w:rsid w:val="00F10629"/>
    <w:rsid w:val="00F10B74"/>
    <w:rsid w:val="00F15FA5"/>
    <w:rsid w:val="00F17FFD"/>
    <w:rsid w:val="00F209B7"/>
    <w:rsid w:val="00F2376F"/>
    <w:rsid w:val="00F243D8"/>
    <w:rsid w:val="00F30828"/>
    <w:rsid w:val="00F313D6"/>
    <w:rsid w:val="00F40F0C"/>
    <w:rsid w:val="00F46381"/>
    <w:rsid w:val="00F46FF5"/>
    <w:rsid w:val="00F4766C"/>
    <w:rsid w:val="00F5060E"/>
    <w:rsid w:val="00F507D1"/>
    <w:rsid w:val="00F51032"/>
    <w:rsid w:val="00F519CE"/>
    <w:rsid w:val="00F51ADA"/>
    <w:rsid w:val="00F57D30"/>
    <w:rsid w:val="00F607C5"/>
    <w:rsid w:val="00F60DEA"/>
    <w:rsid w:val="00F6302A"/>
    <w:rsid w:val="00F64C2B"/>
    <w:rsid w:val="00F651BE"/>
    <w:rsid w:val="00F67F53"/>
    <w:rsid w:val="00F703BE"/>
    <w:rsid w:val="00F71F69"/>
    <w:rsid w:val="00F72B72"/>
    <w:rsid w:val="00F72C4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C30"/>
    <w:rsid w:val="00FC7429"/>
    <w:rsid w:val="00FD07F6"/>
    <w:rsid w:val="00FD1EC8"/>
    <w:rsid w:val="00FD47ED"/>
    <w:rsid w:val="00FD74DB"/>
    <w:rsid w:val="00FD7660"/>
    <w:rsid w:val="00FE0655"/>
    <w:rsid w:val="00FE1251"/>
    <w:rsid w:val="00FE2365"/>
    <w:rsid w:val="00FE37D7"/>
    <w:rsid w:val="00FE4328"/>
    <w:rsid w:val="00FE4C7B"/>
    <w:rsid w:val="00FE7336"/>
    <w:rsid w:val="00FE787C"/>
    <w:rsid w:val="00FF45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3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C0C46"/>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rsid w:val="009C0C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C46"/>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pPr>
    <w:rPr>
      <w:noProof/>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pPr>
    <w:rPr>
      <w:color w:val="FF0000"/>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pPr>
  </w:style>
  <w:style w:type="paragraph" w:customStyle="1" w:styleId="B2">
    <w:name w:val="B2"/>
    <w:basedOn w:val="List2"/>
    <w:rsid w:val="00A85C6C"/>
    <w:pPr>
      <w:spacing w:after="180"/>
    </w:pPr>
  </w:style>
  <w:style w:type="paragraph" w:customStyle="1" w:styleId="B3">
    <w:name w:val="B3"/>
    <w:basedOn w:val="List3"/>
    <w:rsid w:val="00A85C6C"/>
    <w:pPr>
      <w:spacing w:after="180"/>
    </w:pPr>
  </w:style>
  <w:style w:type="paragraph" w:customStyle="1" w:styleId="B4">
    <w:name w:val="B4"/>
    <w:basedOn w:val="List4"/>
    <w:rsid w:val="00A85C6C"/>
    <w:pPr>
      <w:spacing w:after="180"/>
    </w:p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pPr>
  </w:style>
  <w:style w:type="paragraph" w:customStyle="1" w:styleId="EX">
    <w:name w:val="EX"/>
    <w:basedOn w:val="Normal"/>
    <w:rsid w:val="00A85C6C"/>
    <w:pPr>
      <w:keepLines/>
      <w:spacing w:after="180"/>
      <w:ind w:left="1702" w:hanging="1418"/>
    </w:p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pPr>
    <w:rPr>
      <w:sz w:val="18"/>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p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944F4A"/>
    <w:pPr>
      <w:numPr>
        <w:numId w:val="21"/>
      </w:numPr>
      <w:spacing w:after="50" w:line="180" w:lineRule="exact"/>
      <w:jc w:val="both"/>
    </w:pPr>
    <w:rPr>
      <w:rFonts w:ascii="Times New Roman" w:eastAsia="MS Mincho" w:hAnsi="Times New Roman"/>
      <w:noProof/>
      <w:sz w:val="16"/>
      <w:szCs w:val="16"/>
    </w:rPr>
  </w:style>
  <w:style w:type="paragraph" w:styleId="Revision">
    <w:name w:val="Revision"/>
    <w:hidden/>
    <w:uiPriority w:val="99"/>
    <w:semiHidden/>
    <w:rsid w:val="007E2C32"/>
    <w:rPr>
      <w:rFonts w:ascii="Times New Roman" w:hAnsi="Times New Roman"/>
      <w:lang w:val="en-GB" w:eastAsia="zh-CN"/>
    </w:rPr>
  </w:style>
  <w:style w:type="table" w:styleId="TableGrid">
    <w:name w:val="Table Grid"/>
    <w:basedOn w:val="TableNormal"/>
    <w:rsid w:val="0084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878"/>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FFD"/>
    <w:rPr>
      <w:rFonts w:asciiTheme="minorHAnsi" w:eastAsiaTheme="minorHAnsi" w:hAnsiTheme="minorHAnsi" w:cstheme="minorBidi"/>
      <w:b/>
      <w:bCs/>
      <w:sz w:val="22"/>
      <w:szCs w:val="22"/>
    </w:rPr>
  </w:style>
  <w:style w:type="table" w:styleId="PlainTable2">
    <w:name w:val="Plain Table 2"/>
    <w:basedOn w:val="TableNormal"/>
    <w:uiPriority w:val="42"/>
    <w:rsid w:val="0057618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57618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4447">
      <w:bodyDiv w:val="1"/>
      <w:marLeft w:val="0"/>
      <w:marRight w:val="0"/>
      <w:marTop w:val="0"/>
      <w:marBottom w:val="0"/>
      <w:divBdr>
        <w:top w:val="none" w:sz="0" w:space="0" w:color="auto"/>
        <w:left w:val="none" w:sz="0" w:space="0" w:color="auto"/>
        <w:bottom w:val="none" w:sz="0" w:space="0" w:color="auto"/>
        <w:right w:val="none" w:sz="0" w:space="0" w:color="auto"/>
      </w:divBdr>
    </w:div>
    <w:div w:id="684400724">
      <w:bodyDiv w:val="1"/>
      <w:marLeft w:val="0"/>
      <w:marRight w:val="0"/>
      <w:marTop w:val="0"/>
      <w:marBottom w:val="0"/>
      <w:divBdr>
        <w:top w:val="none" w:sz="0" w:space="0" w:color="auto"/>
        <w:left w:val="none" w:sz="0" w:space="0" w:color="auto"/>
        <w:bottom w:val="none" w:sz="0" w:space="0" w:color="auto"/>
        <w:right w:val="none" w:sz="0" w:space="0" w:color="auto"/>
      </w:divBdr>
      <w:divsChild>
        <w:div w:id="1678076590">
          <w:marLeft w:val="835"/>
          <w:marRight w:val="0"/>
          <w:marTop w:val="82"/>
          <w:marBottom w:val="0"/>
          <w:divBdr>
            <w:top w:val="none" w:sz="0" w:space="0" w:color="auto"/>
            <w:left w:val="none" w:sz="0" w:space="0" w:color="auto"/>
            <w:bottom w:val="none" w:sz="0" w:space="0" w:color="auto"/>
            <w:right w:val="none" w:sz="0" w:space="0" w:color="auto"/>
          </w:divBdr>
        </w:div>
        <w:div w:id="965040652">
          <w:marLeft w:val="1411"/>
          <w:marRight w:val="0"/>
          <w:marTop w:val="82"/>
          <w:marBottom w:val="0"/>
          <w:divBdr>
            <w:top w:val="none" w:sz="0" w:space="0" w:color="auto"/>
            <w:left w:val="none" w:sz="0" w:space="0" w:color="auto"/>
            <w:bottom w:val="none" w:sz="0" w:space="0" w:color="auto"/>
            <w:right w:val="none" w:sz="0" w:space="0" w:color="auto"/>
          </w:divBdr>
        </w:div>
        <w:div w:id="1292787704">
          <w:marLeft w:val="835"/>
          <w:marRight w:val="0"/>
          <w:marTop w:val="82"/>
          <w:marBottom w:val="0"/>
          <w:divBdr>
            <w:top w:val="none" w:sz="0" w:space="0" w:color="auto"/>
            <w:left w:val="none" w:sz="0" w:space="0" w:color="auto"/>
            <w:bottom w:val="none" w:sz="0" w:space="0" w:color="auto"/>
            <w:right w:val="none" w:sz="0" w:space="0" w:color="auto"/>
          </w:divBdr>
        </w:div>
        <w:div w:id="1334524626">
          <w:marLeft w:val="835"/>
          <w:marRight w:val="0"/>
          <w:marTop w:val="82"/>
          <w:marBottom w:val="0"/>
          <w:divBdr>
            <w:top w:val="none" w:sz="0" w:space="0" w:color="auto"/>
            <w:left w:val="none" w:sz="0" w:space="0" w:color="auto"/>
            <w:bottom w:val="none" w:sz="0" w:space="0" w:color="auto"/>
            <w:right w:val="none" w:sz="0" w:space="0" w:color="auto"/>
          </w:divBdr>
        </w:div>
        <w:div w:id="2096049832">
          <w:marLeft w:val="1411"/>
          <w:marRight w:val="0"/>
          <w:marTop w:val="82"/>
          <w:marBottom w:val="0"/>
          <w:divBdr>
            <w:top w:val="none" w:sz="0" w:space="0" w:color="auto"/>
            <w:left w:val="none" w:sz="0" w:space="0" w:color="auto"/>
            <w:bottom w:val="none" w:sz="0" w:space="0" w:color="auto"/>
            <w:right w:val="none" w:sz="0" w:space="0" w:color="auto"/>
          </w:divBdr>
        </w:div>
        <w:div w:id="1630547220">
          <w:marLeft w:val="1411"/>
          <w:marRight w:val="0"/>
          <w:marTop w:val="82"/>
          <w:marBottom w:val="0"/>
          <w:divBdr>
            <w:top w:val="none" w:sz="0" w:space="0" w:color="auto"/>
            <w:left w:val="none" w:sz="0" w:space="0" w:color="auto"/>
            <w:bottom w:val="none" w:sz="0" w:space="0" w:color="auto"/>
            <w:right w:val="none" w:sz="0" w:space="0" w:color="auto"/>
          </w:divBdr>
        </w:div>
        <w:div w:id="1208026160">
          <w:marLeft w:val="1973"/>
          <w:marRight w:val="0"/>
          <w:marTop w:val="82"/>
          <w:marBottom w:val="0"/>
          <w:divBdr>
            <w:top w:val="none" w:sz="0" w:space="0" w:color="auto"/>
            <w:left w:val="none" w:sz="0" w:space="0" w:color="auto"/>
            <w:bottom w:val="none" w:sz="0" w:space="0" w:color="auto"/>
            <w:right w:val="none" w:sz="0" w:space="0" w:color="auto"/>
          </w:divBdr>
        </w:div>
      </w:divsChild>
    </w:div>
    <w:div w:id="15549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1801</Words>
  <Characters>10267</Characters>
  <Application>Microsoft Office Word</Application>
  <DocSecurity>0</DocSecurity>
  <Lines>85</Lines>
  <Paragraphs>24</Paragraphs>
  <ScaleCrop>false</ScaleCrop>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2017-03-24T16:58:00Z</dcterms:created>
  <dcterms:modified xsi:type="dcterms:W3CDTF">2017-03-24T17:30:00Z</dcterms:modified>
</cp:coreProperties>
</file>