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496E11CB"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0E511F" w:rsidRPr="000E511F">
        <w:rPr>
          <w:sz w:val="32"/>
          <w:szCs w:val="32"/>
        </w:rPr>
        <w:t>5917</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68626E53" w:rsidR="00E90E49" w:rsidRPr="00CC4BF2" w:rsidRDefault="00E90E49" w:rsidP="00311702">
      <w:pPr>
        <w:pStyle w:val="3GPPHeader"/>
        <w:rPr>
          <w:sz w:val="22"/>
          <w:szCs w:val="22"/>
          <w:lang w:val="en-US"/>
        </w:rPr>
      </w:pPr>
      <w:r w:rsidRPr="00CC4BF2">
        <w:rPr>
          <w:sz w:val="22"/>
          <w:szCs w:val="22"/>
          <w:lang w:val="en-US"/>
        </w:rPr>
        <w:t>Agenda Item:</w:t>
      </w:r>
      <w:r w:rsidRPr="00CC4BF2">
        <w:rPr>
          <w:sz w:val="22"/>
          <w:szCs w:val="22"/>
          <w:lang w:val="en-US"/>
        </w:rPr>
        <w:tab/>
      </w:r>
      <w:r w:rsidR="00CC4BF2" w:rsidRPr="00CC4BF2">
        <w:rPr>
          <w:sz w:val="22"/>
          <w:szCs w:val="22"/>
          <w:lang w:val="en-US"/>
        </w:rPr>
        <w:t>8.</w:t>
      </w:r>
      <w:r w:rsidR="000E511F">
        <w:rPr>
          <w:sz w:val="22"/>
          <w:szCs w:val="22"/>
          <w:lang w:val="en-US"/>
        </w:rPr>
        <w:t>1.2.6</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6937993"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1F3DA0">
        <w:rPr>
          <w:sz w:val="22"/>
          <w:szCs w:val="22"/>
        </w:rPr>
        <w:t>Relation between radio link failure and beam failure</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B6727">
        <w:rPr>
          <w:sz w:val="22"/>
          <w:szCs w:val="22"/>
        </w:rPr>
        <w:t>Discussion,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698425A2" w:rsidR="00477768" w:rsidRDefault="007A0D1C" w:rsidP="00CE0424">
      <w:pPr>
        <w:pStyle w:val="BodyText"/>
      </w:pPr>
      <w:r>
        <w:t>In RAN2, there is a discussion about radio link failure, and the following agreement has been reached:</w:t>
      </w:r>
    </w:p>
    <w:p w14:paraId="0DA49B5C" w14:textId="5868112A" w:rsidR="007A0D1C" w:rsidRDefault="007A0D1C" w:rsidP="00CE0424">
      <w:pPr>
        <w:pStyle w:val="BodyText"/>
      </w:pPr>
    </w:p>
    <w:p w14:paraId="2B674B21" w14:textId="067BC297" w:rsidR="007A0D1C" w:rsidRDefault="007A0D1C" w:rsidP="00CE0424">
      <w:pPr>
        <w:pStyle w:val="BodyText"/>
      </w:pPr>
      <w:r>
        <w:t>In RAN1, there is a parallel discussion about beam failure and beam recovery, and the following agreement was made in RAN1#88:</w:t>
      </w:r>
    </w:p>
    <w:p w14:paraId="64957310" w14:textId="11F0A63F" w:rsidR="007A0D1C" w:rsidRDefault="007A0D1C" w:rsidP="007A0D1C">
      <w:pPr>
        <w:pStyle w:val="BodyText"/>
        <w:jc w:val="center"/>
      </w:pPr>
      <w:r>
        <w:rPr>
          <w:noProof/>
          <w:lang w:val="en-US" w:eastAsia="en-US"/>
        </w:rPr>
        <mc:AlternateContent>
          <mc:Choice Requires="wps">
            <w:drawing>
              <wp:inline distT="0" distB="0" distL="0" distR="0" wp14:anchorId="4B599117" wp14:editId="5112BFA1">
                <wp:extent cx="6000750" cy="2305050"/>
                <wp:effectExtent l="0" t="0" r="19050" b="22860"/>
                <wp:docPr id="1" name="Text Box 1"/>
                <wp:cNvGraphicFramePr/>
                <a:graphic xmlns:a="http://schemas.openxmlformats.org/drawingml/2006/main">
                  <a:graphicData uri="http://schemas.microsoft.com/office/word/2010/wordprocessingShape">
                    <wps:wsp>
                      <wps:cNvSpPr txBox="1"/>
                      <wps:spPr>
                        <a:xfrm>
                          <a:off x="0" y="0"/>
                          <a:ext cx="6000750" cy="2305050"/>
                        </a:xfrm>
                        <a:prstGeom prst="rect">
                          <a:avLst/>
                        </a:prstGeom>
                        <a:solidFill>
                          <a:schemeClr val="lt1"/>
                        </a:solidFill>
                        <a:ln w="6350">
                          <a:solidFill>
                            <a:prstClr val="black"/>
                          </a:solidFill>
                        </a:ln>
                      </wps:spPr>
                      <wps:txbx>
                        <w:txbxContent>
                          <w:p w14:paraId="7D0EEAA0" w14:textId="77777777" w:rsidR="007A0D1C" w:rsidRPr="005A38D1" w:rsidRDefault="007A0D1C" w:rsidP="007A0D1C">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404BF223"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3C9505DA"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3C0E4D91"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0BC2978F"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433D014C"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16678ADE"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1D471A5A" w14:textId="77777777" w:rsidR="007A0D1C" w:rsidRPr="005A38D1" w:rsidRDefault="007A0D1C" w:rsidP="007A0D1C">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4BCAAEE9"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39A4EDAC" w14:textId="77777777" w:rsidR="007A0D1C" w:rsidRPr="005A38D1" w:rsidRDefault="007A0D1C" w:rsidP="007A0D1C">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073EAED6"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0AC608EF"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66D9B79E" w14:textId="0D3E84CE" w:rsidR="007A0D1C" w:rsidRPr="007A0D1C" w:rsidRDefault="007A0D1C" w:rsidP="007A0D1C">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B599117" id="_x0000_t202" coordsize="21600,21600" o:spt="202" path="m,l,21600r21600,l21600,xe">
                <v:stroke joinstyle="miter"/>
                <v:path gradientshapeok="t" o:connecttype="rect"/>
              </v:shapetype>
              <v:shape id="Text Box 1" o:spid="_x0000_s1026" type="#_x0000_t202" style="width:472.5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" fillcolor="white [3201]" strokeweight=".5pt">
                <v:textbox style="mso-fit-shape-to-text:t">
                  <w:txbxContent>
                    <w:p w14:paraId="7D0EEAA0" w14:textId="77777777" w:rsidR="007A0D1C" w:rsidRPr="005A38D1" w:rsidRDefault="007A0D1C" w:rsidP="007A0D1C">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404BF223"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3C9505DA"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3C0E4D91"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0BC2978F"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433D014C"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16678ADE"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1D471A5A" w14:textId="77777777" w:rsidR="007A0D1C" w:rsidRPr="005A38D1" w:rsidRDefault="007A0D1C" w:rsidP="007A0D1C">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4BCAAEE9"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39A4EDAC" w14:textId="77777777" w:rsidR="007A0D1C" w:rsidRPr="005A38D1" w:rsidRDefault="007A0D1C" w:rsidP="007A0D1C">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073EAED6"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0AC608EF" w14:textId="77777777" w:rsidR="007A0D1C" w:rsidRPr="005A38D1" w:rsidRDefault="007A0D1C" w:rsidP="007A0D1C">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66D9B79E" w14:textId="0D3E84CE" w:rsidR="007A0D1C" w:rsidRPr="007A0D1C" w:rsidRDefault="007A0D1C" w:rsidP="007A0D1C">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v:textbox>
                <w10:anchorlock/>
              </v:shape>
            </w:pict>
          </mc:Fallback>
        </mc:AlternateContent>
      </w:r>
    </w:p>
    <w:p w14:paraId="4D45A944" w14:textId="77777777" w:rsidR="005A1465" w:rsidRDefault="005A1465" w:rsidP="005A1465">
      <w:pPr>
        <w:pStyle w:val="BodyText"/>
        <w:jc w:val="left"/>
      </w:pPr>
      <w:r>
        <w:t xml:space="preserve">In this contribution, we discuss and compare the situations when </w:t>
      </w:r>
    </w:p>
    <w:p w14:paraId="5826689F" w14:textId="62B23A60" w:rsidR="007A0D1C" w:rsidRDefault="005A1465" w:rsidP="005A1465">
      <w:pPr>
        <w:pStyle w:val="BodyText"/>
        <w:numPr>
          <w:ilvl w:val="0"/>
          <w:numId w:val="18"/>
        </w:numPr>
        <w:jc w:val="left"/>
      </w:pPr>
      <w:r>
        <w:t xml:space="preserve">the UE should declare RLF and </w:t>
      </w:r>
    </w:p>
    <w:p w14:paraId="6A764E1D" w14:textId="02F871B6" w:rsidR="005A1465" w:rsidRDefault="005A1465" w:rsidP="005A1465">
      <w:pPr>
        <w:pStyle w:val="BodyText"/>
        <w:numPr>
          <w:ilvl w:val="0"/>
          <w:numId w:val="18"/>
        </w:numPr>
        <w:jc w:val="left"/>
      </w:pPr>
      <w:r>
        <w:t>the UE should perform beam recovery</w:t>
      </w:r>
    </w:p>
    <w:p w14:paraId="102F02B3" w14:textId="1B16168F" w:rsidR="005A1465" w:rsidRDefault="005A1465" w:rsidP="005A1465">
      <w:pPr>
        <w:pStyle w:val="BodyText"/>
        <w:jc w:val="left"/>
      </w:pPr>
      <w:r>
        <w:t xml:space="preserve">Note that the </w:t>
      </w:r>
      <w:r w:rsidR="000714B8">
        <w:t xml:space="preserve">focus in this contribution is on describing and comparing the </w:t>
      </w:r>
      <w:r w:rsidR="000714B8" w:rsidRPr="000714B8">
        <w:rPr>
          <w:i/>
        </w:rPr>
        <w:t>situations</w:t>
      </w:r>
      <w:r w:rsidR="000714B8">
        <w:rPr>
          <w:i/>
        </w:rPr>
        <w:t xml:space="preserve">. </w:t>
      </w:r>
      <w:r w:rsidR="000714B8">
        <w:t xml:space="preserve">We will not in this contribution discuss how the UE would </w:t>
      </w:r>
      <w:r w:rsidR="000714B8" w:rsidRPr="000714B8">
        <w:rPr>
          <w:i/>
        </w:rPr>
        <w:t>discover</w:t>
      </w:r>
      <w:r w:rsidR="000714B8">
        <w:t xml:space="preserve"> that the situations occur, e.g., what signals are used. For beam recovery, a concrete proposal for the detection procedure is provided in the contribution </w:t>
      </w:r>
    </w:p>
    <w:p w14:paraId="7AAF3D59" w14:textId="77777777" w:rsidR="007A0D1C" w:rsidRPr="00CE0424" w:rsidRDefault="007A0D1C" w:rsidP="007A0D1C">
      <w:pPr>
        <w:pStyle w:val="BodyText"/>
        <w:jc w:val="center"/>
      </w:pPr>
    </w:p>
    <w:p w14:paraId="5925009D" w14:textId="40D58F29" w:rsidR="004000E8" w:rsidRDefault="004000E8" w:rsidP="00CE0424">
      <w:pPr>
        <w:pStyle w:val="Heading1"/>
      </w:pPr>
      <w:bookmarkStart w:id="0" w:name="_Ref178064866"/>
      <w:r w:rsidRPr="00CE0424">
        <w:t>Discussion</w:t>
      </w:r>
      <w:bookmarkEnd w:id="0"/>
    </w:p>
    <w:p w14:paraId="5BE1FB19" w14:textId="1692019E" w:rsidR="007A0D1C" w:rsidRDefault="00BA677E" w:rsidP="007A0D1C">
      <w:r>
        <w:t>In LTE, e</w:t>
      </w:r>
      <w:r w:rsidR="007A0D1C">
        <w:t xml:space="preserve">ither the UE or the eNodeB may </w:t>
      </w:r>
      <w:r>
        <w:t>declare</w:t>
      </w:r>
      <w:r w:rsidR="007A0D1C">
        <w:t xml:space="preserve"> radio link failure</w:t>
      </w:r>
      <w:r>
        <w:t xml:space="preserve"> (RLF)</w:t>
      </w:r>
      <w:r w:rsidR="007A0D1C">
        <w:t xml:space="preserve"> when they determine that the radio link is broken. </w:t>
      </w:r>
      <w:r>
        <w:t xml:space="preserve">There are several </w:t>
      </w:r>
      <w:r w:rsidR="0022706D">
        <w:t xml:space="preserve">situations when </w:t>
      </w:r>
      <w:r>
        <w:t xml:space="preserve">RLF </w:t>
      </w:r>
      <w:r w:rsidR="0022706D">
        <w:t>should be declared:</w:t>
      </w:r>
    </w:p>
    <w:p w14:paraId="0F500C90" w14:textId="53E40C3F" w:rsidR="00BA677E" w:rsidRDefault="00BA677E" w:rsidP="00BA677E">
      <w:pPr>
        <w:pStyle w:val="ListParagraph"/>
        <w:numPr>
          <w:ilvl w:val="0"/>
          <w:numId w:val="17"/>
        </w:numPr>
      </w:pPr>
      <w:r>
        <w:lastRenderedPageBreak/>
        <w:t xml:space="preserve">RLC indicates </w:t>
      </w:r>
      <w:r w:rsidR="003F5776">
        <w:t>that the maximum number of re-</w:t>
      </w:r>
      <w:r>
        <w:t>transmissions has been reached</w:t>
      </w:r>
    </w:p>
    <w:p w14:paraId="036C8539" w14:textId="5868586F" w:rsidR="00BA677E" w:rsidRDefault="00BA677E" w:rsidP="00BA677E">
      <w:pPr>
        <w:pStyle w:val="ListParagraph"/>
        <w:numPr>
          <w:ilvl w:val="0"/>
          <w:numId w:val="17"/>
        </w:numPr>
      </w:pPr>
      <w:r>
        <w:t>random access problem indication</w:t>
      </w:r>
    </w:p>
    <w:p w14:paraId="36156D92" w14:textId="6DC95890" w:rsidR="00BA677E" w:rsidRDefault="00BA677E" w:rsidP="00BA677E">
      <w:pPr>
        <w:pStyle w:val="ListParagraph"/>
        <w:numPr>
          <w:ilvl w:val="0"/>
          <w:numId w:val="17"/>
        </w:numPr>
      </w:pPr>
      <w:r>
        <w:t>a long period of L1 problems, triggered by so-called out-of-sync indications</w:t>
      </w:r>
    </w:p>
    <w:p w14:paraId="0275340B" w14:textId="378D0D94" w:rsidR="005A1465" w:rsidRDefault="003F5776" w:rsidP="00BA677E">
      <w:r>
        <w:t>In this paper, we will focus on the third type of</w:t>
      </w:r>
      <w:r w:rsidR="0022706D">
        <w:t xml:space="preserve"> situation</w:t>
      </w:r>
      <w:r>
        <w:t>, which is used by the UE to declare RLF.</w:t>
      </w:r>
    </w:p>
    <w:p w14:paraId="59E187A9" w14:textId="284778BF" w:rsidR="005742B7" w:rsidRDefault="003F5776" w:rsidP="00BA677E">
      <w:r>
        <w:t>In LTE, the physical layer in the UE evaluates the DL radio quality every frame</w:t>
      </w:r>
      <w:r w:rsidR="005742B7">
        <w:t xml:space="preserve"> </w:t>
      </w:r>
      <w:r w:rsidR="005742B7">
        <w:fldChar w:fldCharType="begin"/>
      </w:r>
      <w:r w:rsidR="005742B7">
        <w:instrText xml:space="preserve"> REF _Ref478017272 \r \h </w:instrText>
      </w:r>
      <w:r w:rsidR="005742B7">
        <w:fldChar w:fldCharType="separate"/>
      </w:r>
      <w:r w:rsidR="005742B7">
        <w:t>[4]</w:t>
      </w:r>
      <w:r w:rsidR="005742B7">
        <w:fldChar w:fldCharType="end"/>
      </w:r>
      <w:r>
        <w:t>. The quality is compared to the thresholds Qin and Qout, which are UE-internal variables</w:t>
      </w:r>
      <w:r w:rsidR="0022706D">
        <w:t>, which</w:t>
      </w:r>
      <w:r w:rsidR="005742B7">
        <w:t xml:space="preserve"> are defined by relevant tests in </w:t>
      </w:r>
      <w:r w:rsidR="005742B7">
        <w:fldChar w:fldCharType="begin"/>
      </w:r>
      <w:r w:rsidR="005742B7">
        <w:instrText xml:space="preserve"> REF _Ref478017283 \r \h </w:instrText>
      </w:r>
      <w:r w:rsidR="005742B7">
        <w:fldChar w:fldCharType="separate"/>
      </w:r>
      <w:r w:rsidR="005742B7">
        <w:t>[5]</w:t>
      </w:r>
      <w:r w:rsidR="005742B7">
        <w:fldChar w:fldCharType="end"/>
      </w:r>
      <w:r w:rsidR="005742B7">
        <w:t xml:space="preserve">. This procedure is known as radio link monitoring (RLM). When the quality falls below Qout, the UE indicates </w:t>
      </w:r>
      <w:r w:rsidR="005742B7" w:rsidRPr="005742B7">
        <w:rPr>
          <w:i/>
        </w:rPr>
        <w:t>out-of-sync</w:t>
      </w:r>
      <w:r w:rsidR="005742B7">
        <w:t xml:space="preserve"> to higher layers in the UE, and when the quality exceeds Qin, the UE indicates </w:t>
      </w:r>
      <w:r w:rsidR="005742B7" w:rsidRPr="005742B7">
        <w:rPr>
          <w:i/>
        </w:rPr>
        <w:t>in-sync</w:t>
      </w:r>
      <w:r w:rsidR="005742B7">
        <w:t xml:space="preserve"> to higher layers.</w:t>
      </w:r>
    </w:p>
    <w:p w14:paraId="3A61CEC5" w14:textId="67B8574D" w:rsidR="005742B7" w:rsidRDefault="005742B7" w:rsidP="00BA677E">
      <w:r>
        <w:t xml:space="preserve">Based on the out-of-sync and in-sync indications, higher layers in the UE may declare RLF as described in </w:t>
      </w:r>
      <w:r>
        <w:fldChar w:fldCharType="begin"/>
      </w:r>
      <w:r>
        <w:instrText xml:space="preserve"> REF _Ref478017678 \r \h </w:instrText>
      </w:r>
      <w:r>
        <w:fldChar w:fldCharType="separate"/>
      </w:r>
      <w:r>
        <w:t>[6]</w:t>
      </w:r>
      <w:r>
        <w:fldChar w:fldCharType="end"/>
      </w:r>
      <w:r>
        <w:t>.</w:t>
      </w:r>
    </w:p>
    <w:p w14:paraId="2882400F" w14:textId="140A493B" w:rsidR="00BA677E" w:rsidRDefault="005742B7" w:rsidP="00BA677E">
      <w:r>
        <w:t>The RLM procedure is designed to discover situation where the network cannot reach the UE with a PDCCH transmission</w:t>
      </w:r>
      <w:r w:rsidR="00976569">
        <w:t>, and b</w:t>
      </w:r>
      <w:r>
        <w:t xml:space="preserve">y taking appropriate action, the UE then avoids being trapped in a non-reachable state. </w:t>
      </w:r>
      <w:r w:rsidR="00976569">
        <w:t xml:space="preserve">To estimate the PDCCH quality, the UE relies on the internal quality threshold variables Qin and Qout, which </w:t>
      </w:r>
      <w:r>
        <w:t>correspond to 2% and 10% block error rate of a hypothetical PDCCH defined in</w:t>
      </w:r>
      <w:r w:rsidR="00F326EB">
        <w:t xml:space="preserve"> </w:t>
      </w:r>
      <w:r w:rsidR="00F326EB">
        <w:fldChar w:fldCharType="begin"/>
      </w:r>
      <w:r w:rsidR="00F326EB">
        <w:instrText xml:space="preserve"> REF _Ref478017283 \r \h </w:instrText>
      </w:r>
      <w:r w:rsidR="00F326EB">
        <w:fldChar w:fldCharType="separate"/>
      </w:r>
      <w:r w:rsidR="00F326EB">
        <w:t>[3]</w:t>
      </w:r>
      <w:r w:rsidR="00F326EB">
        <w:fldChar w:fldCharType="end"/>
      </w:r>
      <w:r w:rsidR="00976569">
        <w:t>:</w:t>
      </w:r>
    </w:p>
    <w:p w14:paraId="72C7ED98" w14:textId="5E89DA4C" w:rsidR="0085470F" w:rsidRDefault="0085470F" w:rsidP="00DF46B0">
      <w:pPr>
        <w:pStyle w:val="Observation"/>
      </w:pPr>
      <w:bookmarkStart w:id="1" w:name="_Toc347823812"/>
      <w:bookmarkStart w:id="2" w:name="_Toc347823993"/>
      <w:bookmarkStart w:id="3" w:name="_Toc347824244"/>
      <w:bookmarkStart w:id="4" w:name="_Toc477957122"/>
      <w:bookmarkStart w:id="5" w:name="_Toc478021954"/>
      <w:bookmarkStart w:id="6" w:name="_Toc478131523"/>
      <w:bookmarkEnd w:id="1"/>
      <w:bookmarkEnd w:id="2"/>
      <w:bookmarkEnd w:id="3"/>
      <w:bookmarkEnd w:id="4"/>
      <w:r>
        <w:t xml:space="preserve">In LTE, </w:t>
      </w:r>
      <w:r w:rsidR="00DF46B0">
        <w:t xml:space="preserve">the Qin and Qout quality thresholds correspond to </w:t>
      </w:r>
      <w:r>
        <w:t xml:space="preserve">BLER </w:t>
      </w:r>
      <w:r w:rsidR="00DF46B0">
        <w:t xml:space="preserve">levels </w:t>
      </w:r>
      <w:r>
        <w:t>of a hypothetical PDCCH.</w:t>
      </w:r>
      <w:bookmarkEnd w:id="5"/>
      <w:bookmarkEnd w:id="6"/>
      <w:r>
        <w:t xml:space="preserve"> </w:t>
      </w:r>
    </w:p>
    <w:p w14:paraId="69887B6F" w14:textId="24C33F9F" w:rsidR="00976569" w:rsidRDefault="00976569" w:rsidP="00976569">
      <w:r>
        <w:t>There has been very little discussion on RLM for NR. Still, the LTE principle to indicate that the radio link may be broken by investigating the PDCCH performance</w:t>
      </w:r>
      <w:r w:rsidR="00E42D5A">
        <w:t xml:space="preserve"> is</w:t>
      </w:r>
      <w:r>
        <w:t xml:space="preserve"> sound. It is </w:t>
      </w:r>
      <w:r w:rsidR="00E42D5A">
        <w:t xml:space="preserve">important </w:t>
      </w:r>
      <w:r>
        <w:t>to discover the situation when the NW cannot reach the UE, and that ability is reflected by the PDCCH quality.</w:t>
      </w:r>
      <w:r w:rsidR="00E42D5A">
        <w:t xml:space="preserve"> We thus propose:</w:t>
      </w:r>
    </w:p>
    <w:p w14:paraId="03AFD3BC" w14:textId="6CFB3892" w:rsidR="00DF46B0" w:rsidRDefault="00DF46B0" w:rsidP="00DF46B0">
      <w:pPr>
        <w:pStyle w:val="Proposal"/>
      </w:pPr>
      <w:bookmarkStart w:id="7" w:name="_Toc478021960"/>
      <w:bookmarkStart w:id="8" w:name="_Toc478131527"/>
      <w:r>
        <w:t xml:space="preserve">In NR, define Qin and Qout quality thresholds for RLM </w:t>
      </w:r>
      <w:r w:rsidR="00B14470">
        <w:t xml:space="preserve">purposes </w:t>
      </w:r>
      <w:r>
        <w:t>to correspond to BLER levels of a hypothetical PDCCH.</w:t>
      </w:r>
      <w:bookmarkEnd w:id="7"/>
      <w:bookmarkEnd w:id="8"/>
    </w:p>
    <w:p w14:paraId="53AD81B8" w14:textId="0BC9ECE7" w:rsidR="00F326EB" w:rsidRDefault="00F326EB" w:rsidP="00E42D5A">
      <w:r>
        <w:t xml:space="preserve">Note that the PDCCH transmission in NR will be significantly more flexible than in LTE, regarding frequency allocation and beamforming. This will complicate the design of the </w:t>
      </w:r>
      <w:r w:rsidR="007E532A">
        <w:t>RLM algorithm, since the PDCCH coverage is typically better than what can be estimated from the available signals.</w:t>
      </w:r>
    </w:p>
    <w:p w14:paraId="2E3083B3" w14:textId="3701918B" w:rsidR="00B14470" w:rsidRDefault="00E42D5A" w:rsidP="00E42D5A">
      <w:r>
        <w:t>We thus propose that the LTE principle for out-of-sync and in-sync indications is introduced in NR. What measurement to base the estimation on will need to be revisited though</w:t>
      </w:r>
      <w:r w:rsidR="007E532A">
        <w:t xml:space="preserve"> </w:t>
      </w:r>
      <w:r w:rsidR="007E532A">
        <w:fldChar w:fldCharType="begin"/>
      </w:r>
      <w:r w:rsidR="007E532A">
        <w:instrText xml:space="preserve"> REF _Ref478131287 \r \h </w:instrText>
      </w:r>
      <w:r w:rsidR="007E532A">
        <w:fldChar w:fldCharType="separate"/>
      </w:r>
      <w:r w:rsidR="007E532A">
        <w:t>[1]</w:t>
      </w:r>
      <w:r w:rsidR="007E532A">
        <w:fldChar w:fldCharType="end"/>
      </w:r>
      <w:r>
        <w:t xml:space="preserve">. Also, what the higher layers do with the indications may also need to be revisited. </w:t>
      </w:r>
    </w:p>
    <w:p w14:paraId="636CD063" w14:textId="4AF4C0BF" w:rsidR="00DF46B0" w:rsidRDefault="00E42D5A" w:rsidP="00E42D5A">
      <w:r>
        <w:t>In NR, there has been significant discussions about beam recovery</w:t>
      </w:r>
      <w:r w:rsidR="005E2719">
        <w:t xml:space="preserve"> (BR)</w:t>
      </w:r>
      <w:r>
        <w:t>, and the associated monitoring procedure. In RAN1#88, it was agreed that a b</w:t>
      </w:r>
      <w:r w:rsidRPr="00E42D5A">
        <w:t>eam failure event occurs when the quality of beam pair link(s) of an associated control channel falls low enough</w:t>
      </w:r>
      <w:r>
        <w:t>. In other words:</w:t>
      </w:r>
    </w:p>
    <w:p w14:paraId="7160A3F9" w14:textId="239E2FAC" w:rsidR="00DF46B0" w:rsidRDefault="00D72B19" w:rsidP="00DF46B0">
      <w:pPr>
        <w:pStyle w:val="Observation"/>
      </w:pPr>
      <w:bookmarkStart w:id="9" w:name="_Toc478021955"/>
      <w:bookmarkStart w:id="10" w:name="_Toc478131524"/>
      <w:r>
        <w:t>Beam link failure occurs when the quality of an associated control channel falls below a certain threshold.</w:t>
      </w:r>
      <w:bookmarkEnd w:id="9"/>
      <w:bookmarkEnd w:id="10"/>
    </w:p>
    <w:p w14:paraId="0697A577" w14:textId="528CD8D8" w:rsidR="00E42D5A" w:rsidRPr="00CE0424" w:rsidRDefault="00E42D5A" w:rsidP="00E42D5A">
      <w:r>
        <w:t>As the UE is monitoring DL quality, the associated control channel is the PDCCH. We thus realize that monitoring quality for the purpose of</w:t>
      </w:r>
      <w:r w:rsidR="005E2719">
        <w:t xml:space="preserve"> BR</w:t>
      </w:r>
      <w:r w:rsidR="00DC74C8">
        <w:t xml:space="preserve"> triggering</w:t>
      </w:r>
      <w:r>
        <w:t xml:space="preserve">, a procedure we may call </w:t>
      </w:r>
      <w:r w:rsidRPr="00E42D5A">
        <w:rPr>
          <w:i/>
        </w:rPr>
        <w:t>beam link monitoring</w:t>
      </w:r>
      <w:r>
        <w:t xml:space="preserve"> (BLM)</w:t>
      </w:r>
      <w:r w:rsidR="00B72389">
        <w:t xml:space="preserve">, is equivalent to monitor the quality of the PDCCH. Since the quality of a PDCCH is captured by its block error rate, BLM actually means monitoring </w:t>
      </w:r>
      <w:r w:rsidR="00EC5BAC">
        <w:t xml:space="preserve">the PDCCH BLER. In essence, by performing BLM, the UE is trying to determine if the network can reach it with a PDCCH, </w:t>
      </w:r>
      <w:r w:rsidR="00EC5BAC">
        <w:rPr>
          <w:i/>
        </w:rPr>
        <w:t xml:space="preserve">which is the same situation the UE is trying to discover in the RLM procedure. </w:t>
      </w:r>
      <w:r w:rsidR="00EC5BAC">
        <w:t>Hence, we propose:</w:t>
      </w:r>
    </w:p>
    <w:p w14:paraId="1B4CC62F" w14:textId="2012F480" w:rsidR="00DF46B0" w:rsidRDefault="00DF46B0" w:rsidP="00DF46B0">
      <w:pPr>
        <w:pStyle w:val="Proposal"/>
      </w:pPr>
      <w:bookmarkStart w:id="11" w:name="_Toc477957126"/>
      <w:bookmarkStart w:id="12" w:name="_Toc478021961"/>
      <w:bookmarkStart w:id="13" w:name="_Toc478131528"/>
      <w:r>
        <w:t xml:space="preserve">Base BLM on the </w:t>
      </w:r>
      <w:bookmarkEnd w:id="11"/>
      <w:r>
        <w:t>Qin and Qout quality thresholds defined for RLM</w:t>
      </w:r>
      <w:bookmarkEnd w:id="12"/>
      <w:bookmarkEnd w:id="13"/>
    </w:p>
    <w:p w14:paraId="0B9CB692" w14:textId="0698BD21" w:rsidR="00B14470" w:rsidRDefault="00EC5BAC" w:rsidP="008A6590">
      <w:r>
        <w:t xml:space="preserve">Note that this does </w:t>
      </w:r>
      <w:r w:rsidRPr="00EC5BAC">
        <w:rPr>
          <w:i/>
        </w:rPr>
        <w:t>not</w:t>
      </w:r>
      <w:r>
        <w:t xml:space="preserve"> mean that the UE uses the Qin and Qout indications in the same way for</w:t>
      </w:r>
      <w:r w:rsidR="005E2719">
        <w:t xml:space="preserve"> BR</w:t>
      </w:r>
      <w:r>
        <w:t xml:space="preserve"> </w:t>
      </w:r>
      <w:r w:rsidR="00DC74C8">
        <w:t xml:space="preserve">triggering </w:t>
      </w:r>
      <w:r>
        <w:t>as for</w:t>
      </w:r>
      <w:r w:rsidR="005E2719">
        <w:t xml:space="preserve"> RLF declaration</w:t>
      </w:r>
      <w:r>
        <w:t xml:space="preserve">. However, we should note that both procedures </w:t>
      </w:r>
      <w:r w:rsidR="009038BF">
        <w:t>aim</w:t>
      </w:r>
      <w:r>
        <w:t xml:space="preserve"> </w:t>
      </w:r>
      <w:r w:rsidR="009038BF">
        <w:t>at</w:t>
      </w:r>
      <w:r>
        <w:t xml:space="preserve"> discover</w:t>
      </w:r>
      <w:r w:rsidR="009038BF">
        <w:t>ing</w:t>
      </w:r>
      <w:r>
        <w:t xml:space="preserve"> a situation when the network is unable to reach the UE with a PDCCH, and </w:t>
      </w:r>
      <w:r w:rsidR="009038BF">
        <w:t>there is no reason that the procedures should use different measurements to estimate the PDCCH quality.</w:t>
      </w:r>
    </w:p>
    <w:p w14:paraId="601A082F" w14:textId="48ABF59E" w:rsidR="008A6590" w:rsidRDefault="008A6590" w:rsidP="008A6590">
      <w:r>
        <w:t>In contrast to the detection procedure, the actions taken for beam recovery and radio link failure are different. Beam recovery is a L1 procedure, which can be executed rather rapidly. It is transparent to L3, and will involve no relocation of buffers, as the recovery happens within one cell. On the other hand, to recover from radio link failure, RRC re-establishment is performed, which is obviously non-transparent to L3. It involves contention resolution during random access,</w:t>
      </w:r>
      <w:r w:rsidR="005E2719">
        <w:t xml:space="preserve"> and possibly also relocation of buffers. Hence, we have this observation:</w:t>
      </w:r>
    </w:p>
    <w:p w14:paraId="1E06AB83" w14:textId="79F6395A" w:rsidR="00DF46B0" w:rsidRDefault="00BA0AFA" w:rsidP="00DF46B0">
      <w:pPr>
        <w:pStyle w:val="Observation"/>
      </w:pPr>
      <w:bookmarkStart w:id="14" w:name="_Toc477957123"/>
      <w:bookmarkStart w:id="15" w:name="_Toc478021956"/>
      <w:bookmarkStart w:id="16" w:name="_Toc478131525"/>
      <w:r>
        <w:t>The actions taken at RLF are more costly than actions taken a</w:t>
      </w:r>
      <w:r w:rsidR="005E2719">
        <w:t>t BR</w:t>
      </w:r>
      <w:r>
        <w:t>.</w:t>
      </w:r>
      <w:bookmarkEnd w:id="14"/>
      <w:bookmarkEnd w:id="15"/>
      <w:bookmarkEnd w:id="16"/>
    </w:p>
    <w:p w14:paraId="7603338B" w14:textId="648BC5D5" w:rsidR="005E2719" w:rsidRDefault="005E2719" w:rsidP="005E2719">
      <w:r>
        <w:t xml:space="preserve">The network performs BLM and RLM based on Qout and Qin indications, since both processes are estimating PDCCH quality. However, since the BR actions are faster and less costly than the actions RLF taken at BR, the BR actions should be taken more easily, or earlier, than the RLF actions. In LTE, </w:t>
      </w:r>
      <w:r w:rsidR="006C5920">
        <w:t>the conditions for declaring RLF are quite restrictive, and controlled by counters and timers</w:t>
      </w:r>
      <w:r w:rsidR="00DC74C8">
        <w:t>, and a similar principle mechanism is relevant also for NR</w:t>
      </w:r>
      <w:r w:rsidR="006C5920">
        <w:t xml:space="preserve">. As BR is a lighter procedure, the criterion for initiating BR should </w:t>
      </w:r>
      <w:r w:rsidR="00DC74C8">
        <w:t xml:space="preserve">clearly </w:t>
      </w:r>
      <w:r w:rsidR="006C5920">
        <w:t>be less restrictive than the criterion for RLF declaration. Hence, we propose:</w:t>
      </w:r>
    </w:p>
    <w:p w14:paraId="35B185DF" w14:textId="17865BA6" w:rsidR="00DF46B0" w:rsidRDefault="005E2719" w:rsidP="00DF46B0">
      <w:pPr>
        <w:pStyle w:val="Proposal"/>
      </w:pPr>
      <w:bookmarkStart w:id="17" w:name="_Toc477957127"/>
      <w:bookmarkStart w:id="18" w:name="_Toc478021962"/>
      <w:bookmarkStart w:id="19" w:name="_Toc478131529"/>
      <w:r>
        <w:t>Trigger BR</w:t>
      </w:r>
      <w:r w:rsidR="00DF46B0">
        <w:t xml:space="preserve"> earlier than RLF.</w:t>
      </w:r>
      <w:bookmarkEnd w:id="17"/>
      <w:bookmarkEnd w:id="18"/>
      <w:bookmarkEnd w:id="19"/>
    </w:p>
    <w:p w14:paraId="1876AA47" w14:textId="08DDF8D4" w:rsidR="006C5920" w:rsidRDefault="006C5920" w:rsidP="006C5920">
      <w:r>
        <w:t>One way to trigger BR earlier than RLF is to use a smaller out-of-sync counter and/or a shorter (or no) timer for BR than for RLF.</w:t>
      </w:r>
    </w:p>
    <w:p w14:paraId="5ECF6C9C" w14:textId="6E321F39" w:rsidR="00B14470" w:rsidRDefault="006C5920" w:rsidP="006C5920">
      <w:r>
        <w:t>BR was designed for a system with multiple beams, in particular for systems relying on analog beamforming at the TRP.  In many systems, BR is probably unnecessary, since the network can reach the UE with a non-beamformed PDCCH and the UE can reach the network using a non-beamformed PUCCH. We thus observe:</w:t>
      </w:r>
    </w:p>
    <w:p w14:paraId="40EF9E81" w14:textId="7CA702D6" w:rsidR="00BA0AFA" w:rsidRDefault="00BA0AFA" w:rsidP="00A04F49">
      <w:pPr>
        <w:pStyle w:val="Observation"/>
      </w:pPr>
      <w:bookmarkStart w:id="20" w:name="_Toc477957124"/>
      <w:bookmarkStart w:id="21" w:name="_Toc478021957"/>
      <w:bookmarkStart w:id="22" w:name="_Toc478131526"/>
      <w:r>
        <w:t xml:space="preserve">In </w:t>
      </w:r>
      <w:r w:rsidR="00DC74C8">
        <w:t xml:space="preserve">many </w:t>
      </w:r>
      <w:r>
        <w:t xml:space="preserve">deployment scenarios, </w:t>
      </w:r>
      <w:r w:rsidR="006C5920">
        <w:t>BR</w:t>
      </w:r>
      <w:r>
        <w:t xml:space="preserve"> is unnecessary.</w:t>
      </w:r>
      <w:bookmarkEnd w:id="20"/>
      <w:bookmarkEnd w:id="21"/>
      <w:bookmarkEnd w:id="22"/>
    </w:p>
    <w:p w14:paraId="074AD937" w14:textId="12B4A04B" w:rsidR="006C5920" w:rsidRDefault="006C5920" w:rsidP="006C5920">
      <w:r>
        <w:t xml:space="preserve">In contrast to BR, RLF triggering will always be required. </w:t>
      </w:r>
      <w:r w:rsidR="00E63B8C">
        <w:t xml:space="preserve">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w:t>
      </w:r>
      <w:r w:rsidR="00AA5EE6">
        <w:t xml:space="preserve">simplify </w:t>
      </w:r>
      <w:r w:rsidR="00E63B8C">
        <w:t>deployments where BR is not deployed. We thus make the following proposal:</w:t>
      </w:r>
    </w:p>
    <w:p w14:paraId="0BC868FC" w14:textId="122EF32D" w:rsidR="00BA0AFA" w:rsidRPr="00A04F49" w:rsidRDefault="00BA0AFA" w:rsidP="00BA0AFA">
      <w:pPr>
        <w:pStyle w:val="Proposal"/>
      </w:pPr>
      <w:bookmarkStart w:id="23" w:name="_Toc477957128"/>
      <w:bookmarkStart w:id="24" w:name="_Toc478021963"/>
      <w:bookmarkStart w:id="25" w:name="_Toc478131530"/>
      <w:r>
        <w:t>Trigger RLF independently of</w:t>
      </w:r>
      <w:r w:rsidR="006C5920">
        <w:t xml:space="preserve"> BR</w:t>
      </w:r>
      <w:r>
        <w:t>.</w:t>
      </w:r>
      <w:bookmarkEnd w:id="23"/>
      <w:bookmarkEnd w:id="24"/>
      <w:bookmarkEnd w:id="25"/>
    </w:p>
    <w:p w14:paraId="4E54F3D7" w14:textId="5463D23E" w:rsidR="00DF71A0" w:rsidRPr="00CE0424" w:rsidRDefault="00AA5EE6" w:rsidP="00A70387">
      <w:pPr>
        <w:pStyle w:val="BodyText"/>
      </w:pPr>
      <w:r>
        <w:t>The alternative, to condition RLF on a number of unsuccessful BR attempts, would lead to that the RLF procedure becomes coupled with the BR. If the BR counters and/or timers are increased, the RLF declaration would be happen later.</w:t>
      </w:r>
      <w:r w:rsidR="00956AE2">
        <w:t xml:space="preserve"> In a system without beams, the BR procedure would always be unsuccessful, in which </w:t>
      </w:r>
      <w:r>
        <w:t xml:space="preserve"> </w:t>
      </w:r>
      <w:r w:rsidR="00956AE2">
        <w:t>case the network should have the option not to configure BR, without affecting the RLF procedure.</w:t>
      </w:r>
    </w:p>
    <w:p w14:paraId="2C1B6BD4" w14:textId="77777777" w:rsidR="00C01F33" w:rsidRPr="00CE0424" w:rsidRDefault="00C01F33" w:rsidP="00CE0424">
      <w:pPr>
        <w:pStyle w:val="Heading1"/>
      </w:pPr>
      <w:r w:rsidRPr="00CE0424">
        <w:t>Conclusion</w:t>
      </w:r>
    </w:p>
    <w:p w14:paraId="332F02BC" w14:textId="77777777" w:rsidR="00DC74C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D88BF9D" w14:textId="77777777" w:rsidR="00DC74C8" w:rsidRDefault="00DC74C8">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In LTE, the Qin and Qout quality thresholds correspond to BLER levels of a hypothetical PDCCH.</w:t>
      </w:r>
    </w:p>
    <w:p w14:paraId="722BB14A" w14:textId="77777777" w:rsidR="00DC74C8" w:rsidRDefault="00DC74C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Beam link failure occurs when the quality of an associated control channel falls below a certain threshold.</w:t>
      </w:r>
    </w:p>
    <w:p w14:paraId="113D5A1F" w14:textId="77777777" w:rsidR="00DC74C8" w:rsidRDefault="00DC74C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actions taken at RLF are more costly than actions taken at BR.</w:t>
      </w:r>
    </w:p>
    <w:p w14:paraId="79B72303" w14:textId="77777777" w:rsidR="00DC74C8" w:rsidRDefault="00DC74C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many deployment scenarios, BR is unnecessary.</w:t>
      </w:r>
    </w:p>
    <w:p w14:paraId="68ED5EBF" w14:textId="77777777" w:rsidR="008E065E" w:rsidRDefault="008E065E" w:rsidP="008E065E">
      <w:pPr>
        <w:pStyle w:val="BodyText"/>
        <w:rPr>
          <w:b/>
          <w:bCs/>
        </w:rPr>
      </w:pPr>
      <w:r>
        <w:rPr>
          <w:b/>
          <w:bCs/>
        </w:rPr>
        <w:fldChar w:fldCharType="end"/>
      </w:r>
    </w:p>
    <w:p w14:paraId="36BF20B9" w14:textId="77777777" w:rsidR="00DC74C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D571B84" w14:textId="77777777" w:rsidR="00DC74C8" w:rsidRDefault="00DC74C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NR, define Qin and Qout quality thresholds for RLM purposes to correspond to BLER levels of a hypothetical PDCCH.</w:t>
      </w:r>
    </w:p>
    <w:p w14:paraId="71C78DA3" w14:textId="77777777" w:rsidR="00DC74C8" w:rsidRDefault="00DC74C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Base BLM on the Qin and Qout quality thresholds defined for RLM</w:t>
      </w:r>
    </w:p>
    <w:p w14:paraId="0F919BA1" w14:textId="77777777" w:rsidR="00DC74C8" w:rsidRDefault="00DC74C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Trigger BR earlier than RLF.</w:t>
      </w:r>
    </w:p>
    <w:p w14:paraId="600C3B3D" w14:textId="77777777" w:rsidR="00DC74C8" w:rsidRDefault="00DC74C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Trigger RLF independently of BR.</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26" w:name="_In-sequence_SDU_delivery"/>
      <w:bookmarkEnd w:id="26"/>
      <w:r w:rsidRPr="00CE0424">
        <w:t>References</w:t>
      </w:r>
    </w:p>
    <w:p w14:paraId="1AEBF3DD" w14:textId="68158F51" w:rsidR="005F3025" w:rsidRPr="00CE0424" w:rsidRDefault="000714B8" w:rsidP="00311702">
      <w:pPr>
        <w:pStyle w:val="Reference"/>
      </w:pPr>
      <w:bookmarkStart w:id="27" w:name="_Ref174151459"/>
      <w:bookmarkStart w:id="28" w:name="_Ref189809556"/>
      <w:bookmarkStart w:id="29" w:name="_Ref478131287"/>
      <w:r>
        <w:t xml:space="preserve">R1-1705893, </w:t>
      </w:r>
      <w:r w:rsidR="00410BBD">
        <w:t>Beam failure detection and beam recovery actions, Ericsson, RAN1#88bis, Spokane, US, April 2017</w:t>
      </w:r>
      <w:bookmarkEnd w:id="29"/>
    </w:p>
    <w:p w14:paraId="68F73695" w14:textId="03C2EA8D" w:rsidR="005F3025" w:rsidRPr="003F5776" w:rsidRDefault="003F5776" w:rsidP="003F5776">
      <w:pPr>
        <w:pStyle w:val="Reference"/>
        <w:rPr>
          <w:rStyle w:val="CommentReference"/>
          <w:sz w:val="20"/>
          <w:szCs w:val="20"/>
        </w:rPr>
      </w:pPr>
      <w:bookmarkStart w:id="30" w:name="_Ref478017272"/>
      <w:r>
        <w:t xml:space="preserve">3GPP TS 36.213, </w:t>
      </w:r>
      <w:r w:rsidRPr="003F5776">
        <w:t>Physical layer procedures</w:t>
      </w:r>
      <w:r>
        <w:t>, V14.1.0 (2016-12)</w:t>
      </w:r>
      <w:r w:rsidRPr="00CE0424">
        <w:rPr>
          <w:rStyle w:val="CommentReference"/>
        </w:rPr>
        <w:t xml:space="preserve"> </w:t>
      </w:r>
      <w:bookmarkStart w:id="31" w:name="_GoBack"/>
      <w:bookmarkEnd w:id="30"/>
      <w:bookmarkEnd w:id="31"/>
    </w:p>
    <w:p w14:paraId="0B29AD7A" w14:textId="6E0A747B" w:rsidR="003F5776" w:rsidRDefault="003F5776" w:rsidP="003F5776">
      <w:pPr>
        <w:pStyle w:val="Reference"/>
      </w:pPr>
      <w:bookmarkStart w:id="32" w:name="_Ref478017283"/>
      <w:r>
        <w:t xml:space="preserve">3GPP TS 36.133, </w:t>
      </w:r>
      <w:r w:rsidRPr="003F5776">
        <w:t>Requirements for support of radio resource management</w:t>
      </w:r>
      <w:r>
        <w:t>, V14.1.0 (2016-12)</w:t>
      </w:r>
      <w:bookmarkEnd w:id="32"/>
    </w:p>
    <w:p w14:paraId="22237F2F" w14:textId="5BB20E89" w:rsidR="005742B7" w:rsidRPr="00CE0424" w:rsidRDefault="005742B7" w:rsidP="00410BBD">
      <w:pPr>
        <w:pStyle w:val="Reference"/>
      </w:pPr>
      <w:bookmarkStart w:id="33" w:name="_Ref478017678"/>
      <w:r>
        <w:t>3GPP TS 36.331, Radio Resource Control (RRC);Protocol specification, V14.1.0 (2016-12)</w:t>
      </w:r>
      <w:bookmarkEnd w:id="33"/>
    </w:p>
    <w:bookmarkEnd w:id="27"/>
    <w:bookmarkEnd w:id="28"/>
    <w:p w14:paraId="6EF5CF0A"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9992F" w14:textId="77777777" w:rsidR="006C716E" w:rsidRDefault="006C716E">
      <w:r>
        <w:separator/>
      </w:r>
    </w:p>
  </w:endnote>
  <w:endnote w:type="continuationSeparator" w:id="0">
    <w:p w14:paraId="102D48AE" w14:textId="77777777" w:rsidR="006C716E" w:rsidRDefault="006C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698515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74C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74C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0F0F7" w14:textId="77777777" w:rsidR="006C716E" w:rsidRDefault="006C716E">
      <w:r>
        <w:separator/>
      </w:r>
    </w:p>
  </w:footnote>
  <w:footnote w:type="continuationSeparator" w:id="0">
    <w:p w14:paraId="4FF46581" w14:textId="77777777" w:rsidR="006C716E" w:rsidRDefault="006C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6000FC"/>
    <w:multiLevelType w:val="hybridMultilevel"/>
    <w:tmpl w:val="CF962836"/>
    <w:lvl w:ilvl="0" w:tplc="0602CC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4B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1CA"/>
    <w:rsid w:val="001D51BA"/>
    <w:rsid w:val="001D6342"/>
    <w:rsid w:val="001D6D53"/>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2706D"/>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BBD"/>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1465"/>
    <w:rsid w:val="005A209A"/>
    <w:rsid w:val="005A662D"/>
    <w:rsid w:val="005B35D7"/>
    <w:rsid w:val="005B392A"/>
    <w:rsid w:val="005B3AA3"/>
    <w:rsid w:val="005B6F83"/>
    <w:rsid w:val="005C74FB"/>
    <w:rsid w:val="005D1602"/>
    <w:rsid w:val="005E2719"/>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5F7"/>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32A"/>
    <w:rsid w:val="007E7091"/>
    <w:rsid w:val="007F25E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90"/>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2389"/>
    <w:rsid w:val="00B739F6"/>
    <w:rsid w:val="00B81A6C"/>
    <w:rsid w:val="00B85DE5"/>
    <w:rsid w:val="00B90F73"/>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BF2"/>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4C8"/>
    <w:rsid w:val="00DE5608"/>
    <w:rsid w:val="00DE58D0"/>
    <w:rsid w:val="00DE654F"/>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727"/>
    <w:rsid w:val="00EC27C6"/>
    <w:rsid w:val="00EC4207"/>
    <w:rsid w:val="00EC5653"/>
    <w:rsid w:val="00EC5BAC"/>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26EB"/>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BA67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5NUHHDQN7SK2-1-114772</_dlc_DocId>
    <_dlc_DocIdUrl xmlns="08b2df90-05d3-4030-90d4-c9feeb4a1cd9">
      <Url>https://ericoll.internal.ericsson.com/sites/STAR/_layouts/DocIdRedir.aspx?ID=5NUHHDQN7SK2-1-114772</Url>
      <Description>5NUHHDQN7SK2-1-114772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file>

<file path=customXml/itemProps2.xml><?xml version="1.0" encoding="utf-8"?>
<ds:datastoreItem xmlns:ds="http://schemas.openxmlformats.org/officeDocument/2006/customXml" ds:itemID="{BED28515-FB98-4066-AFF6-FD3944B81941}"/>
</file>

<file path=customXml/itemProps3.xml><?xml version="1.0" encoding="utf-8"?>
<ds:datastoreItem xmlns:ds="http://schemas.openxmlformats.org/officeDocument/2006/customXml" ds:itemID="{F9AC6988-A222-4B1F-89F0-5598AB0FDB60}"/>
</file>

<file path=customXml/itemProps4.xml><?xml version="1.0" encoding="utf-8"?>
<ds:datastoreItem xmlns:ds="http://schemas.openxmlformats.org/officeDocument/2006/customXml" ds:itemID="{FCADE499-8107-4832-98E9-73B0E4FE2641}"/>
</file>

<file path=customXml/itemProps5.xml><?xml version="1.0" encoding="utf-8"?>
<ds:datastoreItem xmlns:ds="http://schemas.openxmlformats.org/officeDocument/2006/customXml" ds:itemID="{4887B350-DC57-4503-B072-C47A3D5338D9}"/>
</file>

<file path=customXml/itemProps6.xml><?xml version="1.0" encoding="utf-8"?>
<ds:datastoreItem xmlns:ds="http://schemas.openxmlformats.org/officeDocument/2006/customXml" ds:itemID="{89F46F36-59D5-4CE1-BE60-38A4C3EE0F60}"/>
</file>

<file path=customXml/itemProps7.xml><?xml version="1.0" encoding="utf-8"?>
<ds:datastoreItem xmlns:ds="http://schemas.openxmlformats.org/officeDocument/2006/customXml" ds:itemID="{FB3F9F4D-686A-4962-A40A-CA01D0CE28A5}"/>
</file>

<file path=docProps/app.xml><?xml version="1.0" encoding="utf-8"?>
<Properties xmlns="http://schemas.openxmlformats.org/officeDocument/2006/extended-properties" xmlns:vt="http://schemas.openxmlformats.org/officeDocument/2006/docPropsVTypes">
  <Template>R2-15xxxx - Contribution template</Template>
  <TotalTime>47</TotalTime>
  <Pages>4</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8873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Claes Tidestav</cp:lastModifiedBy>
  <cp:revision>6</cp:revision>
  <cp:lastPrinted>2008-01-31T16:09:00Z</cp:lastPrinted>
  <dcterms:created xsi:type="dcterms:W3CDTF">2017-03-24T13:24:00Z</dcterms:created>
  <dcterms:modified xsi:type="dcterms:W3CDTF">2017-03-24T14:10:00Z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88f4942c-49c4-4bb7-80d4-d0db50a4543d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