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FE1DF" w14:textId="7A2101D4" w:rsidR="00E250F9" w:rsidRPr="00327997" w:rsidRDefault="00E250F9" w:rsidP="00E250F9">
      <w:pPr>
        <w:pStyle w:val="3GPPHeader"/>
        <w:rPr>
          <w:highlight w:val="yellow"/>
        </w:rPr>
      </w:pPr>
      <w:r w:rsidRPr="00327997">
        <w:t>3GPP TSG-RAN WG1</w:t>
      </w:r>
      <w:r>
        <w:t xml:space="preserve"> #88bis</w:t>
      </w:r>
      <w:r w:rsidRPr="00327997">
        <w:tab/>
      </w:r>
      <w:r w:rsidRPr="004A2BF7">
        <w:t>R1-</w:t>
      </w:r>
      <w:r w:rsidR="004A2BF7" w:rsidRPr="004A2BF7">
        <w:t>1705909</w:t>
      </w:r>
    </w:p>
    <w:p w14:paraId="1DB916C3" w14:textId="77777777" w:rsidR="00E250F9" w:rsidRDefault="00E250F9" w:rsidP="00E250F9">
      <w:pPr>
        <w:pStyle w:val="3GPPHeader"/>
      </w:pPr>
      <w:r>
        <w:t>Spokane, WA, USA</w:t>
      </w:r>
      <w:r w:rsidRPr="009C6832">
        <w:t xml:space="preserve">, </w:t>
      </w:r>
      <w:r>
        <w:t>3</w:t>
      </w:r>
      <w:r>
        <w:rPr>
          <w:vertAlign w:val="superscript"/>
        </w:rPr>
        <w:t>rd</w:t>
      </w:r>
      <w:r>
        <w:t xml:space="preserve"> </w:t>
      </w:r>
      <w:r w:rsidRPr="009C6832">
        <w:t xml:space="preserve">– </w:t>
      </w:r>
      <w:r>
        <w:t>7</w:t>
      </w:r>
      <w:r w:rsidRPr="00A85C6C">
        <w:rPr>
          <w:vertAlign w:val="superscript"/>
        </w:rPr>
        <w:t>th</w:t>
      </w:r>
      <w:r>
        <w:t xml:space="preserve"> April</w:t>
      </w:r>
      <w:r w:rsidRPr="009C6832">
        <w:t>, 20</w:t>
      </w:r>
      <w:r>
        <w:t>17</w:t>
      </w:r>
    </w:p>
    <w:p w14:paraId="5B17B86E" w14:textId="77777777" w:rsidR="00E90E49" w:rsidRPr="00423A83" w:rsidRDefault="00E90E49" w:rsidP="00357380">
      <w:pPr>
        <w:pStyle w:val="3GPPHeader"/>
      </w:pPr>
    </w:p>
    <w:p w14:paraId="380B2DE0" w14:textId="77777777" w:rsidR="00E90E49" w:rsidRPr="00423A83" w:rsidRDefault="003D3C45" w:rsidP="00327997">
      <w:pPr>
        <w:pStyle w:val="3GPPHeader"/>
      </w:pPr>
      <w:r w:rsidRPr="00423A83">
        <w:t>Source:</w:t>
      </w:r>
      <w:r w:rsidR="00E90E49" w:rsidRPr="00423A83">
        <w:tab/>
      </w:r>
      <w:r w:rsidR="00F64C2B" w:rsidRPr="00423A83">
        <w:t>Ericsson</w:t>
      </w:r>
    </w:p>
    <w:p w14:paraId="1FEBC304" w14:textId="7BC3BD40" w:rsidR="00E90E49" w:rsidRPr="00423A83" w:rsidRDefault="003D3C45" w:rsidP="00327997">
      <w:pPr>
        <w:pStyle w:val="3GPPHeader"/>
      </w:pPr>
      <w:r w:rsidRPr="00423A83">
        <w:t>Title:</w:t>
      </w:r>
      <w:r w:rsidR="00E90E49" w:rsidRPr="00423A83">
        <w:tab/>
      </w:r>
      <w:r w:rsidR="00C83C93" w:rsidRPr="00423A83">
        <w:t>On</w:t>
      </w:r>
      <w:r w:rsidR="00F63EFE" w:rsidRPr="00423A83">
        <w:t xml:space="preserve"> </w:t>
      </w:r>
      <w:r w:rsidR="00C85316">
        <w:t>QCL for DL RS</w:t>
      </w:r>
      <w:r w:rsidR="00261E25">
        <w:t xml:space="preserve"> </w:t>
      </w:r>
    </w:p>
    <w:p w14:paraId="32A545B9" w14:textId="229F8B79" w:rsidR="00952A24" w:rsidRPr="00B07920" w:rsidRDefault="00952A24" w:rsidP="00327997">
      <w:pPr>
        <w:pStyle w:val="3GPPHeader"/>
      </w:pPr>
      <w:r w:rsidRPr="00423A83">
        <w:t>Agenda Item:</w:t>
      </w:r>
      <w:r w:rsidRPr="00423A83">
        <w:tab/>
      </w:r>
      <w:r w:rsidR="00940550">
        <w:t>8.1.2.</w:t>
      </w:r>
      <w:r w:rsidR="00C85316">
        <w:t>4.</w:t>
      </w:r>
      <w:r w:rsidR="00E77CC6">
        <w:t>5</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45D71D84" w:rsidR="00E25F69" w:rsidRDefault="00F35191" w:rsidP="00E25F69">
      <w:pPr>
        <w:pStyle w:val="BodyText"/>
      </w:pPr>
      <w:bookmarkStart w:id="0" w:name="_In-sequence_SDU_delivery"/>
      <w:bookmarkEnd w:id="0"/>
      <w:r>
        <w:t xml:space="preserve">With respect to </w:t>
      </w:r>
      <w:r w:rsidR="00AC775B">
        <w:t xml:space="preserve">DL </w:t>
      </w:r>
      <w:r>
        <w:t xml:space="preserve">QCL </w:t>
      </w:r>
      <w:r w:rsidR="005B5B91">
        <w:t>definitions</w:t>
      </w:r>
      <w:r w:rsidR="00AC775B">
        <w:t>, there were a few open issues and agreements</w:t>
      </w:r>
      <w:r w:rsidR="006C1133">
        <w:t xml:space="preserve"> from recent meetings</w:t>
      </w:r>
      <w:r w:rsidR="00AC775B">
        <w:t xml:space="preserve"> meeting:</w:t>
      </w:r>
    </w:p>
    <w:p w14:paraId="4FF891E2" w14:textId="4D7952FB" w:rsidR="00D41D2B" w:rsidRDefault="00E25F69" w:rsidP="00E25F69">
      <w:pPr>
        <w:pStyle w:val="BodyText"/>
      </w:pPr>
      <w:r>
        <w:rPr>
          <w:noProof/>
          <w:lang w:val="sv-SE" w:eastAsia="sv-SE"/>
        </w:rPr>
        <mc:AlternateContent>
          <mc:Choice Requires="wps">
            <w:drawing>
              <wp:inline distT="0" distB="0" distL="0" distR="0" wp14:anchorId="68D66145" wp14:editId="035E8A8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71A844" w14:textId="4AF35B11" w:rsidR="005C4ACF" w:rsidRDefault="005C4ACF" w:rsidP="00D41D2B">
                            <w:pPr>
                              <w:overflowPunct/>
                              <w:autoSpaceDE/>
                              <w:autoSpaceDN/>
                              <w:adjustRightInd/>
                              <w:spacing w:after="0"/>
                              <w:jc w:val="left"/>
                              <w:textAlignment w:val="auto"/>
                              <w:rPr>
                                <w:rFonts w:eastAsia="MS Mincho"/>
                                <w:lang w:val="en-US" w:eastAsia="ja-JP"/>
                              </w:rPr>
                            </w:pPr>
                          </w:p>
                          <w:p w14:paraId="7970F98F" w14:textId="026D087C" w:rsidR="005C4ACF" w:rsidRPr="00B54B04" w:rsidRDefault="005C4ACF" w:rsidP="006C1133">
                            <w:pPr>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w:t>
                            </w:r>
                            <w:r>
                              <w:rPr>
                                <w:rFonts w:eastAsia="MS Mincho" w:hint="eastAsia"/>
                                <w:b/>
                                <w:highlight w:val="green"/>
                                <w:u w:val="single"/>
                                <w:lang w:val="en-US" w:eastAsia="ja-JP"/>
                              </w:rPr>
                              <w:t>1</w:t>
                            </w:r>
                            <w:r w:rsidRPr="002104E6">
                              <w:rPr>
                                <w:rFonts w:eastAsia="MS Mincho" w:hint="eastAsia"/>
                                <w:b/>
                                <w:highlight w:val="green"/>
                                <w:u w:val="single"/>
                                <w:lang w:val="en-US" w:eastAsia="ja-JP"/>
                              </w:rPr>
                              <w:t>:</w:t>
                            </w:r>
                          </w:p>
                          <w:p w14:paraId="7E22D091" w14:textId="77777777" w:rsidR="005C4ACF" w:rsidRPr="00B54B04" w:rsidRDefault="005C4ACF" w:rsidP="006C1133">
                            <w:pPr>
                              <w:numPr>
                                <w:ilvl w:val="0"/>
                                <w:numId w:val="30"/>
                              </w:numPr>
                              <w:overflowPunct/>
                              <w:autoSpaceDE/>
                              <w:autoSpaceDN/>
                              <w:adjustRightInd/>
                              <w:spacing w:after="0"/>
                              <w:jc w:val="left"/>
                              <w:textAlignment w:val="auto"/>
                              <w:rPr>
                                <w:rFonts w:eastAsia="MS Mincho"/>
                                <w:lang w:val="en-US" w:eastAsia="ja-JP"/>
                              </w:rPr>
                            </w:pPr>
                            <w:r w:rsidRPr="00B54B04">
                              <w:rPr>
                                <w:rFonts w:eastAsia="MS Mincho"/>
                                <w:lang w:eastAsia="ja-JP"/>
                              </w:rPr>
                              <w:t>Support DMRS ports grouping, and DMRS ports within one group are QCL-</w:t>
                            </w:r>
                            <w:proofErr w:type="spellStart"/>
                            <w:r w:rsidRPr="00B54B04">
                              <w:rPr>
                                <w:rFonts w:eastAsia="MS Mincho"/>
                                <w:lang w:eastAsia="ja-JP"/>
                              </w:rPr>
                              <w:t>ed</w:t>
                            </w:r>
                            <w:proofErr w:type="spellEnd"/>
                            <w:r w:rsidRPr="00B54B04">
                              <w:rPr>
                                <w:rFonts w:eastAsia="MS Mincho"/>
                                <w:lang w:eastAsia="ja-JP"/>
                              </w:rPr>
                              <w:t>, and DMRS ports in different groups are non-</w:t>
                            </w:r>
                            <w:proofErr w:type="spellStart"/>
                            <w:r w:rsidRPr="00B54B04">
                              <w:rPr>
                                <w:rFonts w:eastAsia="MS Mincho"/>
                                <w:lang w:eastAsia="ja-JP"/>
                              </w:rPr>
                              <w:t>QCLed</w:t>
                            </w:r>
                            <w:proofErr w:type="spellEnd"/>
                            <w:r w:rsidRPr="00B54B04">
                              <w:rPr>
                                <w:rFonts w:eastAsia="MS Mincho"/>
                                <w:lang w:eastAsia="ja-JP"/>
                              </w:rPr>
                              <w:t>.</w:t>
                            </w:r>
                          </w:p>
                          <w:p w14:paraId="18A840FE"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sidRPr="00B54B04">
                              <w:rPr>
                                <w:rFonts w:eastAsia="MS Mincho"/>
                                <w:lang w:eastAsia="ja-JP"/>
                              </w:rPr>
                              <w:t>FFS the grouping principle, e.g. grouping DMRS according to CWs, analog beams, etc.</w:t>
                            </w:r>
                          </w:p>
                          <w:p w14:paraId="09D1FC8F"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Pr>
                                <w:rFonts w:eastAsia="MS Mincho"/>
                                <w:lang w:eastAsia="ja-JP"/>
                              </w:rPr>
                              <w:t xml:space="preserve">FFS the signalling </w:t>
                            </w:r>
                            <w:r w:rsidRPr="00B54B04">
                              <w:rPr>
                                <w:rFonts w:eastAsia="MS Mincho"/>
                                <w:lang w:eastAsia="ja-JP"/>
                              </w:rPr>
                              <w:t>method of QCL indication, e.g., RRC, MAC CE, DCI, etc.</w:t>
                            </w:r>
                          </w:p>
                          <w:p w14:paraId="57D2BAD6" w14:textId="77777777" w:rsidR="005C4ACF" w:rsidRPr="00B54B04" w:rsidRDefault="005C4ACF" w:rsidP="006C1133">
                            <w:pPr>
                              <w:numPr>
                                <w:ilvl w:val="0"/>
                                <w:numId w:val="30"/>
                              </w:numPr>
                              <w:overflowPunct/>
                              <w:autoSpaceDE/>
                              <w:autoSpaceDN/>
                              <w:adjustRightInd/>
                              <w:spacing w:after="0"/>
                              <w:jc w:val="left"/>
                              <w:textAlignment w:val="auto"/>
                              <w:rPr>
                                <w:rFonts w:eastAsia="MS Mincho"/>
                                <w:lang w:val="en-US"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w:t>
                            </w:r>
                            <w:r w:rsidRPr="00B54B04">
                              <w:rPr>
                                <w:rFonts w:eastAsia="MS Mincho"/>
                                <w:lang w:val="en-US" w:eastAsia="ja-JP"/>
                              </w:rPr>
                              <w:t>g., Doppler</w:t>
                            </w:r>
                            <w:r>
                              <w:rPr>
                                <w:rFonts w:eastAsia="MS Mincho" w:hint="eastAsia"/>
                                <w:lang w:val="en-US" w:eastAsia="ja-JP"/>
                              </w:rPr>
                              <w:t xml:space="preserve"> shift/Doppler spread/</w:t>
                            </w:r>
                            <w:r w:rsidRPr="00B54B04">
                              <w:rPr>
                                <w:rFonts w:eastAsia="MS Mincho"/>
                                <w:lang w:val="en-US" w:eastAsia="ja-JP"/>
                              </w:rPr>
                              <w:t>delay spread)</w:t>
                            </w:r>
                          </w:p>
                          <w:p w14:paraId="4A56891F" w14:textId="77777777" w:rsidR="005C4ACF" w:rsidRPr="00B54B04" w:rsidRDefault="005C4ACF" w:rsidP="006C1133">
                            <w:pPr>
                              <w:numPr>
                                <w:ilvl w:val="0"/>
                                <w:numId w:val="30"/>
                              </w:numPr>
                              <w:overflowPunct/>
                              <w:autoSpaceDE/>
                              <w:autoSpaceDN/>
                              <w:adjustRightInd/>
                              <w:spacing w:after="0"/>
                              <w:jc w:val="left"/>
                              <w:textAlignment w:val="auto"/>
                              <w:rPr>
                                <w:rFonts w:eastAsia="MS Mincho"/>
                                <w:lang w:val="en-US"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14:paraId="74D73AE2"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sidRPr="00B54B04">
                              <w:rPr>
                                <w:rFonts w:eastAsia="MS Mincho"/>
                                <w:lang w:val="en-US" w:eastAsia="ja-JP"/>
                              </w:rPr>
                              <w:t>Beam management functionality: at least including spatial parameters</w:t>
                            </w:r>
                          </w:p>
                          <w:p w14:paraId="7FFADB05"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sidRPr="00B54B04">
                              <w:rPr>
                                <w:rFonts w:eastAsia="MS Mincho"/>
                                <w:lang w:val="en-US" w:eastAsia="ja-JP"/>
                              </w:rPr>
                              <w:t>Frequency/timing offset estimation functionality: at least including Doppler/delay parameters</w:t>
                            </w:r>
                          </w:p>
                          <w:p w14:paraId="55B156CF"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sidRPr="00B54B04">
                              <w:rPr>
                                <w:rFonts w:eastAsia="MS Mincho"/>
                                <w:lang w:val="en-US" w:eastAsia="ja-JP"/>
                              </w:rPr>
                              <w:t>RRM management functionality: at least including average gain</w:t>
                            </w:r>
                          </w:p>
                          <w:p w14:paraId="0F5C371E"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sidRPr="00B54B04">
                              <w:rPr>
                                <w:rFonts w:eastAsia="MS Mincho"/>
                                <w:lang w:val="en-US" w:eastAsia="ja-JP"/>
                              </w:rPr>
                              <w:t>Others are not precluded</w:t>
                            </w:r>
                          </w:p>
                          <w:p w14:paraId="6206DB63" w14:textId="73BD0D66" w:rsidR="005C4ACF" w:rsidRPr="00532047" w:rsidRDefault="005C4ACF" w:rsidP="00AC775B">
                            <w:pPr>
                              <w:rPr>
                                <w:rFonts w:eastAsia="MS Mincho"/>
                                <w:b/>
                                <w:u w:val="single"/>
                                <w:lang w:val="en-US" w:eastAsia="ja-JP"/>
                              </w:rPr>
                            </w:pPr>
                            <w:r>
                              <w:rPr>
                                <w:rFonts w:eastAsia="MS Mincho" w:hint="eastAsia"/>
                                <w:b/>
                                <w:highlight w:val="green"/>
                                <w:u w:val="single"/>
                                <w:lang w:val="en-US" w:eastAsia="ja-JP"/>
                              </w:rPr>
                              <w:t>Agreement 2</w:t>
                            </w:r>
                            <w:r w:rsidRPr="000D5B79">
                              <w:rPr>
                                <w:rFonts w:eastAsia="MS Mincho" w:hint="eastAsia"/>
                                <w:b/>
                                <w:highlight w:val="green"/>
                                <w:u w:val="single"/>
                                <w:lang w:val="en-US" w:eastAsia="ja-JP"/>
                              </w:rPr>
                              <w:t>:</w:t>
                            </w:r>
                          </w:p>
                          <w:p w14:paraId="3C1B4D57" w14:textId="77777777" w:rsidR="005C4ACF" w:rsidRPr="00532047" w:rsidRDefault="005C4ACF" w:rsidP="00AC775B">
                            <w:pPr>
                              <w:numPr>
                                <w:ilvl w:val="0"/>
                                <w:numId w:val="23"/>
                              </w:numPr>
                              <w:overflowPunct/>
                              <w:autoSpaceDE/>
                              <w:autoSpaceDN/>
                              <w:adjustRightInd/>
                              <w:spacing w:after="0"/>
                              <w:jc w:val="left"/>
                              <w:textAlignment w:val="auto"/>
                              <w:rPr>
                                <w:rFonts w:eastAsia="MS Mincho"/>
                                <w:lang w:val="en-US" w:eastAsia="ja-JP"/>
                              </w:rPr>
                            </w:pPr>
                            <w:r>
                              <w:rPr>
                                <w:rFonts w:eastAsia="MS Mincho"/>
                                <w:lang w:val="en-US" w:eastAsia="ja-JP"/>
                              </w:rPr>
                              <w:t xml:space="preserve">Indication of </w:t>
                            </w:r>
                            <w:r w:rsidRPr="00532047">
                              <w:rPr>
                                <w:rFonts w:eastAsia="MS Mincho"/>
                                <w:lang w:val="en-US" w:eastAsia="ja-JP"/>
                              </w:rPr>
                              <w:t xml:space="preserve">QCL </w:t>
                            </w:r>
                            <w:r>
                              <w:rPr>
                                <w:rFonts w:eastAsia="MS Mincho"/>
                                <w:lang w:val="en-US" w:eastAsia="ja-JP"/>
                              </w:rPr>
                              <w:t>assumption</w:t>
                            </w:r>
                            <w:r>
                              <w:rPr>
                                <w:rFonts w:eastAsia="MS Mincho" w:hint="eastAsia"/>
                                <w:lang w:val="en-US" w:eastAsia="ja-JP"/>
                              </w:rPr>
                              <w:t xml:space="preserve"> associated with subset of QCL </w:t>
                            </w:r>
                            <w:r w:rsidRPr="00532047">
                              <w:rPr>
                                <w:rFonts w:eastAsia="MS Mincho"/>
                                <w:lang w:val="en-US" w:eastAsia="ja-JP"/>
                              </w:rPr>
                              <w:t>parameters betwe</w:t>
                            </w:r>
                            <w:r>
                              <w:rPr>
                                <w:rFonts w:eastAsia="MS Mincho"/>
                                <w:lang w:val="en-US" w:eastAsia="ja-JP"/>
                              </w:rPr>
                              <w:t xml:space="preserve">en the antenna ports of two </w:t>
                            </w:r>
                            <w:r w:rsidRPr="00532047">
                              <w:rPr>
                                <w:rFonts w:eastAsia="MS Mincho"/>
                                <w:lang w:val="en-US" w:eastAsia="ja-JP"/>
                              </w:rPr>
                              <w:t xml:space="preserve">RS resources is supported </w:t>
                            </w:r>
                            <w:r>
                              <w:rPr>
                                <w:rFonts w:eastAsia="MS Mincho" w:hint="eastAsia"/>
                                <w:lang w:val="en-US" w:eastAsia="ja-JP"/>
                              </w:rPr>
                              <w:t>based on following alternatives, and RAN1 will down select it</w:t>
                            </w:r>
                          </w:p>
                          <w:p w14:paraId="7E72DD6A" w14:textId="77777777" w:rsidR="005C4ACF" w:rsidRDefault="005C4ACF" w:rsidP="00AC775B">
                            <w:pPr>
                              <w:numPr>
                                <w:ilvl w:val="1"/>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Alt. 1: </w:t>
                            </w:r>
                            <w:r>
                              <w:rPr>
                                <w:rFonts w:eastAsia="MS Mincho"/>
                                <w:lang w:val="en-US" w:eastAsia="ja-JP"/>
                              </w:rPr>
                              <w:t xml:space="preserve">Which of the </w:t>
                            </w:r>
                            <w:r>
                              <w:rPr>
                                <w:rFonts w:eastAsia="MS Mincho" w:hint="eastAsia"/>
                                <w:lang w:val="en-US" w:eastAsia="ja-JP"/>
                              </w:rPr>
                              <w:t xml:space="preserve">subset of </w:t>
                            </w:r>
                            <w:r w:rsidRPr="00532047">
                              <w:rPr>
                                <w:rFonts w:eastAsia="MS Mincho"/>
                                <w:lang w:val="en-US" w:eastAsia="ja-JP"/>
                              </w:rPr>
                              <w:t>QCL parameters are configured by gNB</w:t>
                            </w:r>
                          </w:p>
                          <w:p w14:paraId="17A53168" w14:textId="77777777" w:rsidR="005C4ACF" w:rsidRDefault="005C4ACF" w:rsidP="00AC775B">
                            <w:pPr>
                              <w:numPr>
                                <w:ilvl w:val="1"/>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Alt. 2: Which of QCL type is configured by gNB where multiple QCL types are pre-defined</w:t>
                            </w:r>
                          </w:p>
                          <w:p w14:paraId="37652D09" w14:textId="77777777" w:rsidR="005C4ACF" w:rsidRDefault="005C4ACF" w:rsidP="00AC775B">
                            <w:pPr>
                              <w:numPr>
                                <w:ilvl w:val="1"/>
                                <w:numId w:val="23"/>
                              </w:numPr>
                              <w:overflowPunct/>
                              <w:autoSpaceDE/>
                              <w:autoSpaceDN/>
                              <w:adjustRightInd/>
                              <w:spacing w:after="0"/>
                              <w:jc w:val="left"/>
                              <w:textAlignment w:val="auto"/>
                              <w:rPr>
                                <w:rFonts w:eastAsia="MS Mincho"/>
                                <w:lang w:val="en-US" w:eastAsia="ja-JP"/>
                              </w:rPr>
                            </w:pPr>
                            <w:r>
                              <w:rPr>
                                <w:rFonts w:eastAsia="MS Mincho" w:hint="eastAsia"/>
                                <w:lang w:val="en-US" w:eastAsia="ja-JP"/>
                              </w:rPr>
                              <w:t>Alt. 3: QCL types are pre-defined</w:t>
                            </w:r>
                          </w:p>
                          <w:p w14:paraId="463989A9" w14:textId="6AF298B4" w:rsidR="005C4ACF" w:rsidRPr="00C549B3" w:rsidRDefault="005C4ACF" w:rsidP="00AC775B">
                            <w:pPr>
                              <w:rPr>
                                <w:rFonts w:eastAsia="MS Mincho"/>
                                <w:b/>
                                <w:u w:val="single"/>
                                <w:lang w:eastAsia="ja-JP"/>
                              </w:rPr>
                            </w:pPr>
                            <w:r w:rsidRPr="00C549B3">
                              <w:rPr>
                                <w:rFonts w:eastAsia="MS Mincho"/>
                                <w:b/>
                                <w:highlight w:val="green"/>
                                <w:u w:val="single"/>
                                <w:lang w:eastAsia="ja-JP"/>
                              </w:rPr>
                              <w:t xml:space="preserve">Agreement </w:t>
                            </w:r>
                            <w:r>
                              <w:rPr>
                                <w:rFonts w:eastAsia="MS Mincho"/>
                                <w:b/>
                                <w:highlight w:val="green"/>
                                <w:u w:val="single"/>
                                <w:lang w:eastAsia="ja-JP"/>
                              </w:rPr>
                              <w:t>3</w:t>
                            </w:r>
                            <w:r w:rsidRPr="00C549B3">
                              <w:rPr>
                                <w:rFonts w:eastAsia="MS Mincho"/>
                                <w:b/>
                                <w:highlight w:val="green"/>
                                <w:u w:val="single"/>
                                <w:lang w:eastAsia="ja-JP"/>
                              </w:rPr>
                              <w:t>:</w:t>
                            </w:r>
                          </w:p>
                          <w:p w14:paraId="2862FCCD" w14:textId="77777777" w:rsidR="005C4ACF" w:rsidRPr="006F6DB8" w:rsidRDefault="005C4ACF" w:rsidP="00AC775B">
                            <w:pPr>
                              <w:numPr>
                                <w:ilvl w:val="0"/>
                                <w:numId w:val="23"/>
                              </w:numPr>
                              <w:overflowPunct/>
                              <w:autoSpaceDE/>
                              <w:autoSpaceDN/>
                              <w:adjustRightInd/>
                              <w:spacing w:after="0"/>
                              <w:jc w:val="left"/>
                              <w:textAlignment w:val="auto"/>
                              <w:rPr>
                                <w:rFonts w:eastAsia="MS Mincho"/>
                                <w:lang w:val="en-US" w:eastAsia="ja-JP"/>
                              </w:rPr>
                            </w:pPr>
                            <w:r w:rsidRPr="006F6DB8">
                              <w:rPr>
                                <w:rFonts w:eastAsia="MS Mincho"/>
                                <w:lang w:val="en-US" w:eastAsia="ja-JP"/>
                              </w:rPr>
                              <w:t>By default (i.e., the UE is not indicated), antenna port(s) transmitted on different CCs can’t be assumed to be QCL-</w:t>
                            </w:r>
                            <w:proofErr w:type="spellStart"/>
                            <w:r w:rsidRPr="006F6DB8">
                              <w:rPr>
                                <w:rFonts w:eastAsia="MS Mincho"/>
                                <w:lang w:val="en-US" w:eastAsia="ja-JP"/>
                              </w:rPr>
                              <w:t>ed</w:t>
                            </w:r>
                            <w:proofErr w:type="spellEnd"/>
                            <w:r w:rsidRPr="006F6DB8">
                              <w:rPr>
                                <w:rFonts w:eastAsia="MS Mincho"/>
                                <w:lang w:val="en-US" w:eastAsia="ja-JP"/>
                              </w:rPr>
                              <w:t xml:space="preserve"> </w:t>
                            </w:r>
                          </w:p>
                          <w:p w14:paraId="7889073B" w14:textId="77777777" w:rsidR="005C4ACF" w:rsidRPr="006F6DB8" w:rsidRDefault="005C4ACF" w:rsidP="00AC775B">
                            <w:pPr>
                              <w:numPr>
                                <w:ilvl w:val="1"/>
                                <w:numId w:val="23"/>
                              </w:numPr>
                              <w:overflowPunct/>
                              <w:autoSpaceDE/>
                              <w:autoSpaceDN/>
                              <w:adjustRightInd/>
                              <w:spacing w:after="0"/>
                              <w:jc w:val="left"/>
                              <w:textAlignment w:val="auto"/>
                              <w:rPr>
                                <w:rFonts w:eastAsia="MS Mincho"/>
                                <w:lang w:val="en-US" w:eastAsia="ja-JP"/>
                              </w:rPr>
                            </w:pPr>
                            <w:r w:rsidRPr="006F6DB8">
                              <w:rPr>
                                <w:rFonts w:eastAsia="MS Mincho"/>
                                <w:lang w:val="en-US" w:eastAsia="ja-JP"/>
                              </w:rPr>
                              <w:t>FFS the case of spatial domain QCL assumptions especially related to carrier frequency</w:t>
                            </w:r>
                          </w:p>
                          <w:p w14:paraId="56B4CF91" w14:textId="1DE7C2C3" w:rsidR="005C4ACF" w:rsidRPr="00C549B3" w:rsidRDefault="005C4ACF" w:rsidP="00AC775B">
                            <w:pPr>
                              <w:rPr>
                                <w:rFonts w:eastAsia="MS Mincho"/>
                                <w:b/>
                                <w:u w:val="single"/>
                                <w:lang w:val="en-US" w:eastAsia="ja-JP"/>
                              </w:rPr>
                            </w:pPr>
                            <w:r w:rsidRPr="00C549B3">
                              <w:rPr>
                                <w:rFonts w:eastAsia="MS Mincho"/>
                                <w:b/>
                                <w:highlight w:val="green"/>
                                <w:u w:val="single"/>
                                <w:lang w:val="en-US" w:eastAsia="ja-JP"/>
                              </w:rPr>
                              <w:t xml:space="preserve">Agreement </w:t>
                            </w:r>
                            <w:r>
                              <w:rPr>
                                <w:rFonts w:eastAsia="MS Mincho"/>
                                <w:b/>
                                <w:highlight w:val="green"/>
                                <w:u w:val="single"/>
                                <w:lang w:val="en-US" w:eastAsia="ja-JP"/>
                              </w:rPr>
                              <w:t>4</w:t>
                            </w:r>
                            <w:r w:rsidRPr="00C549B3">
                              <w:rPr>
                                <w:rFonts w:eastAsia="MS Mincho"/>
                                <w:b/>
                                <w:u w:val="single"/>
                                <w:lang w:val="en-US" w:eastAsia="ja-JP"/>
                              </w:rPr>
                              <w:t>:</w:t>
                            </w:r>
                          </w:p>
                          <w:p w14:paraId="718BE303" w14:textId="77777777" w:rsidR="005C4ACF" w:rsidRPr="001D22C2" w:rsidRDefault="005C4ACF" w:rsidP="00AC775B">
                            <w:pPr>
                              <w:numPr>
                                <w:ilvl w:val="0"/>
                                <w:numId w:val="23"/>
                              </w:numPr>
                              <w:overflowPunct/>
                              <w:autoSpaceDE/>
                              <w:autoSpaceDN/>
                              <w:adjustRightInd/>
                              <w:spacing w:after="0"/>
                              <w:jc w:val="left"/>
                              <w:textAlignment w:val="auto"/>
                              <w:rPr>
                                <w:rFonts w:eastAsia="MS Mincho"/>
                                <w:lang w:val="en-US" w:eastAsia="ja-JP"/>
                              </w:rPr>
                            </w:pPr>
                            <w:r w:rsidRPr="001D22C2">
                              <w:rPr>
                                <w:rFonts w:eastAsia="MS Mincho"/>
                                <w:lang w:val="en-US" w:eastAsia="ja-JP"/>
                              </w:rPr>
                              <w:t>FFS indication of QCL assumption for CSI-RS to be associated with an SS block (e.g., SSS, PBCH DMRS (if defined)) and/or RS for fine time-frequency tracking (if it’s not CSI-RS)</w:t>
                            </w:r>
                          </w:p>
                          <w:p w14:paraId="1E90D52A" w14:textId="77777777" w:rsidR="005C4ACF" w:rsidRPr="001D22C2" w:rsidRDefault="005C4ACF" w:rsidP="00AC775B">
                            <w:pPr>
                              <w:numPr>
                                <w:ilvl w:val="1"/>
                                <w:numId w:val="23"/>
                              </w:numPr>
                              <w:overflowPunct/>
                              <w:autoSpaceDE/>
                              <w:autoSpaceDN/>
                              <w:adjustRightInd/>
                              <w:spacing w:after="0"/>
                              <w:jc w:val="left"/>
                              <w:textAlignment w:val="auto"/>
                              <w:rPr>
                                <w:rFonts w:eastAsia="MS Mincho"/>
                                <w:lang w:val="en-US" w:eastAsia="ja-JP"/>
                              </w:rPr>
                            </w:pPr>
                            <w:r w:rsidRPr="001D22C2">
                              <w:rPr>
                                <w:rFonts w:eastAsia="MS Mincho"/>
                                <w:lang w:val="en-US" w:eastAsia="ja-JP"/>
                              </w:rPr>
                              <w:t>FFS: w.r.t. which QCL parameter(s)</w:t>
                            </w:r>
                          </w:p>
                          <w:p w14:paraId="6CECDF89" w14:textId="7C1F90E7" w:rsidR="005C4ACF" w:rsidRPr="0043405B" w:rsidRDefault="005C4ACF" w:rsidP="00AC775B">
                            <w:pPr>
                              <w:overflowPunct/>
                              <w:autoSpaceDE/>
                              <w:autoSpaceDN/>
                              <w:adjustRightInd/>
                              <w:spacing w:after="0"/>
                              <w:ind w:left="720"/>
                              <w:jc w:val="left"/>
                              <w:textAlignment w:val="auto"/>
                              <w:rPr>
                                <w:rFonts w:eastAsia="MS Mincho"/>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E71A844" w14:textId="4AF35B11" w:rsidR="005C4ACF" w:rsidRDefault="005C4ACF" w:rsidP="00D41D2B">
                      <w:pPr>
                        <w:overflowPunct/>
                        <w:autoSpaceDE/>
                        <w:autoSpaceDN/>
                        <w:adjustRightInd/>
                        <w:spacing w:after="0"/>
                        <w:jc w:val="left"/>
                        <w:textAlignment w:val="auto"/>
                        <w:rPr>
                          <w:rFonts w:eastAsia="MS Mincho"/>
                          <w:lang w:val="en-US" w:eastAsia="ja-JP"/>
                        </w:rPr>
                      </w:pPr>
                    </w:p>
                    <w:p w14:paraId="7970F98F" w14:textId="026D087C" w:rsidR="005C4ACF" w:rsidRPr="00B54B04" w:rsidRDefault="005C4ACF" w:rsidP="006C1133">
                      <w:pPr>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w:t>
                      </w:r>
                      <w:r>
                        <w:rPr>
                          <w:rFonts w:eastAsia="MS Mincho" w:hint="eastAsia"/>
                          <w:b/>
                          <w:highlight w:val="green"/>
                          <w:u w:val="single"/>
                          <w:lang w:val="en-US" w:eastAsia="ja-JP"/>
                        </w:rPr>
                        <w:t>1</w:t>
                      </w:r>
                      <w:r w:rsidRPr="002104E6">
                        <w:rPr>
                          <w:rFonts w:eastAsia="MS Mincho" w:hint="eastAsia"/>
                          <w:b/>
                          <w:highlight w:val="green"/>
                          <w:u w:val="single"/>
                          <w:lang w:val="en-US" w:eastAsia="ja-JP"/>
                        </w:rPr>
                        <w:t>:</w:t>
                      </w:r>
                    </w:p>
                    <w:p w14:paraId="7E22D091" w14:textId="77777777" w:rsidR="005C4ACF" w:rsidRPr="00B54B04" w:rsidRDefault="005C4ACF" w:rsidP="006C1133">
                      <w:pPr>
                        <w:numPr>
                          <w:ilvl w:val="0"/>
                          <w:numId w:val="30"/>
                        </w:numPr>
                        <w:overflowPunct/>
                        <w:autoSpaceDE/>
                        <w:autoSpaceDN/>
                        <w:adjustRightInd/>
                        <w:spacing w:after="0"/>
                        <w:jc w:val="left"/>
                        <w:textAlignment w:val="auto"/>
                        <w:rPr>
                          <w:rFonts w:eastAsia="MS Mincho"/>
                          <w:lang w:val="en-US" w:eastAsia="ja-JP"/>
                        </w:rPr>
                      </w:pPr>
                      <w:r w:rsidRPr="00B54B04">
                        <w:rPr>
                          <w:rFonts w:eastAsia="MS Mincho"/>
                          <w:lang w:eastAsia="ja-JP"/>
                        </w:rPr>
                        <w:t>Support DMRS ports grouping, and DMRS ports within one group are QCL-</w:t>
                      </w:r>
                      <w:proofErr w:type="spellStart"/>
                      <w:r w:rsidRPr="00B54B04">
                        <w:rPr>
                          <w:rFonts w:eastAsia="MS Mincho"/>
                          <w:lang w:eastAsia="ja-JP"/>
                        </w:rPr>
                        <w:t>ed</w:t>
                      </w:r>
                      <w:proofErr w:type="spellEnd"/>
                      <w:r w:rsidRPr="00B54B04">
                        <w:rPr>
                          <w:rFonts w:eastAsia="MS Mincho"/>
                          <w:lang w:eastAsia="ja-JP"/>
                        </w:rPr>
                        <w:t>, and DMRS ports in different groups are non-</w:t>
                      </w:r>
                      <w:proofErr w:type="spellStart"/>
                      <w:r w:rsidRPr="00B54B04">
                        <w:rPr>
                          <w:rFonts w:eastAsia="MS Mincho"/>
                          <w:lang w:eastAsia="ja-JP"/>
                        </w:rPr>
                        <w:t>QCLed</w:t>
                      </w:r>
                      <w:proofErr w:type="spellEnd"/>
                      <w:r w:rsidRPr="00B54B04">
                        <w:rPr>
                          <w:rFonts w:eastAsia="MS Mincho"/>
                          <w:lang w:eastAsia="ja-JP"/>
                        </w:rPr>
                        <w:t>.</w:t>
                      </w:r>
                    </w:p>
                    <w:p w14:paraId="18A840FE"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sidRPr="00B54B04">
                        <w:rPr>
                          <w:rFonts w:eastAsia="MS Mincho"/>
                          <w:lang w:eastAsia="ja-JP"/>
                        </w:rPr>
                        <w:t>FFS the grouping principle, e.g. grouping DMRS according to CWs, analog beams, etc.</w:t>
                      </w:r>
                    </w:p>
                    <w:p w14:paraId="09D1FC8F"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Pr>
                          <w:rFonts w:eastAsia="MS Mincho"/>
                          <w:lang w:eastAsia="ja-JP"/>
                        </w:rPr>
                        <w:t xml:space="preserve">FFS the signalling </w:t>
                      </w:r>
                      <w:r w:rsidRPr="00B54B04">
                        <w:rPr>
                          <w:rFonts w:eastAsia="MS Mincho"/>
                          <w:lang w:eastAsia="ja-JP"/>
                        </w:rPr>
                        <w:t>method of QCL indication, e.g., RRC, MAC CE, DCI, etc.</w:t>
                      </w:r>
                    </w:p>
                    <w:p w14:paraId="57D2BAD6" w14:textId="77777777" w:rsidR="005C4ACF" w:rsidRPr="00B54B04" w:rsidRDefault="005C4ACF" w:rsidP="006C1133">
                      <w:pPr>
                        <w:numPr>
                          <w:ilvl w:val="0"/>
                          <w:numId w:val="30"/>
                        </w:numPr>
                        <w:overflowPunct/>
                        <w:autoSpaceDE/>
                        <w:autoSpaceDN/>
                        <w:adjustRightInd/>
                        <w:spacing w:after="0"/>
                        <w:jc w:val="left"/>
                        <w:textAlignment w:val="auto"/>
                        <w:rPr>
                          <w:rFonts w:eastAsia="MS Mincho"/>
                          <w:lang w:val="en-US"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w:t>
                      </w:r>
                      <w:r w:rsidRPr="00B54B04">
                        <w:rPr>
                          <w:rFonts w:eastAsia="MS Mincho"/>
                          <w:lang w:val="en-US" w:eastAsia="ja-JP"/>
                        </w:rPr>
                        <w:t>g., Doppler</w:t>
                      </w:r>
                      <w:r>
                        <w:rPr>
                          <w:rFonts w:eastAsia="MS Mincho" w:hint="eastAsia"/>
                          <w:lang w:val="en-US" w:eastAsia="ja-JP"/>
                        </w:rPr>
                        <w:t xml:space="preserve"> shift/Doppler spread/</w:t>
                      </w:r>
                      <w:r w:rsidRPr="00B54B04">
                        <w:rPr>
                          <w:rFonts w:eastAsia="MS Mincho"/>
                          <w:lang w:val="en-US" w:eastAsia="ja-JP"/>
                        </w:rPr>
                        <w:t>delay spread)</w:t>
                      </w:r>
                    </w:p>
                    <w:p w14:paraId="4A56891F" w14:textId="77777777" w:rsidR="005C4ACF" w:rsidRPr="00B54B04" w:rsidRDefault="005C4ACF" w:rsidP="006C1133">
                      <w:pPr>
                        <w:numPr>
                          <w:ilvl w:val="0"/>
                          <w:numId w:val="30"/>
                        </w:numPr>
                        <w:overflowPunct/>
                        <w:autoSpaceDE/>
                        <w:autoSpaceDN/>
                        <w:adjustRightInd/>
                        <w:spacing w:after="0"/>
                        <w:jc w:val="left"/>
                        <w:textAlignment w:val="auto"/>
                        <w:rPr>
                          <w:rFonts w:eastAsia="MS Mincho"/>
                          <w:lang w:val="en-US"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14:paraId="74D73AE2"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sidRPr="00B54B04">
                        <w:rPr>
                          <w:rFonts w:eastAsia="MS Mincho"/>
                          <w:lang w:val="en-US" w:eastAsia="ja-JP"/>
                        </w:rPr>
                        <w:t>Beam management functionality: at least including spatial parameters</w:t>
                      </w:r>
                    </w:p>
                    <w:p w14:paraId="7FFADB05"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sidRPr="00B54B04">
                        <w:rPr>
                          <w:rFonts w:eastAsia="MS Mincho"/>
                          <w:lang w:val="en-US" w:eastAsia="ja-JP"/>
                        </w:rPr>
                        <w:t>Frequency/timing offset estimation functionality: at least including Doppler/delay parameters</w:t>
                      </w:r>
                    </w:p>
                    <w:p w14:paraId="55B156CF"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sidRPr="00B54B04">
                        <w:rPr>
                          <w:rFonts w:eastAsia="MS Mincho"/>
                          <w:lang w:val="en-US" w:eastAsia="ja-JP"/>
                        </w:rPr>
                        <w:t>RRM management functionality: at least including average gain</w:t>
                      </w:r>
                    </w:p>
                    <w:p w14:paraId="0F5C371E" w14:textId="77777777" w:rsidR="005C4ACF" w:rsidRPr="00B54B04" w:rsidRDefault="005C4ACF" w:rsidP="006C1133">
                      <w:pPr>
                        <w:numPr>
                          <w:ilvl w:val="1"/>
                          <w:numId w:val="30"/>
                        </w:numPr>
                        <w:overflowPunct/>
                        <w:autoSpaceDE/>
                        <w:autoSpaceDN/>
                        <w:adjustRightInd/>
                        <w:spacing w:after="0"/>
                        <w:jc w:val="left"/>
                        <w:textAlignment w:val="auto"/>
                        <w:rPr>
                          <w:rFonts w:eastAsia="MS Mincho"/>
                          <w:lang w:val="en-US" w:eastAsia="ja-JP"/>
                        </w:rPr>
                      </w:pPr>
                      <w:r w:rsidRPr="00B54B04">
                        <w:rPr>
                          <w:rFonts w:eastAsia="MS Mincho"/>
                          <w:lang w:val="en-US" w:eastAsia="ja-JP"/>
                        </w:rPr>
                        <w:t>Others are not precluded</w:t>
                      </w:r>
                    </w:p>
                    <w:p w14:paraId="6206DB63" w14:textId="73BD0D66" w:rsidR="005C4ACF" w:rsidRPr="00532047" w:rsidRDefault="005C4ACF" w:rsidP="00AC775B">
                      <w:pPr>
                        <w:rPr>
                          <w:rFonts w:eastAsia="MS Mincho" w:hint="eastAsia"/>
                          <w:b/>
                          <w:u w:val="single"/>
                          <w:lang w:val="en-US" w:eastAsia="ja-JP"/>
                        </w:rPr>
                      </w:pPr>
                      <w:r>
                        <w:rPr>
                          <w:rFonts w:eastAsia="MS Mincho" w:hint="eastAsia"/>
                          <w:b/>
                          <w:highlight w:val="green"/>
                          <w:u w:val="single"/>
                          <w:lang w:val="en-US" w:eastAsia="ja-JP"/>
                        </w:rPr>
                        <w:t>Agreement 2</w:t>
                      </w:r>
                      <w:r w:rsidRPr="000D5B79">
                        <w:rPr>
                          <w:rFonts w:eastAsia="MS Mincho" w:hint="eastAsia"/>
                          <w:b/>
                          <w:highlight w:val="green"/>
                          <w:u w:val="single"/>
                          <w:lang w:val="en-US" w:eastAsia="ja-JP"/>
                        </w:rPr>
                        <w:t>:</w:t>
                      </w:r>
                    </w:p>
                    <w:p w14:paraId="3C1B4D57" w14:textId="77777777" w:rsidR="005C4ACF" w:rsidRPr="00532047" w:rsidRDefault="005C4ACF" w:rsidP="00AC775B">
                      <w:pPr>
                        <w:numPr>
                          <w:ilvl w:val="0"/>
                          <w:numId w:val="23"/>
                        </w:numPr>
                        <w:overflowPunct/>
                        <w:autoSpaceDE/>
                        <w:autoSpaceDN/>
                        <w:adjustRightInd/>
                        <w:spacing w:after="0"/>
                        <w:jc w:val="left"/>
                        <w:textAlignment w:val="auto"/>
                        <w:rPr>
                          <w:rFonts w:eastAsia="MS Mincho"/>
                          <w:lang w:val="en-US" w:eastAsia="ja-JP"/>
                        </w:rPr>
                      </w:pPr>
                      <w:r>
                        <w:rPr>
                          <w:rFonts w:eastAsia="MS Mincho"/>
                          <w:lang w:val="en-US" w:eastAsia="ja-JP"/>
                        </w:rPr>
                        <w:t xml:space="preserve">Indication of </w:t>
                      </w:r>
                      <w:r w:rsidRPr="00532047">
                        <w:rPr>
                          <w:rFonts w:eastAsia="MS Mincho"/>
                          <w:lang w:val="en-US" w:eastAsia="ja-JP"/>
                        </w:rPr>
                        <w:t xml:space="preserve">QCL </w:t>
                      </w:r>
                      <w:r>
                        <w:rPr>
                          <w:rFonts w:eastAsia="MS Mincho"/>
                          <w:lang w:val="en-US" w:eastAsia="ja-JP"/>
                        </w:rPr>
                        <w:t>assumption</w:t>
                      </w:r>
                      <w:r>
                        <w:rPr>
                          <w:rFonts w:eastAsia="MS Mincho" w:hint="eastAsia"/>
                          <w:lang w:val="en-US" w:eastAsia="ja-JP"/>
                        </w:rPr>
                        <w:t xml:space="preserve"> associated with subset of QCL </w:t>
                      </w:r>
                      <w:r w:rsidRPr="00532047">
                        <w:rPr>
                          <w:rFonts w:eastAsia="MS Mincho"/>
                          <w:lang w:val="en-US" w:eastAsia="ja-JP"/>
                        </w:rPr>
                        <w:t>parameters betwe</w:t>
                      </w:r>
                      <w:r>
                        <w:rPr>
                          <w:rFonts w:eastAsia="MS Mincho"/>
                          <w:lang w:val="en-US" w:eastAsia="ja-JP"/>
                        </w:rPr>
                        <w:t xml:space="preserve">en the antenna ports of two </w:t>
                      </w:r>
                      <w:r w:rsidRPr="00532047">
                        <w:rPr>
                          <w:rFonts w:eastAsia="MS Mincho"/>
                          <w:lang w:val="en-US" w:eastAsia="ja-JP"/>
                        </w:rPr>
                        <w:t xml:space="preserve">RS resources is supported </w:t>
                      </w:r>
                      <w:r>
                        <w:rPr>
                          <w:rFonts w:eastAsia="MS Mincho" w:hint="eastAsia"/>
                          <w:lang w:val="en-US" w:eastAsia="ja-JP"/>
                        </w:rPr>
                        <w:t>based on following alternatives, and RAN1 will down select it</w:t>
                      </w:r>
                    </w:p>
                    <w:p w14:paraId="7E72DD6A" w14:textId="77777777" w:rsidR="005C4ACF" w:rsidRDefault="005C4ACF" w:rsidP="00AC775B">
                      <w:pPr>
                        <w:numPr>
                          <w:ilvl w:val="1"/>
                          <w:numId w:val="23"/>
                        </w:numPr>
                        <w:overflowPunct/>
                        <w:autoSpaceDE/>
                        <w:autoSpaceDN/>
                        <w:adjustRightInd/>
                        <w:spacing w:after="0"/>
                        <w:jc w:val="left"/>
                        <w:textAlignment w:val="auto"/>
                        <w:rPr>
                          <w:rFonts w:eastAsia="MS Mincho" w:hint="eastAsia"/>
                          <w:lang w:val="en-US" w:eastAsia="ja-JP"/>
                        </w:rPr>
                      </w:pPr>
                      <w:r>
                        <w:rPr>
                          <w:rFonts w:eastAsia="MS Mincho" w:hint="eastAsia"/>
                          <w:lang w:val="en-US" w:eastAsia="ja-JP"/>
                        </w:rPr>
                        <w:t xml:space="preserve">Alt. 1: </w:t>
                      </w:r>
                      <w:r>
                        <w:rPr>
                          <w:rFonts w:eastAsia="MS Mincho"/>
                          <w:lang w:val="en-US" w:eastAsia="ja-JP"/>
                        </w:rPr>
                        <w:t xml:space="preserve">Which of the </w:t>
                      </w:r>
                      <w:r>
                        <w:rPr>
                          <w:rFonts w:eastAsia="MS Mincho" w:hint="eastAsia"/>
                          <w:lang w:val="en-US" w:eastAsia="ja-JP"/>
                        </w:rPr>
                        <w:t xml:space="preserve">subset of </w:t>
                      </w:r>
                      <w:r w:rsidRPr="00532047">
                        <w:rPr>
                          <w:rFonts w:eastAsia="MS Mincho"/>
                          <w:lang w:val="en-US" w:eastAsia="ja-JP"/>
                        </w:rPr>
                        <w:t>QCL parameters are configured by gNB</w:t>
                      </w:r>
                    </w:p>
                    <w:p w14:paraId="17A53168" w14:textId="77777777" w:rsidR="005C4ACF" w:rsidRDefault="005C4ACF" w:rsidP="00AC775B">
                      <w:pPr>
                        <w:numPr>
                          <w:ilvl w:val="1"/>
                          <w:numId w:val="23"/>
                        </w:numPr>
                        <w:overflowPunct/>
                        <w:autoSpaceDE/>
                        <w:autoSpaceDN/>
                        <w:adjustRightInd/>
                        <w:spacing w:after="0"/>
                        <w:jc w:val="left"/>
                        <w:textAlignment w:val="auto"/>
                        <w:rPr>
                          <w:rFonts w:eastAsia="MS Mincho" w:hint="eastAsia"/>
                          <w:lang w:val="en-US" w:eastAsia="ja-JP"/>
                        </w:rPr>
                      </w:pPr>
                      <w:r>
                        <w:rPr>
                          <w:rFonts w:eastAsia="MS Mincho" w:hint="eastAsia"/>
                          <w:lang w:val="en-US" w:eastAsia="ja-JP"/>
                        </w:rPr>
                        <w:t>Alt. 2: Which of QCL type is configured by gNB where multiple QCL types are pre-defined</w:t>
                      </w:r>
                    </w:p>
                    <w:p w14:paraId="37652D09" w14:textId="77777777" w:rsidR="005C4ACF" w:rsidRDefault="005C4ACF" w:rsidP="00AC775B">
                      <w:pPr>
                        <w:numPr>
                          <w:ilvl w:val="1"/>
                          <w:numId w:val="23"/>
                        </w:numPr>
                        <w:overflowPunct/>
                        <w:autoSpaceDE/>
                        <w:autoSpaceDN/>
                        <w:adjustRightInd/>
                        <w:spacing w:after="0"/>
                        <w:jc w:val="left"/>
                        <w:textAlignment w:val="auto"/>
                        <w:rPr>
                          <w:rFonts w:eastAsia="MS Mincho" w:hint="eastAsia"/>
                          <w:lang w:val="en-US" w:eastAsia="ja-JP"/>
                        </w:rPr>
                      </w:pPr>
                      <w:r>
                        <w:rPr>
                          <w:rFonts w:eastAsia="MS Mincho" w:hint="eastAsia"/>
                          <w:lang w:val="en-US" w:eastAsia="ja-JP"/>
                        </w:rPr>
                        <w:t>Alt. 3: QCL types are pre-defined</w:t>
                      </w:r>
                    </w:p>
                    <w:p w14:paraId="463989A9" w14:textId="6AF298B4" w:rsidR="005C4ACF" w:rsidRPr="00C549B3" w:rsidRDefault="005C4ACF" w:rsidP="00AC775B">
                      <w:pPr>
                        <w:rPr>
                          <w:rFonts w:eastAsia="MS Mincho"/>
                          <w:b/>
                          <w:u w:val="single"/>
                          <w:lang w:eastAsia="ja-JP"/>
                        </w:rPr>
                      </w:pPr>
                      <w:r w:rsidRPr="00C549B3">
                        <w:rPr>
                          <w:rFonts w:eastAsia="MS Mincho"/>
                          <w:b/>
                          <w:highlight w:val="green"/>
                          <w:u w:val="single"/>
                          <w:lang w:eastAsia="ja-JP"/>
                        </w:rPr>
                        <w:t xml:space="preserve">Agreement </w:t>
                      </w:r>
                      <w:r>
                        <w:rPr>
                          <w:rFonts w:eastAsia="MS Mincho"/>
                          <w:b/>
                          <w:highlight w:val="green"/>
                          <w:u w:val="single"/>
                          <w:lang w:eastAsia="ja-JP"/>
                        </w:rPr>
                        <w:t>3</w:t>
                      </w:r>
                      <w:r w:rsidRPr="00C549B3">
                        <w:rPr>
                          <w:rFonts w:eastAsia="MS Mincho"/>
                          <w:b/>
                          <w:highlight w:val="green"/>
                          <w:u w:val="single"/>
                          <w:lang w:eastAsia="ja-JP"/>
                        </w:rPr>
                        <w:t>:</w:t>
                      </w:r>
                    </w:p>
                    <w:p w14:paraId="2862FCCD" w14:textId="77777777" w:rsidR="005C4ACF" w:rsidRPr="006F6DB8" w:rsidRDefault="005C4ACF" w:rsidP="00AC775B">
                      <w:pPr>
                        <w:numPr>
                          <w:ilvl w:val="0"/>
                          <w:numId w:val="23"/>
                        </w:numPr>
                        <w:overflowPunct/>
                        <w:autoSpaceDE/>
                        <w:autoSpaceDN/>
                        <w:adjustRightInd/>
                        <w:spacing w:after="0"/>
                        <w:jc w:val="left"/>
                        <w:textAlignment w:val="auto"/>
                        <w:rPr>
                          <w:rFonts w:eastAsia="MS Mincho"/>
                          <w:lang w:val="en-US" w:eastAsia="ja-JP"/>
                        </w:rPr>
                      </w:pPr>
                      <w:r w:rsidRPr="006F6DB8">
                        <w:rPr>
                          <w:rFonts w:eastAsia="MS Mincho"/>
                          <w:lang w:val="en-US" w:eastAsia="ja-JP"/>
                        </w:rPr>
                        <w:t>By default (i.e., the UE is not indicated), antenna port(s) transmitted on different CCs can’t be assumed to be QCL-</w:t>
                      </w:r>
                      <w:proofErr w:type="spellStart"/>
                      <w:r w:rsidRPr="006F6DB8">
                        <w:rPr>
                          <w:rFonts w:eastAsia="MS Mincho"/>
                          <w:lang w:val="en-US" w:eastAsia="ja-JP"/>
                        </w:rPr>
                        <w:t>ed</w:t>
                      </w:r>
                      <w:proofErr w:type="spellEnd"/>
                      <w:r w:rsidRPr="006F6DB8">
                        <w:rPr>
                          <w:rFonts w:eastAsia="MS Mincho"/>
                          <w:lang w:val="en-US" w:eastAsia="ja-JP"/>
                        </w:rPr>
                        <w:t xml:space="preserve"> </w:t>
                      </w:r>
                    </w:p>
                    <w:p w14:paraId="7889073B" w14:textId="77777777" w:rsidR="005C4ACF" w:rsidRPr="006F6DB8" w:rsidRDefault="005C4ACF" w:rsidP="00AC775B">
                      <w:pPr>
                        <w:numPr>
                          <w:ilvl w:val="1"/>
                          <w:numId w:val="23"/>
                        </w:numPr>
                        <w:overflowPunct/>
                        <w:autoSpaceDE/>
                        <w:autoSpaceDN/>
                        <w:adjustRightInd/>
                        <w:spacing w:after="0"/>
                        <w:jc w:val="left"/>
                        <w:textAlignment w:val="auto"/>
                        <w:rPr>
                          <w:rFonts w:eastAsia="MS Mincho"/>
                          <w:lang w:val="en-US" w:eastAsia="ja-JP"/>
                        </w:rPr>
                      </w:pPr>
                      <w:r w:rsidRPr="006F6DB8">
                        <w:rPr>
                          <w:rFonts w:eastAsia="MS Mincho"/>
                          <w:lang w:val="en-US" w:eastAsia="ja-JP"/>
                        </w:rPr>
                        <w:t>FFS the case of spatial domain QCL assumptions especially related to carrier frequency</w:t>
                      </w:r>
                    </w:p>
                    <w:p w14:paraId="56B4CF91" w14:textId="1DE7C2C3" w:rsidR="005C4ACF" w:rsidRPr="00C549B3" w:rsidRDefault="005C4ACF" w:rsidP="00AC775B">
                      <w:pPr>
                        <w:rPr>
                          <w:rFonts w:eastAsia="MS Mincho"/>
                          <w:b/>
                          <w:u w:val="single"/>
                          <w:lang w:val="en-US" w:eastAsia="ja-JP"/>
                        </w:rPr>
                      </w:pPr>
                      <w:r w:rsidRPr="00C549B3">
                        <w:rPr>
                          <w:rFonts w:eastAsia="MS Mincho"/>
                          <w:b/>
                          <w:highlight w:val="green"/>
                          <w:u w:val="single"/>
                          <w:lang w:val="en-US" w:eastAsia="ja-JP"/>
                        </w:rPr>
                        <w:t xml:space="preserve">Agreement </w:t>
                      </w:r>
                      <w:r>
                        <w:rPr>
                          <w:rFonts w:eastAsia="MS Mincho"/>
                          <w:b/>
                          <w:highlight w:val="green"/>
                          <w:u w:val="single"/>
                          <w:lang w:val="en-US" w:eastAsia="ja-JP"/>
                        </w:rPr>
                        <w:t>4</w:t>
                      </w:r>
                      <w:r w:rsidRPr="00C549B3">
                        <w:rPr>
                          <w:rFonts w:eastAsia="MS Mincho"/>
                          <w:b/>
                          <w:u w:val="single"/>
                          <w:lang w:val="en-US" w:eastAsia="ja-JP"/>
                        </w:rPr>
                        <w:t>:</w:t>
                      </w:r>
                    </w:p>
                    <w:p w14:paraId="718BE303" w14:textId="77777777" w:rsidR="005C4ACF" w:rsidRPr="001D22C2" w:rsidRDefault="005C4ACF" w:rsidP="00AC775B">
                      <w:pPr>
                        <w:numPr>
                          <w:ilvl w:val="0"/>
                          <w:numId w:val="23"/>
                        </w:numPr>
                        <w:overflowPunct/>
                        <w:autoSpaceDE/>
                        <w:autoSpaceDN/>
                        <w:adjustRightInd/>
                        <w:spacing w:after="0"/>
                        <w:jc w:val="left"/>
                        <w:textAlignment w:val="auto"/>
                        <w:rPr>
                          <w:rFonts w:eastAsia="MS Mincho"/>
                          <w:lang w:val="en-US" w:eastAsia="ja-JP"/>
                        </w:rPr>
                      </w:pPr>
                      <w:r w:rsidRPr="001D22C2">
                        <w:rPr>
                          <w:rFonts w:eastAsia="MS Mincho"/>
                          <w:lang w:val="en-US" w:eastAsia="ja-JP"/>
                        </w:rPr>
                        <w:t>FFS indication of QCL assumption for CSI-RS to be associated with an SS block (e.g., SSS, PBCH DMRS (if defined)) and/or RS for fine time-frequency tracking (if it’s not CSI-RS)</w:t>
                      </w:r>
                    </w:p>
                    <w:p w14:paraId="1E90D52A" w14:textId="77777777" w:rsidR="005C4ACF" w:rsidRPr="001D22C2" w:rsidRDefault="005C4ACF" w:rsidP="00AC775B">
                      <w:pPr>
                        <w:numPr>
                          <w:ilvl w:val="1"/>
                          <w:numId w:val="23"/>
                        </w:numPr>
                        <w:overflowPunct/>
                        <w:autoSpaceDE/>
                        <w:autoSpaceDN/>
                        <w:adjustRightInd/>
                        <w:spacing w:after="0"/>
                        <w:jc w:val="left"/>
                        <w:textAlignment w:val="auto"/>
                        <w:rPr>
                          <w:rFonts w:eastAsia="MS Mincho"/>
                          <w:lang w:val="en-US" w:eastAsia="ja-JP"/>
                        </w:rPr>
                      </w:pPr>
                      <w:r w:rsidRPr="001D22C2">
                        <w:rPr>
                          <w:rFonts w:eastAsia="MS Mincho"/>
                          <w:lang w:val="en-US" w:eastAsia="ja-JP"/>
                        </w:rPr>
                        <w:t>FFS: w.r.t. which QCL parameter(s)</w:t>
                      </w:r>
                    </w:p>
                    <w:p w14:paraId="6CECDF89" w14:textId="7C1F90E7" w:rsidR="005C4ACF" w:rsidRPr="0043405B" w:rsidRDefault="005C4ACF" w:rsidP="00AC775B">
                      <w:pPr>
                        <w:overflowPunct/>
                        <w:autoSpaceDE/>
                        <w:autoSpaceDN/>
                        <w:adjustRightInd/>
                        <w:spacing w:after="0"/>
                        <w:ind w:left="720"/>
                        <w:jc w:val="left"/>
                        <w:textAlignment w:val="auto"/>
                        <w:rPr>
                          <w:rFonts w:eastAsia="MS Mincho"/>
                          <w:lang w:val="en-US" w:eastAsia="ja-JP"/>
                        </w:rPr>
                      </w:pPr>
                    </w:p>
                  </w:txbxContent>
                </v:textbox>
                <w10:anchorlock/>
              </v:shape>
            </w:pict>
          </mc:Fallback>
        </mc:AlternateContent>
      </w:r>
    </w:p>
    <w:p w14:paraId="039411DA" w14:textId="27E01726" w:rsidR="00E25F69" w:rsidRPr="00CE0424" w:rsidRDefault="00D41D2B" w:rsidP="00E25F69">
      <w:pPr>
        <w:pStyle w:val="BodyText"/>
      </w:pPr>
      <w:r>
        <w:t>.</w:t>
      </w:r>
    </w:p>
    <w:p w14:paraId="091751BA" w14:textId="7DF37DA5" w:rsidR="00354A3E" w:rsidRPr="00C532CF" w:rsidRDefault="00702BF9" w:rsidP="00354A3E">
      <w:pPr>
        <w:pStyle w:val="Heading1"/>
      </w:pPr>
      <w:bookmarkStart w:id="1" w:name="_Ref178064866"/>
      <w:r>
        <w:t xml:space="preserve">Open issues </w:t>
      </w:r>
      <w:bookmarkEnd w:id="1"/>
      <w:r>
        <w:t>from previous meeting</w:t>
      </w:r>
      <w:r w:rsidR="00D41D2B">
        <w:t xml:space="preserve"> on </w:t>
      </w:r>
      <w:r w:rsidR="00947975">
        <w:t>DL QCL</w:t>
      </w:r>
    </w:p>
    <w:p w14:paraId="3000ABC7" w14:textId="02A7242B" w:rsidR="006C1133" w:rsidRDefault="0013403F" w:rsidP="0013403F">
      <w:pPr>
        <w:pStyle w:val="Proposal"/>
        <w:numPr>
          <w:ilvl w:val="0"/>
          <w:numId w:val="0"/>
        </w:numPr>
        <w:tabs>
          <w:tab w:val="clear" w:pos="1701"/>
          <w:tab w:val="left" w:pos="0"/>
        </w:tabs>
        <w:rPr>
          <w:b w:val="0"/>
        </w:rPr>
      </w:pPr>
      <w:bookmarkStart w:id="2" w:name="_Toc477965470"/>
      <w:bookmarkStart w:id="3" w:name="_Toc477971787"/>
      <w:bookmarkStart w:id="4" w:name="_Toc478137893"/>
      <w:bookmarkStart w:id="5" w:name="_Toc478140197"/>
      <w:r>
        <w:rPr>
          <w:b w:val="0"/>
        </w:rPr>
        <w:t xml:space="preserve">The open issues with respect to agreement 1 is the grouping principle for DMRS. First of all, if the UE is scheduled more than one PDSCH in a slot, this is the typical multi-TRP case </w:t>
      </w:r>
      <w:r w:rsidR="002C4105">
        <w:rPr>
          <w:b w:val="0"/>
        </w:rPr>
        <w:t xml:space="preserve">using e.g. non coherent JT </w:t>
      </w:r>
      <w:r>
        <w:rPr>
          <w:b w:val="0"/>
        </w:rPr>
        <w:t>and then the DMRS in the first and second PDSCH should not be QCL.</w:t>
      </w:r>
      <w:bookmarkEnd w:id="2"/>
      <w:bookmarkEnd w:id="3"/>
      <w:bookmarkEnd w:id="4"/>
      <w:bookmarkEnd w:id="5"/>
    </w:p>
    <w:p w14:paraId="61232AB5" w14:textId="77777777" w:rsidR="00790017" w:rsidRDefault="00790017" w:rsidP="0013403F">
      <w:pPr>
        <w:pStyle w:val="Proposal"/>
        <w:numPr>
          <w:ilvl w:val="0"/>
          <w:numId w:val="0"/>
        </w:numPr>
        <w:tabs>
          <w:tab w:val="clear" w:pos="1701"/>
          <w:tab w:val="left" w:pos="0"/>
        </w:tabs>
        <w:rPr>
          <w:b w:val="0"/>
        </w:rPr>
      </w:pPr>
    </w:p>
    <w:p w14:paraId="4273627A" w14:textId="60442DFB" w:rsidR="0013403F" w:rsidRPr="00790017" w:rsidRDefault="0013403F" w:rsidP="00790017">
      <w:pPr>
        <w:pStyle w:val="Proposal"/>
      </w:pPr>
      <w:bookmarkStart w:id="6" w:name="_Toc477965471"/>
      <w:bookmarkStart w:id="7" w:name="_Toc477971788"/>
      <w:bookmarkStart w:id="8" w:name="_Toc478137894"/>
      <w:bookmarkStart w:id="9" w:name="_Toc478140198"/>
      <w:r w:rsidRPr="00790017">
        <w:lastRenderedPageBreak/>
        <w:t>DMRS belonging to different PDSCH scheduling in the same slot are by default not QCL hence the DMRS in one PDSCH is the first group and DMRS in the other PDSCH is the second group</w:t>
      </w:r>
      <w:bookmarkEnd w:id="6"/>
      <w:bookmarkEnd w:id="7"/>
      <w:bookmarkEnd w:id="8"/>
      <w:bookmarkEnd w:id="9"/>
    </w:p>
    <w:p w14:paraId="30011B20" w14:textId="6BB8B584" w:rsidR="0013403F" w:rsidRDefault="0013403F" w:rsidP="0013403F">
      <w:pPr>
        <w:pStyle w:val="Proposal"/>
        <w:numPr>
          <w:ilvl w:val="0"/>
          <w:numId w:val="0"/>
        </w:numPr>
        <w:tabs>
          <w:tab w:val="clear" w:pos="1701"/>
          <w:tab w:val="left" w:pos="0"/>
        </w:tabs>
        <w:rPr>
          <w:b w:val="0"/>
        </w:rPr>
      </w:pPr>
      <w:bookmarkStart w:id="10" w:name="_Toc477965472"/>
      <w:bookmarkStart w:id="11" w:name="_Toc477971789"/>
      <w:bookmarkStart w:id="12" w:name="_Toc478137895"/>
      <w:bookmarkStart w:id="13" w:name="_Toc478140199"/>
      <w:r>
        <w:rPr>
          <w:b w:val="0"/>
        </w:rPr>
        <w:t>It can be further considered if there are scenarios where DMRS across PDSCH may be configured by higher layers to be QCL but the proposal above would be sufficient as the default assumption.</w:t>
      </w:r>
      <w:bookmarkEnd w:id="10"/>
      <w:bookmarkEnd w:id="11"/>
      <w:bookmarkEnd w:id="12"/>
      <w:bookmarkEnd w:id="13"/>
    </w:p>
    <w:p w14:paraId="2818724E" w14:textId="7AE3DFBB" w:rsidR="0013403F" w:rsidRDefault="0013403F" w:rsidP="0013403F">
      <w:pPr>
        <w:pStyle w:val="Proposal"/>
        <w:numPr>
          <w:ilvl w:val="0"/>
          <w:numId w:val="0"/>
        </w:numPr>
        <w:tabs>
          <w:tab w:val="clear" w:pos="1701"/>
          <w:tab w:val="left" w:pos="0"/>
        </w:tabs>
        <w:rPr>
          <w:b w:val="0"/>
        </w:rPr>
      </w:pPr>
      <w:bookmarkStart w:id="14" w:name="_Toc477965473"/>
      <w:bookmarkStart w:id="15" w:name="_Toc477971790"/>
      <w:bookmarkStart w:id="16" w:name="_Toc478137896"/>
      <w:bookmarkStart w:id="17" w:name="_Toc478140200"/>
      <w:r>
        <w:rPr>
          <w:b w:val="0"/>
        </w:rPr>
        <w:t>When it comes to non-QCL DMRS groups within a single PDSCH, the intended use case would be the multi-TRP transmission</w:t>
      </w:r>
      <w:r w:rsidR="000E2CDB">
        <w:rPr>
          <w:b w:val="0"/>
        </w:rPr>
        <w:t xml:space="preserve"> for the general QCL parameter case or the multi-beam transmission from a single TRP for the spatial QCL case</w:t>
      </w:r>
      <w:r>
        <w:rPr>
          <w:b w:val="0"/>
        </w:rPr>
        <w:t xml:space="preserve">. </w:t>
      </w:r>
      <w:r w:rsidR="000E2CDB">
        <w:rPr>
          <w:b w:val="0"/>
        </w:rPr>
        <w:t>The latter then holds for UEs with analog beamforming (due to the use of spatial QCL) which have the capability to receive more than one beam at the same time. Hence, this is related to the sets vs group feedback discussion and our suggestion is to postpone the discussion on non-QCL DMRS within a single PDSCH until the CSI feedback for multi-panel has settled. As the baseline, one can always use the dual PDSCH scheduling for this case as well, so benefits vs overhead should be compared against this baseline.</w:t>
      </w:r>
      <w:bookmarkEnd w:id="14"/>
      <w:bookmarkEnd w:id="15"/>
      <w:bookmarkEnd w:id="16"/>
      <w:bookmarkEnd w:id="17"/>
      <w:r w:rsidR="000E2CDB">
        <w:rPr>
          <w:b w:val="0"/>
        </w:rPr>
        <w:t xml:space="preserve"> </w:t>
      </w:r>
      <w:r>
        <w:rPr>
          <w:b w:val="0"/>
        </w:rPr>
        <w:t xml:space="preserve"> </w:t>
      </w:r>
    </w:p>
    <w:p w14:paraId="58A6829A" w14:textId="0DA4F440" w:rsidR="0013403F" w:rsidRPr="000E2CDB" w:rsidRDefault="000E2CDB" w:rsidP="000E2CDB">
      <w:pPr>
        <w:pStyle w:val="Proposal"/>
      </w:pPr>
      <w:bookmarkStart w:id="18" w:name="_Toc477965474"/>
      <w:bookmarkStart w:id="19" w:name="_Toc477971791"/>
      <w:bookmarkStart w:id="20" w:name="_Toc478137897"/>
      <w:bookmarkStart w:id="21" w:name="_Toc478140201"/>
      <w:r w:rsidRPr="000E2CDB">
        <w:t>Postpone the discussion on non-QCL DMRS within one PDSCH after CSI feedback discussion (groups vs sets) has settled</w:t>
      </w:r>
      <w:bookmarkEnd w:id="18"/>
      <w:bookmarkEnd w:id="19"/>
      <w:bookmarkEnd w:id="20"/>
      <w:bookmarkEnd w:id="21"/>
    </w:p>
    <w:p w14:paraId="7517A02F" w14:textId="4A7FED94" w:rsidR="00E25F69" w:rsidRDefault="00501AA0" w:rsidP="000E2CDB">
      <w:pPr>
        <w:pStyle w:val="Proposal"/>
        <w:numPr>
          <w:ilvl w:val="0"/>
          <w:numId w:val="0"/>
        </w:numPr>
        <w:rPr>
          <w:b w:val="0"/>
        </w:rPr>
      </w:pPr>
      <w:bookmarkStart w:id="22" w:name="_Toc477965475"/>
      <w:bookmarkStart w:id="23" w:name="_Toc477971792"/>
      <w:bookmarkStart w:id="24" w:name="_Toc478137898"/>
      <w:bookmarkStart w:id="25" w:name="_Toc478140202"/>
      <w:r>
        <w:rPr>
          <w:b w:val="0"/>
        </w:rPr>
        <w:t>Agreemen</w:t>
      </w:r>
      <w:r w:rsidR="006C1133">
        <w:rPr>
          <w:b w:val="0"/>
        </w:rPr>
        <w:t>t 2</w:t>
      </w:r>
      <w:r>
        <w:rPr>
          <w:b w:val="0"/>
        </w:rPr>
        <w:t xml:space="preserve"> is confusing since there is no definition of “QCL type” and how a </w:t>
      </w:r>
      <w:r w:rsidR="000E2CDB">
        <w:rPr>
          <w:b w:val="0"/>
        </w:rPr>
        <w:t xml:space="preserve">QCL </w:t>
      </w:r>
      <w:r>
        <w:rPr>
          <w:b w:val="0"/>
        </w:rPr>
        <w:t xml:space="preserve">type is </w:t>
      </w:r>
      <w:r w:rsidR="000E2CDB">
        <w:rPr>
          <w:b w:val="0"/>
        </w:rPr>
        <w:t>defined relative to</w:t>
      </w:r>
      <w:r>
        <w:rPr>
          <w:b w:val="0"/>
        </w:rPr>
        <w:t xml:space="preserve"> a QCL parameter. </w:t>
      </w:r>
      <w:r w:rsidR="000E2CDB">
        <w:rPr>
          <w:b w:val="0"/>
        </w:rPr>
        <w:t>Further clarification is needed before down selection can be made among the alternatives.</w:t>
      </w:r>
      <w:bookmarkEnd w:id="22"/>
      <w:bookmarkEnd w:id="23"/>
      <w:bookmarkEnd w:id="24"/>
      <w:bookmarkEnd w:id="25"/>
    </w:p>
    <w:p w14:paraId="26107630" w14:textId="3E3F9099" w:rsidR="000E2CDB" w:rsidRPr="000E2CDB" w:rsidRDefault="000E2CDB" w:rsidP="000E2CDB">
      <w:pPr>
        <w:pStyle w:val="Proposal"/>
      </w:pPr>
      <w:bookmarkStart w:id="26" w:name="_Toc477965476"/>
      <w:bookmarkStart w:id="27" w:name="_Toc477971793"/>
      <w:bookmarkStart w:id="28" w:name="_Toc478137899"/>
      <w:bookmarkStart w:id="29" w:name="_Toc478140203"/>
      <w:r w:rsidRPr="000E2CDB">
        <w:t>RAN1 should define the term “QCL type” in the agreement from RAN1#88</w:t>
      </w:r>
      <w:bookmarkEnd w:id="26"/>
      <w:bookmarkEnd w:id="27"/>
      <w:bookmarkEnd w:id="28"/>
      <w:bookmarkEnd w:id="29"/>
    </w:p>
    <w:p w14:paraId="76230B9B" w14:textId="56EEF9A3" w:rsidR="000E2CDB" w:rsidRDefault="000E2CDB" w:rsidP="000E2CDB">
      <w:pPr>
        <w:pStyle w:val="Proposal"/>
        <w:numPr>
          <w:ilvl w:val="0"/>
          <w:numId w:val="0"/>
        </w:numPr>
        <w:rPr>
          <w:b w:val="0"/>
        </w:rPr>
      </w:pPr>
      <w:bookmarkStart w:id="30" w:name="_Toc477965477"/>
      <w:bookmarkStart w:id="31" w:name="_Toc477971794"/>
      <w:bookmarkStart w:id="32" w:name="_Toc478137900"/>
      <w:bookmarkStart w:id="33" w:name="_Toc478140204"/>
      <w:r>
        <w:rPr>
          <w:b w:val="0"/>
        </w:rPr>
        <w:t xml:space="preserve">Related to agreement 3, it is important for gNB implementation of very wide bandwidths compared to LTE to have the possibility to use </w:t>
      </w:r>
      <w:r w:rsidR="007F49F1">
        <w:rPr>
          <w:b w:val="0"/>
        </w:rPr>
        <w:t>independent</w:t>
      </w:r>
      <w:r>
        <w:rPr>
          <w:b w:val="0"/>
        </w:rPr>
        <w:t xml:space="preserve"> calibration circuits, clocks and oscillators</w:t>
      </w:r>
      <w:r w:rsidR="007F49F1">
        <w:rPr>
          <w:b w:val="0"/>
        </w:rPr>
        <w:t xml:space="preserve"> per CC</w:t>
      </w:r>
      <w:r>
        <w:rPr>
          <w:b w:val="0"/>
        </w:rPr>
        <w:t>. Therefore propose th</w:t>
      </w:r>
      <w:r w:rsidR="00566292">
        <w:rPr>
          <w:b w:val="0"/>
        </w:rPr>
        <w:t>at</w:t>
      </w:r>
      <w:r>
        <w:rPr>
          <w:b w:val="0"/>
        </w:rPr>
        <w:t xml:space="preserve"> it should be possible to operate beam management procedures and thus spatial QCL per carrier, independently.</w:t>
      </w:r>
      <w:r w:rsidR="007F49F1">
        <w:rPr>
          <w:b w:val="0"/>
        </w:rPr>
        <w:t>.</w:t>
      </w:r>
      <w:bookmarkEnd w:id="30"/>
      <w:bookmarkEnd w:id="31"/>
      <w:bookmarkEnd w:id="32"/>
      <w:bookmarkEnd w:id="33"/>
      <w:r w:rsidR="007F49F1">
        <w:rPr>
          <w:b w:val="0"/>
        </w:rPr>
        <w:t xml:space="preserve"> </w:t>
      </w:r>
    </w:p>
    <w:p w14:paraId="22D82E9E" w14:textId="215061D9" w:rsidR="007F49F1" w:rsidRPr="007F49F1" w:rsidRDefault="00566292" w:rsidP="007F49F1">
      <w:pPr>
        <w:pStyle w:val="Proposal"/>
      </w:pPr>
      <w:bookmarkStart w:id="34" w:name="_Toc477965478"/>
      <w:bookmarkStart w:id="35" w:name="_Toc477971795"/>
      <w:bookmarkStart w:id="36" w:name="_Toc478137901"/>
      <w:bookmarkStart w:id="37" w:name="_Toc478140205"/>
      <w:r>
        <w:t>Beam</w:t>
      </w:r>
      <w:r w:rsidR="007F49F1" w:rsidRPr="007F49F1">
        <w:t xml:space="preserve"> management and thus </w:t>
      </w:r>
      <w:proofErr w:type="spellStart"/>
      <w:r w:rsidR="007F49F1" w:rsidRPr="007F49F1">
        <w:t>s</w:t>
      </w:r>
      <w:r>
        <w:t>Q</w:t>
      </w:r>
      <w:r w:rsidR="007F49F1" w:rsidRPr="007F49F1">
        <w:t>CL</w:t>
      </w:r>
      <w:proofErr w:type="spellEnd"/>
      <w:r w:rsidR="007F49F1" w:rsidRPr="007F49F1">
        <w:t xml:space="preserve"> assumptions </w:t>
      </w:r>
      <w:r>
        <w:t>should be possible to operate independently per</w:t>
      </w:r>
      <w:r w:rsidR="007F49F1" w:rsidRPr="007F49F1">
        <w:t xml:space="preserve"> component carrier.</w:t>
      </w:r>
      <w:bookmarkEnd w:id="34"/>
      <w:bookmarkEnd w:id="35"/>
      <w:bookmarkEnd w:id="36"/>
      <w:bookmarkEnd w:id="37"/>
      <w:r w:rsidR="007F49F1" w:rsidRPr="007F49F1">
        <w:t xml:space="preserve"> </w:t>
      </w:r>
    </w:p>
    <w:p w14:paraId="1FE38207" w14:textId="33EB471F" w:rsidR="007F49F1" w:rsidRPr="00501AA0" w:rsidRDefault="007F49F1" w:rsidP="007F49F1">
      <w:pPr>
        <w:pStyle w:val="Proposal"/>
        <w:numPr>
          <w:ilvl w:val="0"/>
          <w:numId w:val="0"/>
        </w:numPr>
        <w:ind w:left="1701" w:hanging="1701"/>
        <w:rPr>
          <w:b w:val="0"/>
        </w:rPr>
      </w:pPr>
      <w:bookmarkStart w:id="38" w:name="_Toc477965479"/>
      <w:bookmarkStart w:id="39" w:name="_Toc477971796"/>
      <w:bookmarkStart w:id="40" w:name="_Toc478137902"/>
      <w:bookmarkStart w:id="41" w:name="_Toc478140206"/>
      <w:r>
        <w:rPr>
          <w:b w:val="0"/>
        </w:rPr>
        <w:t xml:space="preserve">Regarding agreement </w:t>
      </w:r>
      <w:r w:rsidR="00566292">
        <w:rPr>
          <w:b w:val="0"/>
        </w:rPr>
        <w:t>4</w:t>
      </w:r>
      <w:r>
        <w:rPr>
          <w:b w:val="0"/>
        </w:rPr>
        <w:t>, which actually is a FFS, we elaborate in more detail in the next section.</w:t>
      </w:r>
      <w:bookmarkEnd w:id="38"/>
      <w:bookmarkEnd w:id="39"/>
      <w:bookmarkEnd w:id="40"/>
      <w:bookmarkEnd w:id="41"/>
      <w:r w:rsidR="00BD5B81">
        <w:rPr>
          <w:b w:val="0"/>
        </w:rPr>
        <w:t xml:space="preserve"> </w:t>
      </w:r>
    </w:p>
    <w:p w14:paraId="4E481BA9" w14:textId="327EFCC3" w:rsidR="00702BF9" w:rsidRDefault="00C549B3" w:rsidP="00C549B3">
      <w:pPr>
        <w:pStyle w:val="Heading1"/>
      </w:pPr>
      <w:r>
        <w:t>New issues related to DL QCL</w:t>
      </w:r>
    </w:p>
    <w:p w14:paraId="004227BA" w14:textId="3760A772" w:rsidR="002C4105" w:rsidRDefault="002C4105" w:rsidP="002C4105">
      <w:pPr>
        <w:pStyle w:val="Heading2"/>
      </w:pPr>
      <w:r>
        <w:t>QCL between SS block</w:t>
      </w:r>
      <w:r w:rsidR="00566292">
        <w:t xml:space="preserve">, RAR </w:t>
      </w:r>
      <w:r>
        <w:t>and PDCCH DMRS</w:t>
      </w:r>
    </w:p>
    <w:p w14:paraId="32342E9F" w14:textId="2EF175D5" w:rsidR="00AC5CBF" w:rsidRDefault="000A0BEF" w:rsidP="00C549B3">
      <w:r>
        <w:t xml:space="preserve">One new issue that partly was discussed related to agreement 4 is how are the QCL assumptions for the SS blocks taken into account. The discussion in this section will focus on spatial QCL, to aid the beam management for mm-wave operation, while there is a more general QCL discussion needed for other QCL parameters such as average delay, average gain and Doppler </w:t>
      </w:r>
      <w:proofErr w:type="spellStart"/>
      <w:r>
        <w:t>etc</w:t>
      </w:r>
      <w:proofErr w:type="spellEnd"/>
      <w:r w:rsidR="009304AF">
        <w:t xml:space="preserve"> and whether to link CSI-RS to the RS(s) used for fine channel tracking using QCL</w:t>
      </w:r>
      <w:r>
        <w:t xml:space="preserve">. </w:t>
      </w:r>
      <w:r w:rsidR="00AC5CBF">
        <w:t xml:space="preserve">Since there is a </w:t>
      </w:r>
      <w:r w:rsidR="009304AF">
        <w:t>parallel</w:t>
      </w:r>
      <w:r w:rsidR="00AC5CBF">
        <w:t xml:space="preserve"> discussion on the RS to use for fine time/frequency tracking, our intention is to progress </w:t>
      </w:r>
      <w:r w:rsidR="009304AF">
        <w:t xml:space="preserve">a bit more </w:t>
      </w:r>
      <w:r w:rsidR="00AC5CBF">
        <w:t xml:space="preserve">on that topic </w:t>
      </w:r>
      <w:r w:rsidR="009304AF">
        <w:t xml:space="preserve">(e.g. to define the RSs) </w:t>
      </w:r>
      <w:r w:rsidR="00AC5CBF">
        <w:t>before we discuss non-spatial QCL parameters.</w:t>
      </w:r>
    </w:p>
    <w:p w14:paraId="5521C7F5" w14:textId="77777777" w:rsidR="00566292" w:rsidRDefault="00AC5CBF" w:rsidP="00C549B3">
      <w:r>
        <w:t xml:space="preserve">The UE will detect an SS block which may have sector coverage (in case of a single SS block per TRP) or rather wide beam width (in case of a few SS blocks per TRP). </w:t>
      </w:r>
      <w:r w:rsidR="003B4326">
        <w:t xml:space="preserve">Which SS block the UE has detected is known through the initial access procedure, i.e. related to the used PRACH preamble resource. </w:t>
      </w:r>
      <w:r>
        <w:t xml:space="preserve">We don’t expect the SS block beams to be very narrow in beam width at least not in the normal case, since it has problems with e.g. overhead (although a large number of SS blocks may be allowed in specs to support extreme coverage cases where overhead is not the largest concern). </w:t>
      </w:r>
    </w:p>
    <w:p w14:paraId="2AECC1EF" w14:textId="7DF76C1A" w:rsidR="00566292" w:rsidRDefault="00566292" w:rsidP="00C549B3">
      <w:r>
        <w:t xml:space="preserve">Our proposal is to use a self-contained random access response (RAR) and the RAR may be </w:t>
      </w:r>
      <w:r w:rsidR="004A2BF7">
        <w:t xml:space="preserve">spatially </w:t>
      </w:r>
      <w:r>
        <w:t xml:space="preserve">QCL </w:t>
      </w:r>
      <w:r w:rsidR="004A2BF7">
        <w:t xml:space="preserve">at the UE </w:t>
      </w:r>
      <w:r>
        <w:t xml:space="preserve">with the detected SS block if indicated in the PBCH, see [5] for details. </w:t>
      </w:r>
    </w:p>
    <w:p w14:paraId="0445F59A" w14:textId="4F095D40" w:rsidR="00AC5CBF" w:rsidRDefault="004A2BF7" w:rsidP="00C549B3">
      <w:r>
        <w:t>I</w:t>
      </w:r>
      <w:r w:rsidR="00AC5CBF">
        <w:t xml:space="preserve">t is reasonable to transmit </w:t>
      </w:r>
      <w:proofErr w:type="spellStart"/>
      <w:r w:rsidR="005D135D">
        <w:t>inital</w:t>
      </w:r>
      <w:proofErr w:type="spellEnd"/>
      <w:r w:rsidR="005D135D">
        <w:t xml:space="preserve"> PDCCH by default </w:t>
      </w:r>
      <w:r w:rsidR="00AC5CBF">
        <w:t xml:space="preserve">in the same beam as the detected </w:t>
      </w:r>
      <w:r>
        <w:t xml:space="preserve">RAR and thus also the </w:t>
      </w:r>
      <w:r w:rsidR="00AC5CBF">
        <w:t>SS block</w:t>
      </w:r>
      <w:r>
        <w:t>, if indicated by PBCH</w:t>
      </w:r>
      <w:r w:rsidR="00BD785A">
        <w:t xml:space="preserve">. The default </w:t>
      </w:r>
      <w:bookmarkStart w:id="42" w:name="_GoBack"/>
      <w:bookmarkEnd w:id="42"/>
      <w:r w:rsidR="00AC5CBF">
        <w:t>PDCCH allows the gNB to configure the UE with e.g. CSI-RS for beam management.</w:t>
      </w:r>
      <w:r w:rsidR="005C4ACF">
        <w:t xml:space="preserve">. </w:t>
      </w:r>
      <w:r w:rsidR="00AC5CBF">
        <w:t xml:space="preserve"> </w:t>
      </w:r>
    </w:p>
    <w:p w14:paraId="25FE2837" w14:textId="02305A95" w:rsidR="00AD7824" w:rsidRDefault="004A2BF7" w:rsidP="00C549B3">
      <w:pPr>
        <w:pStyle w:val="Proposal"/>
      </w:pPr>
      <w:bookmarkStart w:id="43" w:name="_Toc477971797"/>
      <w:bookmarkStart w:id="44" w:name="_Toc478137903"/>
      <w:bookmarkStart w:id="45" w:name="_Toc478140207"/>
      <w:r>
        <w:t>T</w:t>
      </w:r>
      <w:r w:rsidR="00013FEB">
        <w:t xml:space="preserve">he UE may assume </w:t>
      </w:r>
      <w:r w:rsidR="005D135D">
        <w:t>by default that the</w:t>
      </w:r>
      <w:r w:rsidR="00013FEB">
        <w:t xml:space="preserve"> PDCCH</w:t>
      </w:r>
      <w:r w:rsidR="002C4105">
        <w:t xml:space="preserve"> DMRS</w:t>
      </w:r>
      <w:r w:rsidR="00013FEB">
        <w:t xml:space="preserve"> is spatial QCL with the detected SS block</w:t>
      </w:r>
      <w:bookmarkEnd w:id="43"/>
      <w:r>
        <w:t xml:space="preserve"> if indicated in the broadcasted PBCH</w:t>
      </w:r>
      <w:bookmarkEnd w:id="44"/>
      <w:bookmarkEnd w:id="45"/>
    </w:p>
    <w:p w14:paraId="1E0CD2CF" w14:textId="4B1B1710" w:rsidR="009A04F4" w:rsidRDefault="009A04F4" w:rsidP="00C549B3">
      <w:r>
        <w:t xml:space="preserve">It can be further discussed whether this default spatial QCL could be overridden by </w:t>
      </w:r>
      <w:r w:rsidR="004A2BF7">
        <w:t xml:space="preserve">UE specific and dedicated </w:t>
      </w:r>
      <w:r>
        <w:t xml:space="preserve">RRC signalling, but we believe that the default assumption is necessary. </w:t>
      </w:r>
    </w:p>
    <w:p w14:paraId="67D0EE4A" w14:textId="068BEC3D" w:rsidR="00AC5CBF" w:rsidRDefault="00AC5CBF" w:rsidP="00C549B3">
      <w:r>
        <w:lastRenderedPageBreak/>
        <w:t xml:space="preserve">For PDSCH and possibly also PDCCH on the other hand, narrowest possible beams will be used and those beams are selected and managed by beam management using dedicated CSI-RS measurements.  </w:t>
      </w:r>
      <w:r w:rsidR="003B4326">
        <w:t>Hence,</w:t>
      </w:r>
      <w:r>
        <w:t xml:space="preserve"> </w:t>
      </w:r>
      <w:r w:rsidR="003B4326">
        <w:t xml:space="preserve">in this case, the </w:t>
      </w:r>
      <w:r w:rsidR="005D135D">
        <w:t xml:space="preserve">PDCCH </w:t>
      </w:r>
      <w:r w:rsidR="003B4326">
        <w:t xml:space="preserve">and PDSCH </w:t>
      </w:r>
      <w:r w:rsidR="005D135D">
        <w:t>can be configured to be</w:t>
      </w:r>
      <w:r w:rsidR="003B4326">
        <w:t xml:space="preserve"> spatially QCL with the CSI-RS resource indicated in the beam management procedure (beam indication). Depe</w:t>
      </w:r>
      <w:r w:rsidR="00AD7824">
        <w:t>nding on the channel to receive, the UE may utilize different spatial Q</w:t>
      </w:r>
      <w:r w:rsidR="005D135D">
        <w:t xml:space="preserve">CL assumptions, for example </w:t>
      </w:r>
      <w:r w:rsidR="00AD7824">
        <w:t>PDCCH with the detected and pref</w:t>
      </w:r>
      <w:r w:rsidR="005D135D">
        <w:t xml:space="preserve">erred SS block (SS-QCL) an </w:t>
      </w:r>
      <w:r w:rsidR="00AD7824">
        <w:t xml:space="preserve">PDCCH with a configured CSI-RS (CSI-RS-QCL). </w:t>
      </w:r>
    </w:p>
    <w:p w14:paraId="6C082E9F" w14:textId="5A196C66" w:rsidR="002C4105" w:rsidRDefault="002C4105" w:rsidP="002C4105">
      <w:pPr>
        <w:pStyle w:val="Heading2"/>
      </w:pPr>
      <w:r>
        <w:t>QCL between CSI-RS resources</w:t>
      </w:r>
    </w:p>
    <w:p w14:paraId="03B4FD45" w14:textId="513668E8" w:rsidR="00013FEB" w:rsidRDefault="002C4105" w:rsidP="00C549B3">
      <w:r>
        <w:t xml:space="preserve">In RAN1#Ad-hoc, it was agreed to support </w:t>
      </w:r>
      <w:r>
        <w:rPr>
          <w:rFonts w:eastAsia="MS Mincho"/>
          <w:lang w:val="en-US"/>
        </w:rPr>
        <w:t>i</w:t>
      </w:r>
      <w:r w:rsidRPr="008C0D26">
        <w:rPr>
          <w:rFonts w:eastAsia="MS Mincho"/>
          <w:lang w:val="en-US"/>
        </w:rPr>
        <w:t>ndication of QCL between the antenna ports of two CSI-RS resources</w:t>
      </w:r>
      <w:r w:rsidR="00790017">
        <w:rPr>
          <w:rFonts w:eastAsia="MS Mincho"/>
          <w:lang w:val="en-US"/>
        </w:rPr>
        <w:t>. An open issue is the dynamics of this indication. We agree in principle with the view in [4] to s</w:t>
      </w:r>
      <w:r w:rsidR="00790017" w:rsidRPr="00790017">
        <w:rPr>
          <w:rFonts w:eastAsia="MS Mincho"/>
          <w:lang w:val="en-US"/>
        </w:rPr>
        <w:t xml:space="preserve">upport the dynamic indication of gNB and UE side partial QCL assumptions between </w:t>
      </w:r>
      <w:r w:rsidR="00790017">
        <w:rPr>
          <w:rFonts w:eastAsia="MS Mincho"/>
          <w:lang w:val="en-US"/>
        </w:rPr>
        <w:t xml:space="preserve">the CSI-RS beam sweeps </w:t>
      </w:r>
      <w:r w:rsidR="00790017" w:rsidRPr="00790017">
        <w:rPr>
          <w:rFonts w:eastAsia="MS Mincho"/>
          <w:lang w:val="en-US"/>
        </w:rPr>
        <w:t>P1 and P2/P3</w:t>
      </w:r>
      <w:r w:rsidR="00790017">
        <w:rPr>
          <w:rFonts w:eastAsia="MS Mincho"/>
          <w:lang w:val="en-US"/>
        </w:rPr>
        <w:t xml:space="preserve">. Whether it should be downlink grant or uplink grant can be further discussed. Hence, when triggering an aperiodic CSI-RS beam sweep and associated aperiodic CSI report containing CRI the triggering DCI may contain a reference to a previously transmitted CSI-RS resource so that the UE may utilize this information to tune its RX beam. </w:t>
      </w:r>
    </w:p>
    <w:p w14:paraId="2423B2C1" w14:textId="7E25B258" w:rsidR="00790017" w:rsidRPr="00790017" w:rsidRDefault="00790017" w:rsidP="00C549B3">
      <w:r w:rsidRPr="00790017">
        <w:t xml:space="preserve">Moreover, we propose to use a proxy, the beam pair link (BPL) identity when referring to a previous CSI-RS resource. Hence, when triggering a P2/P3, then a BPL index is included in the triggering DCI and that BPL is in turn linked to a certain CSI-RS resource that the UE has measured and reported on at a previous point in time. </w:t>
      </w:r>
    </w:p>
    <w:p w14:paraId="03F02BFD" w14:textId="77777777" w:rsidR="00790017" w:rsidRDefault="00790017" w:rsidP="00C549B3">
      <w:pPr>
        <w:rPr>
          <w:b/>
        </w:rPr>
      </w:pPr>
    </w:p>
    <w:p w14:paraId="3AB01290" w14:textId="375D72C5" w:rsidR="00AC5CBF" w:rsidRDefault="00790017" w:rsidP="00790017">
      <w:pPr>
        <w:pStyle w:val="Proposal"/>
      </w:pPr>
      <w:bookmarkStart w:id="46" w:name="_Toc477971798"/>
      <w:bookmarkStart w:id="47" w:name="_Toc478137904"/>
      <w:bookmarkStart w:id="48" w:name="_Toc478140208"/>
      <w:r>
        <w:t xml:space="preserve">Support the dynamic indication in DCI of  spatial </w:t>
      </w:r>
      <w:r w:rsidRPr="007F3750">
        <w:t xml:space="preserve">QCL </w:t>
      </w:r>
      <w:r>
        <w:t>assumptions between CSI-RS</w:t>
      </w:r>
      <w:r>
        <w:rPr>
          <w:rFonts w:eastAsia="MS Mincho"/>
          <w:lang w:eastAsia="ja-JP"/>
        </w:rPr>
        <w:t xml:space="preserve"> resources when triggering a CSI-RS measurement for beam management.</w:t>
      </w:r>
      <w:bookmarkEnd w:id="46"/>
      <w:bookmarkEnd w:id="48"/>
      <w:r>
        <w:rPr>
          <w:rFonts w:eastAsia="MS Mincho"/>
          <w:lang w:eastAsia="ja-JP"/>
        </w:rPr>
        <w:t xml:space="preserve"> </w:t>
      </w:r>
      <w:r w:rsidRPr="0094777D">
        <w:rPr>
          <w:rFonts w:eastAsia="MS Mincho"/>
          <w:lang w:eastAsia="ja-JP"/>
        </w:rPr>
        <w:t xml:space="preserve"> </w:t>
      </w:r>
      <w:bookmarkEnd w:id="47"/>
    </w:p>
    <w:p w14:paraId="1949B4CC" w14:textId="1FA3D366" w:rsidR="007F49F1" w:rsidRDefault="007F49F1" w:rsidP="00C549B3"/>
    <w:p w14:paraId="26691C11" w14:textId="2EE7D198" w:rsidR="00E25F69" w:rsidRPr="00CE0424" w:rsidRDefault="00E25F69" w:rsidP="00E25F69">
      <w:pPr>
        <w:pStyle w:val="Heading1"/>
      </w:pPr>
      <w:r w:rsidRPr="00CE0424">
        <w:t>Conclusion</w:t>
      </w:r>
      <w:r>
        <w:t>s</w:t>
      </w:r>
    </w:p>
    <w:p w14:paraId="05F5EDE7" w14:textId="4938E51E" w:rsidR="00B97C65" w:rsidRPr="00687BC2" w:rsidRDefault="00E25F69">
      <w:pPr>
        <w:pStyle w:val="TOC1"/>
        <w:rPr>
          <w:b w:val="0"/>
        </w:rPr>
      </w:pPr>
      <w:r w:rsidRPr="00687BC2">
        <w:rPr>
          <w:b w:val="0"/>
        </w:rPr>
        <w:t>Based on the discussion in this contribution we propose the following:</w:t>
      </w:r>
    </w:p>
    <w:p w14:paraId="266B8714" w14:textId="2B429839" w:rsidR="005D135D" w:rsidRPr="005D135D"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5D135D" w:rsidRPr="008F0E1C">
        <w:rPr>
          <w:b w:val="0"/>
        </w:rPr>
        <w:t>.</w:t>
      </w:r>
    </w:p>
    <w:p w14:paraId="0629D4E6" w14:textId="77777777" w:rsidR="005D135D" w:rsidRPr="005D135D" w:rsidRDefault="005D135D">
      <w:pPr>
        <w:pStyle w:val="TOC1"/>
        <w:rPr>
          <w:rFonts w:asciiTheme="minorHAnsi" w:eastAsiaTheme="minorEastAsia" w:hAnsiTheme="minorHAnsi" w:cstheme="minorBidi"/>
          <w:b w:val="0"/>
          <w:sz w:val="22"/>
          <w:lang w:eastAsia="sv-SE"/>
        </w:rPr>
      </w:pPr>
      <w:r>
        <w:t>Proposal 1</w:t>
      </w:r>
      <w:r w:rsidRPr="005D135D">
        <w:rPr>
          <w:rFonts w:asciiTheme="minorHAnsi" w:eastAsiaTheme="minorEastAsia" w:hAnsiTheme="minorHAnsi" w:cstheme="minorBidi"/>
          <w:b w:val="0"/>
          <w:sz w:val="22"/>
          <w:lang w:eastAsia="sv-SE"/>
        </w:rPr>
        <w:tab/>
      </w:r>
      <w:r>
        <w:t>DMRS belonging to different PDSCH scheduling in the same slot are by default not QCL hence the DMRS in one PDSCH is the first group and DMRS in the other PDSCH is the second group</w:t>
      </w:r>
    </w:p>
    <w:p w14:paraId="57F12EF7" w14:textId="77777777" w:rsidR="005D135D" w:rsidRPr="005D135D" w:rsidRDefault="005D135D">
      <w:pPr>
        <w:pStyle w:val="TOC1"/>
        <w:rPr>
          <w:rFonts w:asciiTheme="minorHAnsi" w:eastAsiaTheme="minorEastAsia" w:hAnsiTheme="minorHAnsi" w:cstheme="minorBidi"/>
          <w:b w:val="0"/>
          <w:sz w:val="22"/>
          <w:lang w:eastAsia="sv-SE"/>
        </w:rPr>
      </w:pPr>
      <w:r>
        <w:t>Proposal 2</w:t>
      </w:r>
      <w:r w:rsidRPr="005D135D">
        <w:rPr>
          <w:rFonts w:asciiTheme="minorHAnsi" w:eastAsiaTheme="minorEastAsia" w:hAnsiTheme="minorHAnsi" w:cstheme="minorBidi"/>
          <w:b w:val="0"/>
          <w:sz w:val="22"/>
          <w:lang w:eastAsia="sv-SE"/>
        </w:rPr>
        <w:tab/>
      </w:r>
      <w:r>
        <w:t>Postpone the discussion on non-QCL DMRS within one PDSCH after CSI feedback discussion (groups vs sets) has settled</w:t>
      </w:r>
    </w:p>
    <w:p w14:paraId="51EAE7FE" w14:textId="77777777" w:rsidR="005D135D" w:rsidRPr="005D135D" w:rsidRDefault="005D135D">
      <w:pPr>
        <w:pStyle w:val="TOC1"/>
        <w:rPr>
          <w:rFonts w:asciiTheme="minorHAnsi" w:eastAsiaTheme="minorEastAsia" w:hAnsiTheme="minorHAnsi" w:cstheme="minorBidi"/>
          <w:b w:val="0"/>
          <w:sz w:val="22"/>
          <w:lang w:eastAsia="sv-SE"/>
        </w:rPr>
      </w:pPr>
      <w:r>
        <w:t>Proposal 3</w:t>
      </w:r>
      <w:r w:rsidRPr="005D135D">
        <w:rPr>
          <w:rFonts w:asciiTheme="minorHAnsi" w:eastAsiaTheme="minorEastAsia" w:hAnsiTheme="minorHAnsi" w:cstheme="minorBidi"/>
          <w:b w:val="0"/>
          <w:sz w:val="22"/>
          <w:lang w:eastAsia="sv-SE"/>
        </w:rPr>
        <w:tab/>
      </w:r>
      <w:r>
        <w:t>RAN1 should define the term “QCL type” in the agreement from RAN1#88</w:t>
      </w:r>
    </w:p>
    <w:p w14:paraId="23D6193C" w14:textId="77777777" w:rsidR="005D135D" w:rsidRPr="005D135D" w:rsidRDefault="005D135D">
      <w:pPr>
        <w:pStyle w:val="TOC1"/>
        <w:rPr>
          <w:rFonts w:asciiTheme="minorHAnsi" w:eastAsiaTheme="minorEastAsia" w:hAnsiTheme="minorHAnsi" w:cstheme="minorBidi"/>
          <w:b w:val="0"/>
          <w:sz w:val="22"/>
          <w:lang w:eastAsia="sv-SE"/>
        </w:rPr>
      </w:pPr>
      <w:r>
        <w:t>Proposal 4</w:t>
      </w:r>
      <w:r w:rsidRPr="005D135D">
        <w:rPr>
          <w:rFonts w:asciiTheme="minorHAnsi" w:eastAsiaTheme="minorEastAsia" w:hAnsiTheme="minorHAnsi" w:cstheme="minorBidi"/>
          <w:b w:val="0"/>
          <w:sz w:val="22"/>
          <w:lang w:eastAsia="sv-SE"/>
        </w:rPr>
        <w:tab/>
      </w:r>
      <w:r>
        <w:t>Beam management and thus sQCL assumptions should be possible to operate independently per component carrier.</w:t>
      </w:r>
    </w:p>
    <w:p w14:paraId="0520995B" w14:textId="77777777" w:rsidR="005D135D" w:rsidRPr="005D135D" w:rsidRDefault="005D135D">
      <w:pPr>
        <w:pStyle w:val="TOC1"/>
        <w:rPr>
          <w:rFonts w:asciiTheme="minorHAnsi" w:eastAsiaTheme="minorEastAsia" w:hAnsiTheme="minorHAnsi" w:cstheme="minorBidi"/>
          <w:b w:val="0"/>
          <w:sz w:val="22"/>
          <w:lang w:eastAsia="sv-SE"/>
        </w:rPr>
      </w:pPr>
      <w:r>
        <w:t>Proposal 5</w:t>
      </w:r>
      <w:r w:rsidRPr="005D135D">
        <w:rPr>
          <w:rFonts w:asciiTheme="minorHAnsi" w:eastAsiaTheme="minorEastAsia" w:hAnsiTheme="minorHAnsi" w:cstheme="minorBidi"/>
          <w:b w:val="0"/>
          <w:sz w:val="22"/>
          <w:lang w:eastAsia="sv-SE"/>
        </w:rPr>
        <w:tab/>
      </w:r>
      <w:r>
        <w:t>The UE may assume by default that the PDCCH DMRS is spatial QCL with the detected SS block if indicated in the broadcasted PBCH</w:t>
      </w:r>
    </w:p>
    <w:p w14:paraId="4EA7E6AA" w14:textId="77777777" w:rsidR="005D135D" w:rsidRPr="005D135D" w:rsidRDefault="005D135D">
      <w:pPr>
        <w:pStyle w:val="TOC1"/>
        <w:rPr>
          <w:rFonts w:asciiTheme="minorHAnsi" w:eastAsiaTheme="minorEastAsia" w:hAnsiTheme="minorHAnsi" w:cstheme="minorBidi"/>
          <w:b w:val="0"/>
          <w:sz w:val="22"/>
          <w:lang w:eastAsia="sv-SE"/>
        </w:rPr>
      </w:pPr>
      <w:r>
        <w:t>Proposal 6</w:t>
      </w:r>
      <w:r w:rsidRPr="005D135D">
        <w:rPr>
          <w:rFonts w:asciiTheme="minorHAnsi" w:eastAsiaTheme="minorEastAsia" w:hAnsiTheme="minorHAnsi" w:cstheme="minorBidi"/>
          <w:b w:val="0"/>
          <w:sz w:val="22"/>
          <w:lang w:eastAsia="sv-SE"/>
        </w:rPr>
        <w:tab/>
      </w:r>
      <w:r>
        <w:t>Support the dynamic indication in DCI of  spatial QCL assumptions between CSI-RS</w:t>
      </w:r>
      <w:r w:rsidRPr="008F0E1C">
        <w:rPr>
          <w:rFonts w:eastAsia="MS Mincho"/>
          <w:lang w:eastAsia="ja-JP"/>
        </w:rPr>
        <w:t xml:space="preserve"> resources when triggering a CSI-RS measurement for beam management.</w:t>
      </w:r>
    </w:p>
    <w:p w14:paraId="4BF94C9D" w14:textId="3D5FFCA1" w:rsidR="00767CE0" w:rsidRDefault="00E25F69" w:rsidP="00767CE0">
      <w:pPr>
        <w:pStyle w:val="Heading1"/>
      </w:pPr>
      <w:r>
        <w:rPr>
          <w:b/>
          <w:bCs/>
        </w:rPr>
        <w:fldChar w:fldCharType="end"/>
      </w:r>
      <w:r w:rsidR="00767CE0" w:rsidRPr="00767CE0">
        <w:t xml:space="preserve"> </w:t>
      </w:r>
      <w:r w:rsidR="00767CE0">
        <w:t>References</w:t>
      </w:r>
    </w:p>
    <w:p w14:paraId="3D3A2925" w14:textId="058D6BC5" w:rsidR="003A7EF3" w:rsidRDefault="00767CE0" w:rsidP="00767CE0">
      <w:r>
        <w:t>[1] R1-1610520, “</w:t>
      </w:r>
      <w:r w:rsidRPr="00767CE0">
        <w:t>WF on the QCL for NR</w:t>
      </w:r>
      <w:r>
        <w:t xml:space="preserve">” , </w:t>
      </w:r>
      <w:r w:rsidRPr="00767CE0">
        <w:t>Intel, LGE, Ericsson, NTT DOCOMO, Samsung</w:t>
      </w:r>
    </w:p>
    <w:p w14:paraId="192BE24E" w14:textId="75D6CEB5" w:rsidR="00767CE0" w:rsidRDefault="00767CE0" w:rsidP="00767CE0">
      <w:pPr>
        <w:rPr>
          <w:rFonts w:eastAsia="MS Mincho"/>
          <w:bCs/>
          <w:lang w:val="en-US" w:eastAsia="ja-JP"/>
        </w:rPr>
      </w:pPr>
      <w:r>
        <w:t>[2] R1-1610513,”</w:t>
      </w:r>
      <w:r w:rsidRPr="00767CE0">
        <w:rPr>
          <w:bCs/>
          <w:lang w:val="en-US"/>
        </w:rPr>
        <w:t>Way Forward on QCL for NR”</w:t>
      </w:r>
      <w:r>
        <w:rPr>
          <w:b/>
          <w:bCs/>
          <w:lang w:val="en-US"/>
        </w:rPr>
        <w:t xml:space="preserve">, </w:t>
      </w:r>
      <w:r w:rsidRPr="00B46424">
        <w:rPr>
          <w:rFonts w:eastAsia="MS Mincho"/>
          <w:bCs/>
          <w:lang w:val="en-US" w:eastAsia="ja-JP"/>
        </w:rPr>
        <w:t>ZTE Corporation, ZTE Microelectronics</w:t>
      </w:r>
      <w:r>
        <w:rPr>
          <w:rFonts w:eastAsia="MS Mincho"/>
          <w:bCs/>
          <w:lang w:val="en-US" w:eastAsia="ja-JP"/>
        </w:rPr>
        <w:t>, Qualcomm</w:t>
      </w:r>
    </w:p>
    <w:p w14:paraId="4CC4F282" w14:textId="5652D603" w:rsidR="00C532CF" w:rsidRDefault="00C532CF" w:rsidP="00767CE0">
      <w:pPr>
        <w:rPr>
          <w:rFonts w:eastAsia="MS Mincho"/>
          <w:bCs/>
          <w:lang w:val="en-US" w:eastAsia="ja-JP"/>
        </w:rPr>
      </w:pPr>
      <w:r>
        <w:rPr>
          <w:rFonts w:eastAsia="MS Mincho"/>
          <w:bCs/>
          <w:lang w:val="en-US" w:eastAsia="ja-JP"/>
        </w:rPr>
        <w:t>[3</w:t>
      </w:r>
      <w:r w:rsidR="00423A83">
        <w:rPr>
          <w:rFonts w:eastAsia="MS Mincho"/>
          <w:bCs/>
          <w:lang w:val="en-US" w:eastAsia="ja-JP"/>
        </w:rPr>
        <w:t>] R1-1700852</w:t>
      </w:r>
      <w:r w:rsidRPr="00934CA8">
        <w:rPr>
          <w:rFonts w:eastAsia="MS Mincho"/>
          <w:bCs/>
          <w:lang w:val="en-US" w:eastAsia="ja-JP"/>
        </w:rPr>
        <w:t>, “Introducing</w:t>
      </w:r>
      <w:r>
        <w:rPr>
          <w:rFonts w:eastAsia="MS Mincho"/>
          <w:bCs/>
          <w:lang w:val="en-US" w:eastAsia="ja-JP"/>
        </w:rPr>
        <w:t xml:space="preserve"> port coherency regions”, Ericsson</w:t>
      </w:r>
    </w:p>
    <w:p w14:paraId="42E90516" w14:textId="7F169397" w:rsidR="00790017" w:rsidRDefault="00790017" w:rsidP="00767CE0">
      <w:pPr>
        <w:rPr>
          <w:rFonts w:eastAsia="MS Mincho"/>
          <w:bCs/>
          <w:lang w:val="en-US" w:eastAsia="ja-JP"/>
        </w:rPr>
      </w:pPr>
      <w:r>
        <w:rPr>
          <w:rFonts w:eastAsia="MS Mincho"/>
          <w:bCs/>
          <w:lang w:val="en-US" w:eastAsia="ja-JP"/>
        </w:rPr>
        <w:t>[4] R1-1703184, “</w:t>
      </w:r>
      <w:r w:rsidRPr="00790017">
        <w:rPr>
          <w:rFonts w:eastAsia="MS Mincho"/>
          <w:bCs/>
          <w:lang w:val="en-US" w:eastAsia="ja-JP"/>
        </w:rPr>
        <w:t>On QCL Framework and Configurations in NR</w:t>
      </w:r>
      <w:r>
        <w:rPr>
          <w:rFonts w:eastAsia="MS Mincho"/>
          <w:bCs/>
          <w:lang w:val="en-US" w:eastAsia="ja-JP"/>
        </w:rPr>
        <w:t>”, Nokia, ALU, ALU-SB</w:t>
      </w:r>
    </w:p>
    <w:p w14:paraId="202910E7" w14:textId="27C9049C" w:rsidR="00566292" w:rsidRPr="00CE0424" w:rsidRDefault="00566292" w:rsidP="00767CE0">
      <w:r>
        <w:rPr>
          <w:rFonts w:eastAsia="MS Mincho"/>
          <w:bCs/>
          <w:lang w:val="en-US" w:eastAsia="ja-JP"/>
        </w:rPr>
        <w:lastRenderedPageBreak/>
        <w:t xml:space="preserve">[5] R1-1706015,” </w:t>
      </w:r>
      <w:r>
        <w:rPr>
          <w:sz w:val="22"/>
          <w:szCs w:val="22"/>
        </w:rPr>
        <w:t xml:space="preserve">NR four-step random access </w:t>
      </w:r>
      <w:r w:rsidRPr="00045529">
        <w:rPr>
          <w:sz w:val="22"/>
          <w:szCs w:val="22"/>
        </w:rPr>
        <w:t>procedure</w:t>
      </w:r>
      <w:r>
        <w:rPr>
          <w:sz w:val="22"/>
          <w:szCs w:val="22"/>
        </w:rPr>
        <w:t>”, Ericsson</w:t>
      </w:r>
    </w:p>
    <w:sectPr w:rsidR="00566292"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0A477" w14:textId="77777777" w:rsidR="001E7947" w:rsidRDefault="001E7947">
      <w:r>
        <w:separator/>
      </w:r>
    </w:p>
  </w:endnote>
  <w:endnote w:type="continuationSeparator" w:id="0">
    <w:p w14:paraId="55F2707A" w14:textId="77777777" w:rsidR="001E7947" w:rsidRDefault="001E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38F384F4" w:rsidR="005C4ACF" w:rsidRDefault="005C4A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785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785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DEF34" w14:textId="77777777" w:rsidR="001E7947" w:rsidRDefault="001E7947">
      <w:r>
        <w:separator/>
      </w:r>
    </w:p>
  </w:footnote>
  <w:footnote w:type="continuationSeparator" w:id="0">
    <w:p w14:paraId="6C8FED5B" w14:textId="77777777" w:rsidR="001E7947" w:rsidRDefault="001E7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5C4ACF" w:rsidRDefault="005C4A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8C2D6F"/>
    <w:multiLevelType w:val="hybridMultilevel"/>
    <w:tmpl w:val="6FDA8322"/>
    <w:lvl w:ilvl="0" w:tplc="1B6436A0">
      <w:start w:val="1"/>
      <w:numFmt w:val="bullet"/>
      <w:lvlText w:val="•"/>
      <w:lvlJc w:val="left"/>
      <w:pPr>
        <w:tabs>
          <w:tab w:val="num" w:pos="360"/>
        </w:tabs>
        <w:ind w:left="360" w:hanging="360"/>
      </w:pPr>
      <w:rPr>
        <w:rFonts w:ascii="Arial" w:hAnsi="Arial" w:hint="default"/>
      </w:rPr>
    </w:lvl>
    <w:lvl w:ilvl="1" w:tplc="E2E61BB6">
      <w:start w:val="1"/>
      <w:numFmt w:val="bullet"/>
      <w:lvlText w:val="•"/>
      <w:lvlJc w:val="left"/>
      <w:pPr>
        <w:tabs>
          <w:tab w:val="num" w:pos="1080"/>
        </w:tabs>
        <w:ind w:left="1080" w:hanging="360"/>
      </w:pPr>
      <w:rPr>
        <w:rFonts w:ascii="Arial" w:hAnsi="Arial" w:hint="default"/>
      </w:rPr>
    </w:lvl>
    <w:lvl w:ilvl="2" w:tplc="7A463156">
      <w:start w:val="1065"/>
      <w:numFmt w:val="bullet"/>
      <w:lvlText w:val="•"/>
      <w:lvlJc w:val="left"/>
      <w:pPr>
        <w:tabs>
          <w:tab w:val="num" w:pos="1800"/>
        </w:tabs>
        <w:ind w:left="1800" w:hanging="360"/>
      </w:pPr>
      <w:rPr>
        <w:rFonts w:ascii="Arial" w:hAnsi="Arial" w:hint="default"/>
      </w:rPr>
    </w:lvl>
    <w:lvl w:ilvl="3" w:tplc="0974F3A8" w:tentative="1">
      <w:start w:val="1"/>
      <w:numFmt w:val="bullet"/>
      <w:lvlText w:val="•"/>
      <w:lvlJc w:val="left"/>
      <w:pPr>
        <w:tabs>
          <w:tab w:val="num" w:pos="2520"/>
        </w:tabs>
        <w:ind w:left="2520" w:hanging="360"/>
      </w:pPr>
      <w:rPr>
        <w:rFonts w:ascii="Arial" w:hAnsi="Arial" w:hint="default"/>
      </w:rPr>
    </w:lvl>
    <w:lvl w:ilvl="4" w:tplc="2F484236" w:tentative="1">
      <w:start w:val="1"/>
      <w:numFmt w:val="bullet"/>
      <w:lvlText w:val="•"/>
      <w:lvlJc w:val="left"/>
      <w:pPr>
        <w:tabs>
          <w:tab w:val="num" w:pos="3240"/>
        </w:tabs>
        <w:ind w:left="3240" w:hanging="360"/>
      </w:pPr>
      <w:rPr>
        <w:rFonts w:ascii="Arial" w:hAnsi="Arial" w:hint="default"/>
      </w:rPr>
    </w:lvl>
    <w:lvl w:ilvl="5" w:tplc="67D60BB8" w:tentative="1">
      <w:start w:val="1"/>
      <w:numFmt w:val="bullet"/>
      <w:lvlText w:val="•"/>
      <w:lvlJc w:val="left"/>
      <w:pPr>
        <w:tabs>
          <w:tab w:val="num" w:pos="3960"/>
        </w:tabs>
        <w:ind w:left="3960" w:hanging="360"/>
      </w:pPr>
      <w:rPr>
        <w:rFonts w:ascii="Arial" w:hAnsi="Arial" w:hint="default"/>
      </w:rPr>
    </w:lvl>
    <w:lvl w:ilvl="6" w:tplc="D51E941A" w:tentative="1">
      <w:start w:val="1"/>
      <w:numFmt w:val="bullet"/>
      <w:lvlText w:val="•"/>
      <w:lvlJc w:val="left"/>
      <w:pPr>
        <w:tabs>
          <w:tab w:val="num" w:pos="4680"/>
        </w:tabs>
        <w:ind w:left="4680" w:hanging="360"/>
      </w:pPr>
      <w:rPr>
        <w:rFonts w:ascii="Arial" w:hAnsi="Arial" w:hint="default"/>
      </w:rPr>
    </w:lvl>
    <w:lvl w:ilvl="7" w:tplc="0F58EC08" w:tentative="1">
      <w:start w:val="1"/>
      <w:numFmt w:val="bullet"/>
      <w:lvlText w:val="•"/>
      <w:lvlJc w:val="left"/>
      <w:pPr>
        <w:tabs>
          <w:tab w:val="num" w:pos="5400"/>
        </w:tabs>
        <w:ind w:left="5400" w:hanging="360"/>
      </w:pPr>
      <w:rPr>
        <w:rFonts w:ascii="Arial" w:hAnsi="Arial" w:hint="default"/>
      </w:rPr>
    </w:lvl>
    <w:lvl w:ilvl="8" w:tplc="7EE827F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2F5FA6"/>
    <w:multiLevelType w:val="hybridMultilevel"/>
    <w:tmpl w:val="410264CC"/>
    <w:lvl w:ilvl="0" w:tplc="5874C3B6">
      <w:start w:val="1"/>
      <w:numFmt w:val="bullet"/>
      <w:lvlText w:val="•"/>
      <w:lvlJc w:val="left"/>
      <w:pPr>
        <w:tabs>
          <w:tab w:val="num" w:pos="720"/>
        </w:tabs>
        <w:ind w:left="720" w:hanging="360"/>
      </w:pPr>
      <w:rPr>
        <w:rFonts w:ascii="Arial" w:hAnsi="Arial" w:hint="default"/>
      </w:rPr>
    </w:lvl>
    <w:lvl w:ilvl="1" w:tplc="C0ECC9CE">
      <w:start w:val="110"/>
      <w:numFmt w:val="bullet"/>
      <w:lvlText w:val="–"/>
      <w:lvlJc w:val="left"/>
      <w:pPr>
        <w:tabs>
          <w:tab w:val="num" w:pos="1440"/>
        </w:tabs>
        <w:ind w:left="1440" w:hanging="360"/>
      </w:pPr>
      <w:rPr>
        <w:rFonts w:ascii="Arial" w:hAnsi="Arial" w:hint="default"/>
      </w:rPr>
    </w:lvl>
    <w:lvl w:ilvl="2" w:tplc="85F0B076" w:tentative="1">
      <w:start w:val="1"/>
      <w:numFmt w:val="bullet"/>
      <w:lvlText w:val="•"/>
      <w:lvlJc w:val="left"/>
      <w:pPr>
        <w:tabs>
          <w:tab w:val="num" w:pos="2160"/>
        </w:tabs>
        <w:ind w:left="2160" w:hanging="360"/>
      </w:pPr>
      <w:rPr>
        <w:rFonts w:ascii="Arial" w:hAnsi="Arial" w:hint="default"/>
      </w:rPr>
    </w:lvl>
    <w:lvl w:ilvl="3" w:tplc="1DD83AD8" w:tentative="1">
      <w:start w:val="1"/>
      <w:numFmt w:val="bullet"/>
      <w:lvlText w:val="•"/>
      <w:lvlJc w:val="left"/>
      <w:pPr>
        <w:tabs>
          <w:tab w:val="num" w:pos="2880"/>
        </w:tabs>
        <w:ind w:left="2880" w:hanging="360"/>
      </w:pPr>
      <w:rPr>
        <w:rFonts w:ascii="Arial" w:hAnsi="Arial" w:hint="default"/>
      </w:rPr>
    </w:lvl>
    <w:lvl w:ilvl="4" w:tplc="B95C9ED2" w:tentative="1">
      <w:start w:val="1"/>
      <w:numFmt w:val="bullet"/>
      <w:lvlText w:val="•"/>
      <w:lvlJc w:val="left"/>
      <w:pPr>
        <w:tabs>
          <w:tab w:val="num" w:pos="3600"/>
        </w:tabs>
        <w:ind w:left="3600" w:hanging="360"/>
      </w:pPr>
      <w:rPr>
        <w:rFonts w:ascii="Arial" w:hAnsi="Arial" w:hint="default"/>
      </w:rPr>
    </w:lvl>
    <w:lvl w:ilvl="5" w:tplc="7A42A02A" w:tentative="1">
      <w:start w:val="1"/>
      <w:numFmt w:val="bullet"/>
      <w:lvlText w:val="•"/>
      <w:lvlJc w:val="left"/>
      <w:pPr>
        <w:tabs>
          <w:tab w:val="num" w:pos="4320"/>
        </w:tabs>
        <w:ind w:left="4320" w:hanging="360"/>
      </w:pPr>
      <w:rPr>
        <w:rFonts w:ascii="Arial" w:hAnsi="Arial" w:hint="default"/>
      </w:rPr>
    </w:lvl>
    <w:lvl w:ilvl="6" w:tplc="F2EAA95A" w:tentative="1">
      <w:start w:val="1"/>
      <w:numFmt w:val="bullet"/>
      <w:lvlText w:val="•"/>
      <w:lvlJc w:val="left"/>
      <w:pPr>
        <w:tabs>
          <w:tab w:val="num" w:pos="5040"/>
        </w:tabs>
        <w:ind w:left="5040" w:hanging="360"/>
      </w:pPr>
      <w:rPr>
        <w:rFonts w:ascii="Arial" w:hAnsi="Arial" w:hint="default"/>
      </w:rPr>
    </w:lvl>
    <w:lvl w:ilvl="7" w:tplc="5A5E5076" w:tentative="1">
      <w:start w:val="1"/>
      <w:numFmt w:val="bullet"/>
      <w:lvlText w:val="•"/>
      <w:lvlJc w:val="left"/>
      <w:pPr>
        <w:tabs>
          <w:tab w:val="num" w:pos="5760"/>
        </w:tabs>
        <w:ind w:left="5760" w:hanging="360"/>
      </w:pPr>
      <w:rPr>
        <w:rFonts w:ascii="Arial" w:hAnsi="Arial" w:hint="default"/>
      </w:rPr>
    </w:lvl>
    <w:lvl w:ilvl="8" w:tplc="32E846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9"/>
  </w:num>
  <w:num w:numId="3">
    <w:abstractNumId w:val="15"/>
  </w:num>
  <w:num w:numId="4">
    <w:abstractNumId w:val="16"/>
  </w:num>
  <w:num w:numId="5">
    <w:abstractNumId w:val="11"/>
  </w:num>
  <w:num w:numId="6">
    <w:abstractNumId w:val="18"/>
  </w:num>
  <w:num w:numId="7">
    <w:abstractNumId w:val="23"/>
  </w:num>
  <w:num w:numId="8">
    <w:abstractNumId w:val="12"/>
  </w:num>
  <w:num w:numId="9">
    <w:abstractNumId w:val="9"/>
  </w:num>
  <w:num w:numId="10">
    <w:abstractNumId w:val="2"/>
  </w:num>
  <w:num w:numId="11">
    <w:abstractNumId w:val="1"/>
  </w:num>
  <w:num w:numId="12">
    <w:abstractNumId w:val="0"/>
  </w:num>
  <w:num w:numId="13">
    <w:abstractNumId w:val="21"/>
  </w:num>
  <w:num w:numId="14">
    <w:abstractNumId w:val="14"/>
  </w:num>
  <w:num w:numId="15">
    <w:abstractNumId w:val="13"/>
  </w:num>
  <w:num w:numId="16">
    <w:abstractNumId w:val="27"/>
  </w:num>
  <w:num w:numId="17">
    <w:abstractNumId w:val="6"/>
  </w:num>
  <w:num w:numId="18">
    <w:abstractNumId w:val="28"/>
  </w:num>
  <w:num w:numId="19">
    <w:abstractNumId w:val="26"/>
  </w:num>
  <w:num w:numId="20">
    <w:abstractNumId w:val="5"/>
  </w:num>
  <w:num w:numId="21">
    <w:abstractNumId w:val="3"/>
  </w:num>
  <w:num w:numId="22">
    <w:abstractNumId w:val="25"/>
  </w:num>
  <w:num w:numId="23">
    <w:abstractNumId w:val="7"/>
  </w:num>
  <w:num w:numId="24">
    <w:abstractNumId w:val="24"/>
  </w:num>
  <w:num w:numId="25">
    <w:abstractNumId w:val="17"/>
  </w:num>
  <w:num w:numId="26">
    <w:abstractNumId w:val="10"/>
  </w:num>
  <w:num w:numId="27">
    <w:abstractNumId w:val="20"/>
  </w:num>
  <w:num w:numId="28">
    <w:abstractNumId w:val="22"/>
  </w:num>
  <w:num w:numId="29">
    <w:abstractNumId w:val="4"/>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3FEB"/>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BEF"/>
    <w:rsid w:val="000A1B7B"/>
    <w:rsid w:val="000A56F2"/>
    <w:rsid w:val="000B2719"/>
    <w:rsid w:val="000B3A8F"/>
    <w:rsid w:val="000B4AB9"/>
    <w:rsid w:val="000B58C3"/>
    <w:rsid w:val="000B61E9"/>
    <w:rsid w:val="000C165A"/>
    <w:rsid w:val="000C2E19"/>
    <w:rsid w:val="000D0D07"/>
    <w:rsid w:val="000D4797"/>
    <w:rsid w:val="000E0527"/>
    <w:rsid w:val="000E1E92"/>
    <w:rsid w:val="000E2CDB"/>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B4A"/>
    <w:rsid w:val="0013072C"/>
    <w:rsid w:val="00132FD0"/>
    <w:rsid w:val="0013403F"/>
    <w:rsid w:val="001344C0"/>
    <w:rsid w:val="001346FA"/>
    <w:rsid w:val="00135252"/>
    <w:rsid w:val="00137AB5"/>
    <w:rsid w:val="00137F0B"/>
    <w:rsid w:val="00146002"/>
    <w:rsid w:val="00151E23"/>
    <w:rsid w:val="001526E0"/>
    <w:rsid w:val="0015373E"/>
    <w:rsid w:val="001551B5"/>
    <w:rsid w:val="001659C1"/>
    <w:rsid w:val="00173A8E"/>
    <w:rsid w:val="001744C5"/>
    <w:rsid w:val="001812D2"/>
    <w:rsid w:val="0018143F"/>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947"/>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1E25"/>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BBC"/>
    <w:rsid w:val="002C17D2"/>
    <w:rsid w:val="002C1BBC"/>
    <w:rsid w:val="002C4105"/>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374D"/>
    <w:rsid w:val="00354A3E"/>
    <w:rsid w:val="00357380"/>
    <w:rsid w:val="003602D9"/>
    <w:rsid w:val="003604CE"/>
    <w:rsid w:val="00370E47"/>
    <w:rsid w:val="003742AC"/>
    <w:rsid w:val="00375A4A"/>
    <w:rsid w:val="00377CE1"/>
    <w:rsid w:val="00385BF0"/>
    <w:rsid w:val="003939FF"/>
    <w:rsid w:val="003A0E41"/>
    <w:rsid w:val="003A1F2B"/>
    <w:rsid w:val="003A2223"/>
    <w:rsid w:val="003A2A0F"/>
    <w:rsid w:val="003A45A1"/>
    <w:rsid w:val="003A5B0A"/>
    <w:rsid w:val="003A6BAC"/>
    <w:rsid w:val="003A7EF3"/>
    <w:rsid w:val="003B159C"/>
    <w:rsid w:val="003B369F"/>
    <w:rsid w:val="003B36A3"/>
    <w:rsid w:val="003B4326"/>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424"/>
    <w:rsid w:val="00421105"/>
    <w:rsid w:val="00423A83"/>
    <w:rsid w:val="004242F4"/>
    <w:rsid w:val="00427248"/>
    <w:rsid w:val="0043405B"/>
    <w:rsid w:val="004357B0"/>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2BF7"/>
    <w:rsid w:val="004A6AC7"/>
    <w:rsid w:val="004B7C0C"/>
    <w:rsid w:val="004C3898"/>
    <w:rsid w:val="004D36B1"/>
    <w:rsid w:val="004D7EBD"/>
    <w:rsid w:val="004E20C4"/>
    <w:rsid w:val="004E2680"/>
    <w:rsid w:val="004E28F9"/>
    <w:rsid w:val="004E462E"/>
    <w:rsid w:val="004E56DC"/>
    <w:rsid w:val="004E76F4"/>
    <w:rsid w:val="004F0B4E"/>
    <w:rsid w:val="004F0B6C"/>
    <w:rsid w:val="004F2078"/>
    <w:rsid w:val="004F4DA3"/>
    <w:rsid w:val="00501AA0"/>
    <w:rsid w:val="00506557"/>
    <w:rsid w:val="0050677A"/>
    <w:rsid w:val="005108D8"/>
    <w:rsid w:val="00510EA1"/>
    <w:rsid w:val="00510F11"/>
    <w:rsid w:val="005116F9"/>
    <w:rsid w:val="005153A7"/>
    <w:rsid w:val="005219CF"/>
    <w:rsid w:val="005255AC"/>
    <w:rsid w:val="00534B59"/>
    <w:rsid w:val="00536759"/>
    <w:rsid w:val="00537C62"/>
    <w:rsid w:val="005416D6"/>
    <w:rsid w:val="00546970"/>
    <w:rsid w:val="00554E19"/>
    <w:rsid w:val="0056121F"/>
    <w:rsid w:val="00566292"/>
    <w:rsid w:val="00572505"/>
    <w:rsid w:val="00575DA6"/>
    <w:rsid w:val="00582809"/>
    <w:rsid w:val="0058798C"/>
    <w:rsid w:val="005900FA"/>
    <w:rsid w:val="005935A4"/>
    <w:rsid w:val="005948C2"/>
    <w:rsid w:val="00595125"/>
    <w:rsid w:val="00595DCA"/>
    <w:rsid w:val="0059779B"/>
    <w:rsid w:val="005A209A"/>
    <w:rsid w:val="005A662D"/>
    <w:rsid w:val="005B35D7"/>
    <w:rsid w:val="005B392A"/>
    <w:rsid w:val="005B3AA3"/>
    <w:rsid w:val="005B5B91"/>
    <w:rsid w:val="005B6F83"/>
    <w:rsid w:val="005C3BA2"/>
    <w:rsid w:val="005C4ACF"/>
    <w:rsid w:val="005C74FB"/>
    <w:rsid w:val="005D135D"/>
    <w:rsid w:val="005D1602"/>
    <w:rsid w:val="005E385F"/>
    <w:rsid w:val="005E5B81"/>
    <w:rsid w:val="005F2CB1"/>
    <w:rsid w:val="005F3025"/>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B766D"/>
    <w:rsid w:val="006C03B8"/>
    <w:rsid w:val="006C1133"/>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2BF9"/>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6D7C"/>
    <w:rsid w:val="00747D8B"/>
    <w:rsid w:val="00751228"/>
    <w:rsid w:val="007571E1"/>
    <w:rsid w:val="007604B2"/>
    <w:rsid w:val="00765281"/>
    <w:rsid w:val="00766BAD"/>
    <w:rsid w:val="00767CE0"/>
    <w:rsid w:val="007755F2"/>
    <w:rsid w:val="00776971"/>
    <w:rsid w:val="00777D37"/>
    <w:rsid w:val="0078177E"/>
    <w:rsid w:val="0078304C"/>
    <w:rsid w:val="00783673"/>
    <w:rsid w:val="00785490"/>
    <w:rsid w:val="00790017"/>
    <w:rsid w:val="00790B99"/>
    <w:rsid w:val="007925EA"/>
    <w:rsid w:val="00793CD8"/>
    <w:rsid w:val="00795C92"/>
    <w:rsid w:val="00796231"/>
    <w:rsid w:val="007A1CB3"/>
    <w:rsid w:val="007A1DB1"/>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4FBC"/>
    <w:rsid w:val="007E505B"/>
    <w:rsid w:val="007E7091"/>
    <w:rsid w:val="007F49F1"/>
    <w:rsid w:val="007F516B"/>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4AF"/>
    <w:rsid w:val="00931BD9"/>
    <w:rsid w:val="00934CA8"/>
    <w:rsid w:val="00935739"/>
    <w:rsid w:val="009368F3"/>
    <w:rsid w:val="00940550"/>
    <w:rsid w:val="00941636"/>
    <w:rsid w:val="00943742"/>
    <w:rsid w:val="00945C05"/>
    <w:rsid w:val="00946945"/>
    <w:rsid w:val="00947713"/>
    <w:rsid w:val="00947975"/>
    <w:rsid w:val="00950DE7"/>
    <w:rsid w:val="00952A24"/>
    <w:rsid w:val="00953832"/>
    <w:rsid w:val="00953920"/>
    <w:rsid w:val="00953D47"/>
    <w:rsid w:val="0095681E"/>
    <w:rsid w:val="009572D4"/>
    <w:rsid w:val="00961921"/>
    <w:rsid w:val="0096430A"/>
    <w:rsid w:val="0096554B"/>
    <w:rsid w:val="0096584A"/>
    <w:rsid w:val="00971F08"/>
    <w:rsid w:val="00975A62"/>
    <w:rsid w:val="0097603D"/>
    <w:rsid w:val="00976949"/>
    <w:rsid w:val="00980477"/>
    <w:rsid w:val="00985253"/>
    <w:rsid w:val="009853B3"/>
    <w:rsid w:val="00990630"/>
    <w:rsid w:val="00991761"/>
    <w:rsid w:val="00994DCA"/>
    <w:rsid w:val="0099592B"/>
    <w:rsid w:val="009960EC"/>
    <w:rsid w:val="009970DD"/>
    <w:rsid w:val="009A04F4"/>
    <w:rsid w:val="009A0FBA"/>
    <w:rsid w:val="009A1601"/>
    <w:rsid w:val="009A462D"/>
    <w:rsid w:val="009A5CBA"/>
    <w:rsid w:val="009B1F30"/>
    <w:rsid w:val="009B3AC2"/>
    <w:rsid w:val="009B4DF4"/>
    <w:rsid w:val="009B564E"/>
    <w:rsid w:val="009B6095"/>
    <w:rsid w:val="009B7E87"/>
    <w:rsid w:val="009C403E"/>
    <w:rsid w:val="009C6832"/>
    <w:rsid w:val="009C7C6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CBF"/>
    <w:rsid w:val="00AC76D6"/>
    <w:rsid w:val="00AC775B"/>
    <w:rsid w:val="00AD0AA3"/>
    <w:rsid w:val="00AD3F94"/>
    <w:rsid w:val="00AD4A5A"/>
    <w:rsid w:val="00AD7824"/>
    <w:rsid w:val="00AE27AC"/>
    <w:rsid w:val="00AE2FEB"/>
    <w:rsid w:val="00AE40E0"/>
    <w:rsid w:val="00AE4DBA"/>
    <w:rsid w:val="00AE4F07"/>
    <w:rsid w:val="00AF1C5D"/>
    <w:rsid w:val="00AF42D7"/>
    <w:rsid w:val="00B006FE"/>
    <w:rsid w:val="00B007CB"/>
    <w:rsid w:val="00B02AA9"/>
    <w:rsid w:val="00B02FA3"/>
    <w:rsid w:val="00B03374"/>
    <w:rsid w:val="00B05084"/>
    <w:rsid w:val="00B06E4E"/>
    <w:rsid w:val="00B07920"/>
    <w:rsid w:val="00B157F9"/>
    <w:rsid w:val="00B20256"/>
    <w:rsid w:val="00B20D09"/>
    <w:rsid w:val="00B2763F"/>
    <w:rsid w:val="00B27AAC"/>
    <w:rsid w:val="00B30929"/>
    <w:rsid w:val="00B3173F"/>
    <w:rsid w:val="00B3463A"/>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3E30"/>
    <w:rsid w:val="00BB51E9"/>
    <w:rsid w:val="00BC0FDC"/>
    <w:rsid w:val="00BC3053"/>
    <w:rsid w:val="00BC4D2E"/>
    <w:rsid w:val="00BD48AC"/>
    <w:rsid w:val="00BD5B81"/>
    <w:rsid w:val="00BD5F1A"/>
    <w:rsid w:val="00BD785A"/>
    <w:rsid w:val="00BE1234"/>
    <w:rsid w:val="00BE2FA6"/>
    <w:rsid w:val="00BE333F"/>
    <w:rsid w:val="00BE571C"/>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2BBA"/>
    <w:rsid w:val="00C279B5"/>
    <w:rsid w:val="00C27C45"/>
    <w:rsid w:val="00C3719D"/>
    <w:rsid w:val="00C44DDE"/>
    <w:rsid w:val="00C532CF"/>
    <w:rsid w:val="00C54995"/>
    <w:rsid w:val="00C549B3"/>
    <w:rsid w:val="00C54CBB"/>
    <w:rsid w:val="00C54D41"/>
    <w:rsid w:val="00C60783"/>
    <w:rsid w:val="00C64672"/>
    <w:rsid w:val="00C70697"/>
    <w:rsid w:val="00C72EF4"/>
    <w:rsid w:val="00C75D2F"/>
    <w:rsid w:val="00C767BE"/>
    <w:rsid w:val="00C76E3C"/>
    <w:rsid w:val="00C81568"/>
    <w:rsid w:val="00C83C93"/>
    <w:rsid w:val="00C85316"/>
    <w:rsid w:val="00C876CD"/>
    <w:rsid w:val="00C9027A"/>
    <w:rsid w:val="00C9068E"/>
    <w:rsid w:val="00C93C4B"/>
    <w:rsid w:val="00C944AB"/>
    <w:rsid w:val="00C95B40"/>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73"/>
    <w:rsid w:val="00D10249"/>
    <w:rsid w:val="00D10D2B"/>
    <w:rsid w:val="00D115C3"/>
    <w:rsid w:val="00D11897"/>
    <w:rsid w:val="00D13135"/>
    <w:rsid w:val="00D13E4E"/>
    <w:rsid w:val="00D239A7"/>
    <w:rsid w:val="00D23F47"/>
    <w:rsid w:val="00D314C8"/>
    <w:rsid w:val="00D36E71"/>
    <w:rsid w:val="00D37D87"/>
    <w:rsid w:val="00D40B33"/>
    <w:rsid w:val="00D41D2B"/>
    <w:rsid w:val="00D4318F"/>
    <w:rsid w:val="00D438BF"/>
    <w:rsid w:val="00D440F8"/>
    <w:rsid w:val="00D546FF"/>
    <w:rsid w:val="00D55AD5"/>
    <w:rsid w:val="00D576CA"/>
    <w:rsid w:val="00D61AF5"/>
    <w:rsid w:val="00D652B5"/>
    <w:rsid w:val="00D66155"/>
    <w:rsid w:val="00D708B0"/>
    <w:rsid w:val="00D74B7A"/>
    <w:rsid w:val="00D77B1D"/>
    <w:rsid w:val="00D8021F"/>
    <w:rsid w:val="00D80383"/>
    <w:rsid w:val="00D823C6"/>
    <w:rsid w:val="00D83014"/>
    <w:rsid w:val="00D86CA3"/>
    <w:rsid w:val="00D871CE"/>
    <w:rsid w:val="00D9196D"/>
    <w:rsid w:val="00D92982"/>
    <w:rsid w:val="00DA305E"/>
    <w:rsid w:val="00DA5417"/>
    <w:rsid w:val="00DA56E8"/>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0F9"/>
    <w:rsid w:val="00E25F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77CC6"/>
    <w:rsid w:val="00E8234C"/>
    <w:rsid w:val="00E83AA9"/>
    <w:rsid w:val="00E85928"/>
    <w:rsid w:val="00E87822"/>
    <w:rsid w:val="00E90395"/>
    <w:rsid w:val="00E90E49"/>
    <w:rsid w:val="00E917F9"/>
    <w:rsid w:val="00E9291C"/>
    <w:rsid w:val="00E93FFE"/>
    <w:rsid w:val="00E94F3C"/>
    <w:rsid w:val="00E94F8A"/>
    <w:rsid w:val="00EA5867"/>
    <w:rsid w:val="00EA7A41"/>
    <w:rsid w:val="00EB077B"/>
    <w:rsid w:val="00EB4EA2"/>
    <w:rsid w:val="00EC27C6"/>
    <w:rsid w:val="00EC4207"/>
    <w:rsid w:val="00EC5653"/>
    <w:rsid w:val="00EC5888"/>
    <w:rsid w:val="00EC5A06"/>
    <w:rsid w:val="00EC70BC"/>
    <w:rsid w:val="00EC71CE"/>
    <w:rsid w:val="00EC77A7"/>
    <w:rsid w:val="00ED1006"/>
    <w:rsid w:val="00EE59C8"/>
    <w:rsid w:val="00EF18FE"/>
    <w:rsid w:val="00EF3FBA"/>
    <w:rsid w:val="00EF5787"/>
    <w:rsid w:val="00EF60D0"/>
    <w:rsid w:val="00F0528D"/>
    <w:rsid w:val="00F05A63"/>
    <w:rsid w:val="00F06C67"/>
    <w:rsid w:val="00F06DFD"/>
    <w:rsid w:val="00F071D1"/>
    <w:rsid w:val="00F07533"/>
    <w:rsid w:val="00F10629"/>
    <w:rsid w:val="00F14DC3"/>
    <w:rsid w:val="00F15FA5"/>
    <w:rsid w:val="00F209B7"/>
    <w:rsid w:val="00F2376F"/>
    <w:rsid w:val="00F243D8"/>
    <w:rsid w:val="00F30828"/>
    <w:rsid w:val="00F313D6"/>
    <w:rsid w:val="00F35191"/>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822"/>
    <w:rsid w:val="00FA2BB3"/>
    <w:rsid w:val="00FB4C80"/>
    <w:rsid w:val="00FB6A6A"/>
    <w:rsid w:val="00FC7429"/>
    <w:rsid w:val="00FD07F6"/>
    <w:rsid w:val="00FD1EC8"/>
    <w:rsid w:val="00FD47ED"/>
    <w:rsid w:val="00FD74DB"/>
    <w:rsid w:val="00FD7660"/>
    <w:rsid w:val="00FE0655"/>
    <w:rsid w:val="00FE176D"/>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812D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812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812D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812D2"/>
    <w:pPr>
      <w:numPr>
        <w:ilvl w:val="2"/>
      </w:numPr>
      <w:spacing w:before="120"/>
      <w:outlineLvl w:val="2"/>
    </w:pPr>
    <w:rPr>
      <w:sz w:val="24"/>
      <w:szCs w:val="28"/>
    </w:rPr>
  </w:style>
  <w:style w:type="paragraph" w:styleId="Heading4">
    <w:name w:val="heading 4"/>
    <w:basedOn w:val="Heading3"/>
    <w:next w:val="Normal"/>
    <w:qFormat/>
    <w:rsid w:val="001812D2"/>
    <w:pPr>
      <w:numPr>
        <w:ilvl w:val="3"/>
      </w:numPr>
      <w:outlineLvl w:val="3"/>
    </w:pPr>
    <w:rPr>
      <w:szCs w:val="24"/>
    </w:rPr>
  </w:style>
  <w:style w:type="paragraph" w:styleId="Heading5">
    <w:name w:val="heading 5"/>
    <w:basedOn w:val="Heading4"/>
    <w:next w:val="Normal"/>
    <w:qFormat/>
    <w:rsid w:val="001812D2"/>
    <w:pPr>
      <w:numPr>
        <w:ilvl w:val="4"/>
      </w:numPr>
      <w:outlineLvl w:val="4"/>
    </w:pPr>
    <w:rPr>
      <w:sz w:val="22"/>
      <w:szCs w:val="22"/>
    </w:rPr>
  </w:style>
  <w:style w:type="paragraph" w:styleId="Heading6">
    <w:name w:val="heading 6"/>
    <w:basedOn w:val="Normal"/>
    <w:next w:val="Normal"/>
    <w:qFormat/>
    <w:rsid w:val="001812D2"/>
    <w:pPr>
      <w:keepNext/>
      <w:keepLines/>
      <w:numPr>
        <w:ilvl w:val="5"/>
        <w:numId w:val="1"/>
      </w:numPr>
      <w:spacing w:before="120"/>
      <w:outlineLvl w:val="5"/>
    </w:pPr>
    <w:rPr>
      <w:rFonts w:cs="Arial"/>
    </w:rPr>
  </w:style>
  <w:style w:type="paragraph" w:styleId="Heading7">
    <w:name w:val="heading 7"/>
    <w:basedOn w:val="Normal"/>
    <w:next w:val="Normal"/>
    <w:qFormat/>
    <w:rsid w:val="001812D2"/>
    <w:pPr>
      <w:keepNext/>
      <w:keepLines/>
      <w:numPr>
        <w:ilvl w:val="6"/>
        <w:numId w:val="1"/>
      </w:numPr>
      <w:spacing w:before="120"/>
      <w:outlineLvl w:val="6"/>
    </w:pPr>
    <w:rPr>
      <w:rFonts w:cs="Arial"/>
    </w:rPr>
  </w:style>
  <w:style w:type="paragraph" w:styleId="Heading8">
    <w:name w:val="heading 8"/>
    <w:basedOn w:val="Heading7"/>
    <w:next w:val="Normal"/>
    <w:qFormat/>
    <w:rsid w:val="001812D2"/>
    <w:pPr>
      <w:numPr>
        <w:ilvl w:val="7"/>
      </w:numPr>
      <w:outlineLvl w:val="7"/>
    </w:pPr>
  </w:style>
  <w:style w:type="paragraph" w:styleId="Heading9">
    <w:name w:val="heading 9"/>
    <w:basedOn w:val="Heading8"/>
    <w:next w:val="Normal"/>
    <w:qFormat/>
    <w:rsid w:val="001812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12D2"/>
    <w:pPr>
      <w:spacing w:before="180"/>
      <w:ind w:left="2693" w:hanging="2693"/>
    </w:pPr>
    <w:rPr>
      <w:b w:val="0"/>
      <w:bCs/>
    </w:rPr>
  </w:style>
  <w:style w:type="paragraph" w:styleId="TOC1">
    <w:name w:val="toc 1"/>
    <w:aliases w:val="Observation TOC2"/>
    <w:uiPriority w:val="39"/>
    <w:rsid w:val="001812D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812D2"/>
    <w:pPr>
      <w:keepNext/>
      <w:keepLines/>
      <w:spacing w:before="180"/>
      <w:jc w:val="center"/>
    </w:pPr>
  </w:style>
  <w:style w:type="paragraph" w:styleId="Caption">
    <w:name w:val="caption"/>
    <w:basedOn w:val="Normal"/>
    <w:next w:val="Normal"/>
    <w:qFormat/>
    <w:rsid w:val="001812D2"/>
    <w:pPr>
      <w:spacing w:after="240"/>
      <w:jc w:val="center"/>
    </w:pPr>
    <w:rPr>
      <w:b/>
      <w:bCs/>
    </w:rPr>
  </w:style>
  <w:style w:type="paragraph" w:styleId="TOC5">
    <w:name w:val="toc 5"/>
    <w:aliases w:val="Observation TOC"/>
    <w:basedOn w:val="TOC4"/>
    <w:semiHidden/>
    <w:rsid w:val="001812D2"/>
    <w:pPr>
      <w:tabs>
        <w:tab w:val="right" w:pos="1701"/>
      </w:tabs>
      <w:ind w:left="1701" w:hanging="1701"/>
    </w:pPr>
  </w:style>
  <w:style w:type="paragraph" w:styleId="TOC4">
    <w:name w:val="toc 4"/>
    <w:basedOn w:val="TOC3"/>
    <w:semiHidden/>
    <w:rsid w:val="001812D2"/>
    <w:pPr>
      <w:ind w:left="1418" w:hanging="1418"/>
    </w:pPr>
  </w:style>
  <w:style w:type="paragraph" w:styleId="TOC3">
    <w:name w:val="toc 3"/>
    <w:basedOn w:val="TOC2"/>
    <w:semiHidden/>
    <w:rsid w:val="001812D2"/>
    <w:pPr>
      <w:ind w:left="1134" w:hanging="1134"/>
    </w:pPr>
  </w:style>
  <w:style w:type="paragraph" w:styleId="TOC2">
    <w:name w:val="toc 2"/>
    <w:basedOn w:val="TOC1"/>
    <w:semiHidden/>
    <w:rsid w:val="001812D2"/>
    <w:pPr>
      <w:keepNext w:val="0"/>
      <w:spacing w:before="0"/>
      <w:ind w:left="851" w:hanging="851"/>
    </w:pPr>
    <w:rPr>
      <w:szCs w:val="20"/>
    </w:rPr>
  </w:style>
  <w:style w:type="paragraph" w:styleId="Index2">
    <w:name w:val="index 2"/>
    <w:basedOn w:val="Index1"/>
    <w:semiHidden/>
    <w:rsid w:val="001812D2"/>
    <w:pPr>
      <w:ind w:left="284"/>
    </w:pPr>
  </w:style>
  <w:style w:type="paragraph" w:styleId="Index1">
    <w:name w:val="index 1"/>
    <w:basedOn w:val="Normal"/>
    <w:semiHidden/>
    <w:rsid w:val="001812D2"/>
    <w:pPr>
      <w:keepLines/>
      <w:spacing w:after="0"/>
    </w:pPr>
  </w:style>
  <w:style w:type="paragraph" w:styleId="DocumentMap">
    <w:name w:val="Document Map"/>
    <w:basedOn w:val="Normal"/>
    <w:semiHidden/>
    <w:rsid w:val="001812D2"/>
    <w:pPr>
      <w:shd w:val="clear" w:color="auto" w:fill="000080"/>
    </w:pPr>
    <w:rPr>
      <w:rFonts w:ascii="Tahoma" w:hAnsi="Tahoma" w:cs="Tahoma"/>
    </w:rPr>
  </w:style>
  <w:style w:type="paragraph" w:styleId="ListNumber2">
    <w:name w:val="List Number 2"/>
    <w:basedOn w:val="ListNumber"/>
    <w:rsid w:val="001812D2"/>
    <w:pPr>
      <w:ind w:left="851"/>
    </w:pPr>
  </w:style>
  <w:style w:type="paragraph" w:styleId="ListNumber">
    <w:name w:val="List Number"/>
    <w:basedOn w:val="List"/>
    <w:rsid w:val="001812D2"/>
  </w:style>
  <w:style w:type="paragraph" w:styleId="List">
    <w:name w:val="List"/>
    <w:basedOn w:val="Normal"/>
    <w:rsid w:val="001812D2"/>
    <w:pPr>
      <w:ind w:left="568" w:hanging="284"/>
    </w:pPr>
  </w:style>
  <w:style w:type="paragraph" w:styleId="Header">
    <w:name w:val="header"/>
    <w:rsid w:val="001812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12D2"/>
    <w:rPr>
      <w:b/>
      <w:bCs/>
      <w:position w:val="6"/>
      <w:sz w:val="16"/>
      <w:szCs w:val="16"/>
    </w:rPr>
  </w:style>
  <w:style w:type="paragraph" w:styleId="FootnoteText">
    <w:name w:val="footnote text"/>
    <w:basedOn w:val="Normal"/>
    <w:semiHidden/>
    <w:rsid w:val="001812D2"/>
    <w:pPr>
      <w:keepLines/>
      <w:spacing w:after="0"/>
      <w:ind w:left="454" w:hanging="454"/>
    </w:pPr>
    <w:rPr>
      <w:sz w:val="16"/>
      <w:szCs w:val="16"/>
    </w:rPr>
  </w:style>
  <w:style w:type="paragraph" w:customStyle="1" w:styleId="3GPPHeader">
    <w:name w:val="3GPP_Header"/>
    <w:basedOn w:val="Normal"/>
    <w:qFormat/>
    <w:rsid w:val="001812D2"/>
    <w:pPr>
      <w:tabs>
        <w:tab w:val="left" w:pos="1800"/>
        <w:tab w:val="right" w:pos="9360"/>
      </w:tabs>
      <w:spacing w:after="0"/>
    </w:pPr>
    <w:rPr>
      <w:rFonts w:ascii="Arial" w:hAnsi="Arial"/>
      <w:b/>
    </w:rPr>
  </w:style>
  <w:style w:type="paragraph" w:styleId="TOC9">
    <w:name w:val="toc 9"/>
    <w:basedOn w:val="TOC8"/>
    <w:semiHidden/>
    <w:rsid w:val="001812D2"/>
    <w:pPr>
      <w:ind w:left="1418" w:hanging="1418"/>
    </w:pPr>
  </w:style>
  <w:style w:type="paragraph" w:styleId="TOC6">
    <w:name w:val="toc 6"/>
    <w:basedOn w:val="TOC5"/>
    <w:next w:val="Normal"/>
    <w:semiHidden/>
    <w:rsid w:val="001812D2"/>
    <w:pPr>
      <w:ind w:left="1985" w:hanging="1985"/>
    </w:pPr>
  </w:style>
  <w:style w:type="paragraph" w:styleId="TOC7">
    <w:name w:val="toc 7"/>
    <w:basedOn w:val="TOC6"/>
    <w:next w:val="Normal"/>
    <w:semiHidden/>
    <w:rsid w:val="001812D2"/>
    <w:pPr>
      <w:ind w:left="2268" w:hanging="2268"/>
    </w:pPr>
  </w:style>
  <w:style w:type="paragraph" w:styleId="ListBullet2">
    <w:name w:val="List Bullet 2"/>
    <w:basedOn w:val="ListBullet"/>
    <w:rsid w:val="001812D2"/>
    <w:pPr>
      <w:numPr>
        <w:numId w:val="6"/>
      </w:numPr>
    </w:pPr>
  </w:style>
  <w:style w:type="paragraph" w:styleId="ListBullet">
    <w:name w:val="List Bullet"/>
    <w:basedOn w:val="BodyText"/>
    <w:rsid w:val="001812D2"/>
    <w:pPr>
      <w:numPr>
        <w:numId w:val="5"/>
      </w:numPr>
    </w:pPr>
  </w:style>
  <w:style w:type="paragraph" w:styleId="ListBullet3">
    <w:name w:val="List Bullet 3"/>
    <w:basedOn w:val="ListBullet2"/>
    <w:rsid w:val="001812D2"/>
    <w:pPr>
      <w:numPr>
        <w:numId w:val="7"/>
      </w:numPr>
    </w:pPr>
  </w:style>
  <w:style w:type="paragraph" w:customStyle="1" w:styleId="EQ">
    <w:name w:val="EQ"/>
    <w:basedOn w:val="Normal"/>
    <w:next w:val="Normal"/>
    <w:rsid w:val="001812D2"/>
    <w:pPr>
      <w:keepLines/>
      <w:tabs>
        <w:tab w:val="center" w:pos="4536"/>
        <w:tab w:val="right" w:pos="9072"/>
      </w:tabs>
      <w:spacing w:after="180"/>
      <w:jc w:val="left"/>
    </w:pPr>
    <w:rPr>
      <w:noProof/>
      <w:lang w:eastAsia="en-US"/>
    </w:rPr>
  </w:style>
  <w:style w:type="paragraph" w:styleId="List2">
    <w:name w:val="List 2"/>
    <w:basedOn w:val="List"/>
    <w:rsid w:val="001812D2"/>
    <w:pPr>
      <w:ind w:left="851"/>
    </w:pPr>
  </w:style>
  <w:style w:type="paragraph" w:styleId="List3">
    <w:name w:val="List 3"/>
    <w:basedOn w:val="List2"/>
    <w:rsid w:val="001812D2"/>
    <w:pPr>
      <w:ind w:left="1135"/>
    </w:pPr>
  </w:style>
  <w:style w:type="paragraph" w:styleId="List4">
    <w:name w:val="List 4"/>
    <w:basedOn w:val="List3"/>
    <w:rsid w:val="001812D2"/>
    <w:pPr>
      <w:ind w:left="1418"/>
    </w:pPr>
  </w:style>
  <w:style w:type="paragraph" w:styleId="List5">
    <w:name w:val="List 5"/>
    <w:basedOn w:val="List4"/>
    <w:rsid w:val="001812D2"/>
    <w:pPr>
      <w:ind w:left="1702"/>
    </w:pPr>
  </w:style>
  <w:style w:type="paragraph" w:customStyle="1" w:styleId="EditorsNote">
    <w:name w:val="Editor's Note"/>
    <w:basedOn w:val="Normal"/>
    <w:rsid w:val="001812D2"/>
    <w:pPr>
      <w:keepLines/>
      <w:spacing w:after="180"/>
      <w:ind w:left="1135" w:hanging="851"/>
      <w:jc w:val="left"/>
    </w:pPr>
    <w:rPr>
      <w:color w:val="FF0000"/>
      <w:lang w:eastAsia="en-US"/>
    </w:rPr>
  </w:style>
  <w:style w:type="paragraph" w:styleId="ListBullet4">
    <w:name w:val="List Bullet 4"/>
    <w:basedOn w:val="ListBullet3"/>
    <w:rsid w:val="001812D2"/>
    <w:pPr>
      <w:numPr>
        <w:numId w:val="8"/>
      </w:numPr>
    </w:pPr>
  </w:style>
  <w:style w:type="paragraph" w:styleId="ListBullet5">
    <w:name w:val="List Bullet 5"/>
    <w:basedOn w:val="ListBullet4"/>
    <w:rsid w:val="001812D2"/>
    <w:pPr>
      <w:numPr>
        <w:numId w:val="4"/>
      </w:numPr>
    </w:pPr>
  </w:style>
  <w:style w:type="paragraph" w:styleId="Footer">
    <w:name w:val="footer"/>
    <w:basedOn w:val="Header"/>
    <w:semiHidden/>
    <w:rsid w:val="001812D2"/>
    <w:pPr>
      <w:jc w:val="center"/>
    </w:pPr>
    <w:rPr>
      <w:i/>
      <w:iCs/>
    </w:rPr>
  </w:style>
  <w:style w:type="paragraph" w:customStyle="1" w:styleId="Reference">
    <w:name w:val="Reference"/>
    <w:basedOn w:val="Normal"/>
    <w:qFormat/>
    <w:rsid w:val="001812D2"/>
    <w:pPr>
      <w:numPr>
        <w:numId w:val="2"/>
      </w:numPr>
    </w:pPr>
  </w:style>
  <w:style w:type="paragraph" w:styleId="BalloonText">
    <w:name w:val="Balloon Text"/>
    <w:basedOn w:val="Normal"/>
    <w:semiHidden/>
    <w:rsid w:val="001812D2"/>
    <w:rPr>
      <w:rFonts w:ascii="Tahoma" w:hAnsi="Tahoma" w:cs="Tahoma"/>
      <w:sz w:val="16"/>
      <w:szCs w:val="16"/>
    </w:rPr>
  </w:style>
  <w:style w:type="character" w:styleId="PageNumber">
    <w:name w:val="page number"/>
    <w:basedOn w:val="DefaultParagraphFont"/>
    <w:semiHidden/>
    <w:rsid w:val="001812D2"/>
  </w:style>
  <w:style w:type="paragraph" w:styleId="BodyText">
    <w:name w:val="Body Text"/>
    <w:basedOn w:val="Normal"/>
    <w:link w:val="BodyTextChar"/>
    <w:qFormat/>
    <w:rsid w:val="001812D2"/>
  </w:style>
  <w:style w:type="character" w:styleId="Hyperlink">
    <w:name w:val="Hyperlink"/>
    <w:uiPriority w:val="99"/>
    <w:rsid w:val="001812D2"/>
    <w:rPr>
      <w:color w:val="0000FF"/>
      <w:u w:val="single"/>
      <w:lang w:val="en-GB"/>
    </w:rPr>
  </w:style>
  <w:style w:type="character" w:styleId="FollowedHyperlink">
    <w:name w:val="FollowedHyperlink"/>
    <w:semiHidden/>
    <w:rsid w:val="001812D2"/>
    <w:rPr>
      <w:color w:val="FF0000"/>
      <w:u w:val="single"/>
    </w:rPr>
  </w:style>
  <w:style w:type="character" w:styleId="CommentReference">
    <w:name w:val="annotation reference"/>
    <w:semiHidden/>
    <w:rsid w:val="001812D2"/>
    <w:rPr>
      <w:sz w:val="16"/>
      <w:szCs w:val="16"/>
    </w:rPr>
  </w:style>
  <w:style w:type="paragraph" w:styleId="CommentText">
    <w:name w:val="annotation text"/>
    <w:basedOn w:val="Normal"/>
    <w:link w:val="CommentTextChar"/>
    <w:semiHidden/>
    <w:rsid w:val="001812D2"/>
  </w:style>
  <w:style w:type="paragraph" w:styleId="CommentSubject">
    <w:name w:val="annotation subject"/>
    <w:basedOn w:val="CommentText"/>
    <w:next w:val="CommentText"/>
    <w:semiHidden/>
    <w:rsid w:val="001812D2"/>
    <w:rPr>
      <w:b/>
      <w:bCs/>
    </w:rPr>
  </w:style>
  <w:style w:type="character" w:customStyle="1" w:styleId="Heading1Char">
    <w:name w:val="Heading 1 Char"/>
    <w:link w:val="Heading1"/>
    <w:rsid w:val="001812D2"/>
    <w:rPr>
      <w:rFonts w:ascii="Arial" w:hAnsi="Arial" w:cs="Arial"/>
      <w:sz w:val="32"/>
      <w:szCs w:val="36"/>
      <w:lang w:val="en-GB" w:eastAsia="zh-CN"/>
    </w:rPr>
  </w:style>
  <w:style w:type="paragraph" w:customStyle="1" w:styleId="B1">
    <w:name w:val="B1"/>
    <w:basedOn w:val="List"/>
    <w:rsid w:val="001812D2"/>
    <w:pPr>
      <w:spacing w:after="180"/>
      <w:jc w:val="left"/>
    </w:pPr>
    <w:rPr>
      <w:lang w:eastAsia="en-US"/>
    </w:rPr>
  </w:style>
  <w:style w:type="paragraph" w:customStyle="1" w:styleId="B2">
    <w:name w:val="B2"/>
    <w:basedOn w:val="List2"/>
    <w:rsid w:val="001812D2"/>
    <w:pPr>
      <w:spacing w:after="180"/>
      <w:jc w:val="left"/>
    </w:pPr>
    <w:rPr>
      <w:lang w:eastAsia="en-US"/>
    </w:rPr>
  </w:style>
  <w:style w:type="paragraph" w:customStyle="1" w:styleId="B3">
    <w:name w:val="B3"/>
    <w:basedOn w:val="List3"/>
    <w:rsid w:val="001812D2"/>
    <w:pPr>
      <w:spacing w:after="180"/>
      <w:jc w:val="left"/>
    </w:pPr>
    <w:rPr>
      <w:lang w:eastAsia="en-US"/>
    </w:rPr>
  </w:style>
  <w:style w:type="paragraph" w:customStyle="1" w:styleId="B4">
    <w:name w:val="B4"/>
    <w:basedOn w:val="List4"/>
    <w:rsid w:val="001812D2"/>
    <w:pPr>
      <w:spacing w:after="180"/>
      <w:jc w:val="left"/>
    </w:pPr>
    <w:rPr>
      <w:lang w:eastAsia="en-US"/>
    </w:rPr>
  </w:style>
  <w:style w:type="paragraph" w:customStyle="1" w:styleId="Proposal">
    <w:name w:val="Proposal"/>
    <w:basedOn w:val="Normal"/>
    <w:qFormat/>
    <w:rsid w:val="001812D2"/>
    <w:pPr>
      <w:numPr>
        <w:numId w:val="3"/>
      </w:numPr>
      <w:tabs>
        <w:tab w:val="clear" w:pos="1304"/>
        <w:tab w:val="left" w:pos="1701"/>
      </w:tabs>
      <w:ind w:left="1701" w:hanging="1701"/>
    </w:pPr>
    <w:rPr>
      <w:b/>
      <w:bCs/>
    </w:rPr>
  </w:style>
  <w:style w:type="character" w:customStyle="1" w:styleId="BodyTextChar">
    <w:name w:val="Body Text Char"/>
    <w:link w:val="BodyText"/>
    <w:rsid w:val="001812D2"/>
    <w:rPr>
      <w:rFonts w:ascii="Times New Roman" w:hAnsi="Times New Roman"/>
      <w:lang w:val="en-GB" w:eastAsia="zh-CN"/>
    </w:rPr>
  </w:style>
  <w:style w:type="paragraph" w:customStyle="1" w:styleId="B5">
    <w:name w:val="B5"/>
    <w:basedOn w:val="List5"/>
    <w:rsid w:val="001812D2"/>
    <w:pPr>
      <w:spacing w:after="180"/>
      <w:jc w:val="left"/>
    </w:pPr>
    <w:rPr>
      <w:lang w:eastAsia="en-US"/>
    </w:rPr>
  </w:style>
  <w:style w:type="paragraph" w:customStyle="1" w:styleId="EX">
    <w:name w:val="EX"/>
    <w:basedOn w:val="Normal"/>
    <w:rsid w:val="001812D2"/>
    <w:pPr>
      <w:keepLines/>
      <w:spacing w:after="180"/>
      <w:ind w:left="1702" w:hanging="1418"/>
      <w:jc w:val="left"/>
    </w:pPr>
    <w:rPr>
      <w:lang w:eastAsia="en-US"/>
    </w:rPr>
  </w:style>
  <w:style w:type="paragraph" w:customStyle="1" w:styleId="EW">
    <w:name w:val="EW"/>
    <w:basedOn w:val="EX"/>
    <w:rsid w:val="001812D2"/>
    <w:pPr>
      <w:spacing w:after="0"/>
    </w:pPr>
  </w:style>
  <w:style w:type="paragraph" w:customStyle="1" w:styleId="TAL">
    <w:name w:val="TAL"/>
    <w:basedOn w:val="Normal"/>
    <w:rsid w:val="001812D2"/>
    <w:pPr>
      <w:keepNext/>
      <w:keepLines/>
      <w:spacing w:after="0"/>
      <w:jc w:val="left"/>
    </w:pPr>
    <w:rPr>
      <w:sz w:val="18"/>
      <w:lang w:eastAsia="en-US"/>
    </w:rPr>
  </w:style>
  <w:style w:type="paragraph" w:customStyle="1" w:styleId="TAC">
    <w:name w:val="TAC"/>
    <w:basedOn w:val="TAL"/>
    <w:rsid w:val="001812D2"/>
    <w:pPr>
      <w:jc w:val="center"/>
    </w:pPr>
  </w:style>
  <w:style w:type="paragraph" w:customStyle="1" w:styleId="TAH">
    <w:name w:val="TAH"/>
    <w:basedOn w:val="TAC"/>
    <w:rsid w:val="001812D2"/>
    <w:rPr>
      <w:b/>
    </w:rPr>
  </w:style>
  <w:style w:type="paragraph" w:customStyle="1" w:styleId="TAN">
    <w:name w:val="TAN"/>
    <w:basedOn w:val="TAL"/>
    <w:rsid w:val="001812D2"/>
    <w:pPr>
      <w:ind w:left="851" w:hanging="851"/>
    </w:pPr>
  </w:style>
  <w:style w:type="paragraph" w:customStyle="1" w:styleId="TAR">
    <w:name w:val="TAR"/>
    <w:basedOn w:val="TAL"/>
    <w:rsid w:val="001812D2"/>
    <w:pPr>
      <w:jc w:val="right"/>
    </w:pPr>
  </w:style>
  <w:style w:type="paragraph" w:customStyle="1" w:styleId="TH">
    <w:name w:val="TH"/>
    <w:basedOn w:val="Normal"/>
    <w:rsid w:val="001812D2"/>
    <w:pPr>
      <w:keepNext/>
      <w:keepLines/>
      <w:spacing w:before="60" w:after="180"/>
      <w:jc w:val="center"/>
    </w:pPr>
    <w:rPr>
      <w:b/>
      <w:lang w:eastAsia="en-US"/>
    </w:rPr>
  </w:style>
  <w:style w:type="paragraph" w:customStyle="1" w:styleId="TF">
    <w:name w:val="TF"/>
    <w:basedOn w:val="TH"/>
    <w:rsid w:val="001812D2"/>
    <w:pPr>
      <w:keepNext w:val="0"/>
      <w:spacing w:before="0" w:after="240"/>
    </w:pPr>
  </w:style>
  <w:style w:type="paragraph" w:customStyle="1" w:styleId="TT">
    <w:name w:val="TT"/>
    <w:basedOn w:val="Heading1"/>
    <w:next w:val="Normal"/>
    <w:rsid w:val="001812D2"/>
    <w:pPr>
      <w:numPr>
        <w:numId w:val="0"/>
      </w:numPr>
      <w:ind w:left="1134" w:hanging="1134"/>
      <w:outlineLvl w:val="9"/>
    </w:pPr>
    <w:rPr>
      <w:rFonts w:cs="Times New Roman"/>
      <w:szCs w:val="20"/>
      <w:lang w:eastAsia="en-US"/>
    </w:rPr>
  </w:style>
  <w:style w:type="paragraph" w:customStyle="1" w:styleId="ZA">
    <w:name w:val="ZA"/>
    <w:rsid w:val="001812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2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12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12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12D2"/>
  </w:style>
  <w:style w:type="paragraph" w:customStyle="1" w:styleId="ZH">
    <w:name w:val="ZH"/>
    <w:rsid w:val="001812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12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12D2"/>
    <w:pPr>
      <w:framePr w:hRule="auto" w:wrap="notBeside" w:y="852"/>
    </w:pPr>
    <w:rPr>
      <w:i w:val="0"/>
      <w:sz w:val="40"/>
    </w:rPr>
  </w:style>
  <w:style w:type="paragraph" w:customStyle="1" w:styleId="ZU">
    <w:name w:val="ZU"/>
    <w:rsid w:val="001812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12D2"/>
    <w:pPr>
      <w:framePr w:wrap="notBeside" w:y="16161"/>
    </w:pPr>
  </w:style>
  <w:style w:type="paragraph" w:customStyle="1" w:styleId="FP">
    <w:name w:val="FP"/>
    <w:basedOn w:val="Normal"/>
    <w:rsid w:val="001812D2"/>
    <w:pPr>
      <w:spacing w:after="0"/>
      <w:jc w:val="left"/>
    </w:pPr>
    <w:rPr>
      <w:lang w:eastAsia="en-US"/>
    </w:rPr>
  </w:style>
  <w:style w:type="paragraph" w:customStyle="1" w:styleId="Observation">
    <w:name w:val="Observation"/>
    <w:basedOn w:val="Proposal"/>
    <w:qFormat/>
    <w:rsid w:val="001812D2"/>
    <w:pPr>
      <w:numPr>
        <w:numId w:val="13"/>
      </w:numPr>
      <w:ind w:left="1701" w:hanging="1701"/>
    </w:pPr>
  </w:style>
  <w:style w:type="paragraph" w:styleId="TableofFigures">
    <w:name w:val="table of figures"/>
    <w:basedOn w:val="Normal"/>
    <w:next w:val="Normal"/>
    <w:uiPriority w:val="99"/>
    <w:rsid w:val="001812D2"/>
    <w:pPr>
      <w:ind w:left="1418" w:hanging="1418"/>
      <w:jc w:val="left"/>
    </w:pPr>
    <w:rPr>
      <w:b/>
    </w:rPr>
  </w:style>
  <w:style w:type="paragraph" w:styleId="Index4">
    <w:name w:val="index 4"/>
    <w:basedOn w:val="Normal"/>
    <w:next w:val="Normal"/>
    <w:autoRedefine/>
    <w:rsid w:val="001812D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5C7B7-A690-4FB3-B05B-48A504B96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359</TotalTime>
  <Pages>4</Pages>
  <Words>1238</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Mattias Frenne</cp:lastModifiedBy>
  <cp:revision>38</cp:revision>
  <cp:lastPrinted>2008-01-31T15:09:00Z</cp:lastPrinted>
  <dcterms:created xsi:type="dcterms:W3CDTF">2016-10-25T10:37:00Z</dcterms:created>
  <dcterms:modified xsi:type="dcterms:W3CDTF">2017-03-24T16:36:00Z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