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CADBE" w14:textId="2D21A55A" w:rsidR="00996215" w:rsidRPr="00605656" w:rsidRDefault="00996215" w:rsidP="00996215">
      <w:pPr>
        <w:pStyle w:val="3GPPHeader"/>
        <w:spacing w:after="60"/>
        <w:rPr>
          <w:sz w:val="32"/>
          <w:szCs w:val="32"/>
          <w:lang w:val="en-US"/>
        </w:rPr>
      </w:pPr>
      <w:r w:rsidRPr="00605656">
        <w:rPr>
          <w:lang w:val="en-US"/>
        </w:rPr>
        <w:t>3GPP TSG-RAN WG1 #88</w:t>
      </w:r>
      <w:r w:rsidR="001504B9">
        <w:rPr>
          <w:lang w:val="en-US"/>
        </w:rPr>
        <w:t>bis</w:t>
      </w:r>
      <w:r w:rsidRPr="00605656">
        <w:rPr>
          <w:lang w:val="en-US"/>
        </w:rPr>
        <w:tab/>
      </w:r>
      <w:r w:rsidRPr="00605656">
        <w:rPr>
          <w:sz w:val="32"/>
          <w:szCs w:val="32"/>
          <w:lang w:val="en-US"/>
        </w:rPr>
        <w:t>R1-</w:t>
      </w:r>
      <w:r w:rsidR="001504B9" w:rsidRPr="00605656">
        <w:rPr>
          <w:sz w:val="32"/>
          <w:szCs w:val="32"/>
          <w:lang w:val="en-US"/>
        </w:rPr>
        <w:t>17</w:t>
      </w:r>
      <w:r w:rsidR="00112C36">
        <w:rPr>
          <w:sz w:val="32"/>
          <w:szCs w:val="32"/>
          <w:lang w:val="en-US"/>
        </w:rPr>
        <w:t>05799</w:t>
      </w:r>
    </w:p>
    <w:p w14:paraId="4EF21A67" w14:textId="672A8738" w:rsidR="00996215" w:rsidRPr="00481C4B" w:rsidRDefault="001504B9" w:rsidP="00996215">
      <w:pPr>
        <w:pStyle w:val="CRCoverPage"/>
        <w:outlineLvl w:val="0"/>
        <w:rPr>
          <w:b/>
          <w:noProof/>
          <w:sz w:val="24"/>
        </w:rPr>
      </w:pPr>
      <w:r>
        <w:rPr>
          <w:b/>
          <w:noProof/>
          <w:sz w:val="24"/>
        </w:rPr>
        <w:t>Spokane</w:t>
      </w:r>
      <w:r w:rsidR="00996215" w:rsidRPr="00481C4B">
        <w:rPr>
          <w:b/>
          <w:noProof/>
          <w:sz w:val="24"/>
        </w:rPr>
        <w:t xml:space="preserve">, </w:t>
      </w:r>
      <w:r>
        <w:rPr>
          <w:b/>
          <w:noProof/>
          <w:sz w:val="24"/>
        </w:rPr>
        <w:t>US</w:t>
      </w:r>
      <w:r w:rsidR="00996215" w:rsidRPr="00481C4B">
        <w:rPr>
          <w:b/>
          <w:noProof/>
          <w:sz w:val="24"/>
        </w:rPr>
        <w:t>, 3</w:t>
      </w:r>
      <w:r>
        <w:rPr>
          <w:b/>
          <w:noProof/>
          <w:sz w:val="24"/>
          <w:vertAlign w:val="superscript"/>
        </w:rPr>
        <w:t>rd</w:t>
      </w:r>
      <w:r w:rsidR="00996215" w:rsidRPr="00481C4B">
        <w:rPr>
          <w:b/>
          <w:noProof/>
          <w:sz w:val="24"/>
        </w:rPr>
        <w:t>- 7</w:t>
      </w:r>
      <w:r w:rsidR="00996215" w:rsidRPr="00481C4B">
        <w:rPr>
          <w:b/>
          <w:noProof/>
          <w:sz w:val="24"/>
          <w:vertAlign w:val="superscript"/>
        </w:rPr>
        <w:t>th</w:t>
      </w:r>
      <w:r w:rsidR="00996215" w:rsidRPr="00481C4B">
        <w:rPr>
          <w:b/>
          <w:noProof/>
          <w:sz w:val="24"/>
        </w:rPr>
        <w:t xml:space="preserve"> </w:t>
      </w:r>
      <w:r>
        <w:rPr>
          <w:b/>
          <w:noProof/>
          <w:sz w:val="24"/>
        </w:rPr>
        <w:t>April</w:t>
      </w:r>
      <w:r w:rsidRPr="00481C4B">
        <w:rPr>
          <w:b/>
          <w:noProof/>
          <w:sz w:val="24"/>
        </w:rPr>
        <w:t xml:space="preserve"> </w:t>
      </w:r>
      <w:r w:rsidR="00996215" w:rsidRPr="00481C4B">
        <w:rPr>
          <w:b/>
          <w:noProof/>
          <w:sz w:val="24"/>
        </w:rPr>
        <w:t>2017</w:t>
      </w:r>
    </w:p>
    <w:p w14:paraId="38EBCD17" w14:textId="77777777" w:rsidR="003D21E9" w:rsidRPr="00481C4B" w:rsidRDefault="003D21E9" w:rsidP="00316345">
      <w:pPr>
        <w:pStyle w:val="Header"/>
        <w:tabs>
          <w:tab w:val="clear" w:pos="4536"/>
          <w:tab w:val="left" w:pos="1800"/>
        </w:tabs>
        <w:ind w:left="1800" w:hanging="1800"/>
        <w:rPr>
          <w:lang w:val="en-GB"/>
        </w:rPr>
      </w:pPr>
    </w:p>
    <w:p w14:paraId="4927C5DE" w14:textId="77777777" w:rsidR="003D21E9" w:rsidRPr="00481C4B" w:rsidRDefault="003D21E9" w:rsidP="00316345">
      <w:pPr>
        <w:pStyle w:val="Header"/>
        <w:tabs>
          <w:tab w:val="clear" w:pos="4536"/>
          <w:tab w:val="left" w:pos="1800"/>
        </w:tabs>
        <w:ind w:left="1800" w:hanging="1800"/>
      </w:pPr>
    </w:p>
    <w:p w14:paraId="15DEBFAD" w14:textId="77777777" w:rsidR="006A5FD2" w:rsidRPr="00481C4B" w:rsidRDefault="006A5FD2" w:rsidP="00316345">
      <w:pPr>
        <w:pStyle w:val="Header"/>
        <w:tabs>
          <w:tab w:val="clear" w:pos="4536"/>
          <w:tab w:val="left" w:pos="1800"/>
        </w:tabs>
        <w:ind w:left="1800" w:hanging="1800"/>
      </w:pPr>
      <w:r w:rsidRPr="00481C4B">
        <w:t xml:space="preserve">Source: </w:t>
      </w:r>
      <w:r w:rsidRPr="00481C4B">
        <w:tab/>
        <w:t>Ericsson</w:t>
      </w:r>
    </w:p>
    <w:p w14:paraId="1D6C0426" w14:textId="77777777" w:rsidR="006A5FD2" w:rsidRPr="00481C4B" w:rsidRDefault="006A5FD2" w:rsidP="00316345">
      <w:pPr>
        <w:pStyle w:val="Header"/>
        <w:tabs>
          <w:tab w:val="clear" w:pos="4536"/>
          <w:tab w:val="left" w:pos="1800"/>
        </w:tabs>
        <w:ind w:left="1800" w:hanging="1800"/>
      </w:pPr>
      <w:r w:rsidRPr="00481C4B">
        <w:t>Title:</w:t>
      </w:r>
      <w:r w:rsidRPr="00481C4B">
        <w:tab/>
        <w:t>On Physical Layer Design Policies for Unlicensed Operation of NR</w:t>
      </w:r>
    </w:p>
    <w:p w14:paraId="53E7F767" w14:textId="65924C54" w:rsidR="006A5FD2" w:rsidRPr="00481C4B" w:rsidRDefault="006A5FD2" w:rsidP="00316345">
      <w:pPr>
        <w:pStyle w:val="Header"/>
        <w:tabs>
          <w:tab w:val="clear" w:pos="4536"/>
          <w:tab w:val="left" w:pos="1800"/>
        </w:tabs>
        <w:ind w:left="1800" w:hanging="1800"/>
      </w:pPr>
      <w:r w:rsidRPr="00481C4B">
        <w:t>Agenda Item:</w:t>
      </w:r>
      <w:r w:rsidRPr="00481C4B">
        <w:tab/>
      </w:r>
      <w:r w:rsidR="00481C4B" w:rsidRPr="00481C4B">
        <w:t>8.</w:t>
      </w:r>
      <w:r w:rsidR="001504B9">
        <w:t>2</w:t>
      </w:r>
    </w:p>
    <w:p w14:paraId="050AFCD8" w14:textId="77777777" w:rsidR="008F3B8E" w:rsidRDefault="006A5FD2" w:rsidP="008F3B8E">
      <w:pPr>
        <w:pStyle w:val="Header"/>
        <w:tabs>
          <w:tab w:val="clear" w:pos="4536"/>
          <w:tab w:val="left" w:pos="1800"/>
        </w:tabs>
        <w:ind w:left="1800" w:hanging="1800"/>
      </w:pPr>
      <w:r w:rsidRPr="00481C4B">
        <w:t xml:space="preserve">Document for: </w:t>
      </w:r>
      <w:r w:rsidRPr="00481C4B">
        <w:tab/>
        <w:t>Discussion and Decision</w:t>
      </w:r>
    </w:p>
    <w:p w14:paraId="11929674" w14:textId="77777777" w:rsidR="008F3B8E" w:rsidRPr="008F3B8E" w:rsidRDefault="008F3B8E" w:rsidP="008F3B8E">
      <w:pPr>
        <w:pStyle w:val="Header"/>
        <w:tabs>
          <w:tab w:val="clear" w:pos="4536"/>
          <w:tab w:val="left" w:pos="1800"/>
        </w:tabs>
        <w:ind w:left="1800" w:hanging="1800"/>
      </w:pPr>
      <w:r>
        <w:t>_____________________________________________________________________________________</w:t>
      </w:r>
    </w:p>
    <w:p w14:paraId="3FA2AB85" w14:textId="77777777" w:rsidR="006A5FD2" w:rsidRDefault="006A5FD2" w:rsidP="006A5FD2">
      <w:pPr>
        <w:pStyle w:val="Heading1"/>
      </w:pPr>
      <w:r w:rsidRPr="003178F4">
        <w:t>Introduction</w:t>
      </w:r>
    </w:p>
    <w:p w14:paraId="5E9ADCD0" w14:textId="5E5F267D"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At RAN-</w:t>
      </w:r>
      <w:r w:rsidR="00605656">
        <w:t xml:space="preserve">75 a new study item RP-170828 on NR-based Access to Unlicensed Spectrum was approved, </w:t>
      </w:r>
      <w:r w:rsidR="001504B9">
        <w:t>and</w:t>
      </w:r>
      <w:r w:rsidR="00605656">
        <w:t xml:space="preserve"> work </w:t>
      </w:r>
      <w:r w:rsidR="001504B9">
        <w:t>will</w:t>
      </w:r>
      <w:r w:rsidR="00605656">
        <w:t xml:space="preserve"> start </w:t>
      </w:r>
      <w:r w:rsidR="001504B9">
        <w:t>in</w:t>
      </w:r>
      <w:r w:rsidR="00605656">
        <w:t xml:space="preserve"> RAN1#90</w:t>
      </w:r>
      <w:r w:rsidR="000735B5">
        <w:t xml:space="preserve">. </w:t>
      </w:r>
      <w:r w:rsidR="001504B9">
        <w:t>Meanwhile</w:t>
      </w:r>
      <w:r w:rsidR="000735B5">
        <w:t xml:space="preserve">, future compatibility for support of unlicensed spectrum shall be verified and confirmed. </w:t>
      </w:r>
    </w:p>
    <w:p w14:paraId="76160D0C" w14:textId="77777777"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14:paraId="46FF7E5E" w14:textId="77777777" w:rsidR="006A5FD2" w:rsidRDefault="006A5FD2" w:rsidP="006A5FD2">
      <w:pPr>
        <w:pStyle w:val="Heading1"/>
      </w:pPr>
      <w:r>
        <w:t xml:space="preserve">Discussion </w:t>
      </w:r>
    </w:p>
    <w:p w14:paraId="529FC379" w14:textId="77777777"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561AE54D" w14:textId="77777777"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14:paraId="60DBADD6" w14:textId="77777777" w:rsidR="006A5FD2" w:rsidRPr="00E90669" w:rsidRDefault="006A5FD2" w:rsidP="006A5FD2">
      <w:pPr>
        <w:pStyle w:val="BodyText"/>
        <w:rPr>
          <w:szCs w:val="22"/>
        </w:rPr>
      </w:pPr>
    </w:p>
    <w:p w14:paraId="66A8D60A" w14:textId="77777777"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upon the coexistence and spectrum sharing mechanisms within the regulatory requirements. Various physical layer factors may impact the channel sharing performance of NR, such as the TTI length, number of opportunities to checking for channel access within on</w:t>
      </w:r>
      <w:bookmarkStart w:id="0" w:name="_GoBack"/>
      <w:bookmarkEnd w:id="0"/>
      <w:r w:rsidRPr="00E90669">
        <w:rPr>
          <w:szCs w:val="22"/>
        </w:rPr>
        <w:t xml:space="preserve">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14:paraId="76281BAA"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14:paraId="7BBA4762" w14:textId="77777777" w:rsidR="006A5FD2" w:rsidRPr="00E90669" w:rsidRDefault="006A5FD2" w:rsidP="006A5FD2">
      <w:pPr>
        <w:pStyle w:val="BodyText"/>
        <w:rPr>
          <w:szCs w:val="22"/>
        </w:rPr>
      </w:pPr>
    </w:p>
    <w:p w14:paraId="345179E8" w14:textId="4A638F0A" w:rsidR="006A5FD2" w:rsidRPr="00E90669" w:rsidRDefault="006A5FD2" w:rsidP="006A5FD2">
      <w:pPr>
        <w:pStyle w:val="BodyText"/>
        <w:rPr>
          <w:szCs w:val="22"/>
        </w:rPr>
      </w:pPr>
      <w:r w:rsidRPr="00E90669">
        <w:rPr>
          <w:szCs w:val="22"/>
        </w:rPr>
        <w:t xml:space="preserve">For NR, there are several </w:t>
      </w:r>
      <w:r w:rsidR="002C7279">
        <w:rPr>
          <w:szCs w:val="22"/>
        </w:rPr>
        <w:t xml:space="preserve">types </w:t>
      </w:r>
      <w:r w:rsidRPr="00E90669">
        <w:rPr>
          <w:szCs w:val="22"/>
        </w:rPr>
        <w:t xml:space="preserve">of physical control information such as DCI, UCI (HARQ A/N, CSI feedback and SR), which may be carried by different types of physical channels or channel formats in different conditions. </w:t>
      </w:r>
    </w:p>
    <w:p w14:paraId="34BE8423" w14:textId="77777777"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14:paraId="0BDFF7CD" w14:textId="77777777"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14:paraId="2A323915" w14:textId="77777777"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14:paraId="63C4AAA7" w14:textId="77777777" w:rsidR="006A5FD2" w:rsidRPr="00E90669" w:rsidRDefault="006A5FD2" w:rsidP="006A5FD2">
      <w:pPr>
        <w:pStyle w:val="BodyText"/>
        <w:numPr>
          <w:ilvl w:val="0"/>
          <w:numId w:val="43"/>
        </w:numPr>
        <w:rPr>
          <w:szCs w:val="22"/>
        </w:rPr>
      </w:pPr>
      <w:r w:rsidRPr="00E90669">
        <w:rPr>
          <w:szCs w:val="22"/>
        </w:rPr>
        <w:t>There is no licensed carrier for a particular operator</w:t>
      </w:r>
    </w:p>
    <w:p w14:paraId="0AD3A236" w14:textId="77777777"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14:paraId="7402A76A" w14:textId="5DC4AD15"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w:t>
      </w:r>
      <w:r w:rsidR="002C7279">
        <w:rPr>
          <w:szCs w:val="22"/>
        </w:rPr>
        <w:t>gNB</w:t>
      </w:r>
      <w:r w:rsidR="002C7279" w:rsidRPr="00E90669">
        <w:rPr>
          <w:szCs w:val="22"/>
        </w:rPr>
        <w:t xml:space="preserve"> </w:t>
      </w:r>
      <w:r w:rsidRPr="00E90669">
        <w:rPr>
          <w:szCs w:val="22"/>
        </w:rPr>
        <w:t xml:space="preserve">using the channel acquired by means of LBT. Secondly, when the serving </w:t>
      </w:r>
      <w:r w:rsidR="002C7279">
        <w:rPr>
          <w:szCs w:val="22"/>
        </w:rPr>
        <w:t>gNB</w:t>
      </w:r>
      <w:r w:rsidR="002C7279" w:rsidRPr="00E90669">
        <w:rPr>
          <w:szCs w:val="22"/>
        </w:rPr>
        <w:t xml:space="preserve"> </w:t>
      </w:r>
      <w:r w:rsidRPr="00E90669">
        <w:rPr>
          <w:szCs w:val="22"/>
        </w:rPr>
        <w:t xml:space="preserve">receives the SR from the UE and determines to allocate UL grant to the UE, the </w:t>
      </w:r>
      <w:r w:rsidR="002C7279">
        <w:rPr>
          <w:szCs w:val="22"/>
        </w:rPr>
        <w:t>eNB</w:t>
      </w:r>
      <w:r w:rsidR="002C7279" w:rsidRPr="00E90669">
        <w:rPr>
          <w:szCs w:val="22"/>
        </w:rPr>
        <w:t xml:space="preserve"> </w:t>
      </w:r>
      <w:r w:rsidRPr="00E90669">
        <w:rPr>
          <w:szCs w:val="22"/>
        </w:rPr>
        <w:t xml:space="preserve">shall acquire the channel again by means of LBT. Thirdly, when the UE receives the UL grant, the UE may need to acquire the channel again for UL data transmission by means of LBT again. Lastly, the </w:t>
      </w:r>
      <w:r w:rsidR="002C7279">
        <w:rPr>
          <w:szCs w:val="22"/>
        </w:rPr>
        <w:t>gNB</w:t>
      </w:r>
      <w:r w:rsidR="002C7279" w:rsidRPr="00E90669">
        <w:rPr>
          <w:szCs w:val="22"/>
        </w:rPr>
        <w:t xml:space="preserve"> </w:t>
      </w:r>
      <w:r w:rsidRPr="00E90669">
        <w:rPr>
          <w:szCs w:val="22"/>
        </w:rPr>
        <w:t>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14:paraId="24DD7762" w14:textId="77777777" w:rsidR="006A5FD2" w:rsidRPr="00E90669" w:rsidRDefault="00FF3314" w:rsidP="006A5FD2">
      <w:pPr>
        <w:pStyle w:val="Style1"/>
        <w:numPr>
          <w:ilvl w:val="0"/>
          <w:numId w:val="44"/>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r w:rsidR="006A5FD2" w:rsidRPr="00E90669">
        <w:rPr>
          <w:rFonts w:ascii="Times New Roman" w:hAnsi="Times New Roman"/>
          <w:bCs w:val="0"/>
          <w:sz w:val="22"/>
          <w:szCs w:val="22"/>
          <w:lang w:val="en-US" w:eastAsia="en-US"/>
        </w:rPr>
        <w:t>.</w:t>
      </w:r>
    </w:p>
    <w:p w14:paraId="5F39B767" w14:textId="77777777" w:rsidR="006A5FD2" w:rsidRPr="00E90669" w:rsidRDefault="006A5FD2" w:rsidP="006A5FD2">
      <w:pPr>
        <w:pStyle w:val="BodyText"/>
        <w:rPr>
          <w:szCs w:val="22"/>
        </w:rPr>
      </w:pPr>
    </w:p>
    <w:p w14:paraId="443DCB3A" w14:textId="3912210E" w:rsidR="006A5FD2" w:rsidRPr="00E90669" w:rsidRDefault="006A5FD2" w:rsidP="006A5FD2">
      <w:pPr>
        <w:pStyle w:val="BodyText"/>
        <w:rPr>
          <w:szCs w:val="22"/>
        </w:rPr>
      </w:pPr>
      <w:r w:rsidRPr="00E90669">
        <w:rPr>
          <w:szCs w:val="22"/>
        </w:rPr>
        <w:t xml:space="preserve">It is expected that both </w:t>
      </w:r>
      <w:r w:rsidR="002C7279">
        <w:rPr>
          <w:szCs w:val="22"/>
        </w:rPr>
        <w:t>gNB</w:t>
      </w:r>
      <w:r w:rsidR="002C7279" w:rsidRPr="00E90669">
        <w:rPr>
          <w:szCs w:val="22"/>
        </w:rPr>
        <w:t xml:space="preserve"> </w:t>
      </w:r>
      <w:r w:rsidRPr="00E90669">
        <w:rPr>
          <w:szCs w:val="22"/>
        </w:rPr>
        <w:t xml:space="preserve">and UE will have many antenna elements (e.g. </w:t>
      </w:r>
      <w:r w:rsidR="002C7279">
        <w:rPr>
          <w:szCs w:val="22"/>
        </w:rPr>
        <w:t>gNB</w:t>
      </w:r>
      <w:r w:rsidR="002C7279" w:rsidRPr="00E90669">
        <w:rPr>
          <w:szCs w:val="22"/>
        </w:rPr>
        <w:t xml:space="preserve"> </w:t>
      </w:r>
      <w:r w:rsidRPr="00E90669">
        <w:rPr>
          <w:szCs w:val="22"/>
        </w:rPr>
        <w:t xml:space="preserve">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14:paraId="11AA3DA0" w14:textId="77777777"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14:paraId="4B0AD687" w14:textId="77777777"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14:paraId="79D4C3BE" w14:textId="77777777" w:rsidR="006A5FD2" w:rsidRPr="00E90669" w:rsidRDefault="006A5FD2" w:rsidP="006A5FD2">
      <w:pPr>
        <w:pStyle w:val="Style1"/>
        <w:rPr>
          <w:rFonts w:ascii="Times New Roman" w:hAnsi="Times New Roman"/>
          <w:b w:val="0"/>
          <w:bCs w:val="0"/>
          <w:sz w:val="22"/>
          <w:szCs w:val="22"/>
          <w:lang w:val="en-US" w:eastAsia="en-US"/>
        </w:rPr>
      </w:pPr>
    </w:p>
    <w:p w14:paraId="726653E5" w14:textId="77777777"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lastRenderedPageBreak/>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majority of the physical channel design and physical layer procedure design shall be shared between licensed operation and unlicensed operation in NR. The specific difference between licensed operation and unlicensed operation is better to be handled by respective parameter configurations and the complexity of those specific features for unlicensed operation shall be minimized.</w:t>
      </w:r>
    </w:p>
    <w:p w14:paraId="5AAD6C67"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14:paraId="4A24A121" w14:textId="77777777" w:rsidR="006A5FD2" w:rsidRPr="00E90669" w:rsidRDefault="006A5FD2" w:rsidP="006A5FD2">
      <w:pPr>
        <w:pStyle w:val="BodyText"/>
        <w:rPr>
          <w:szCs w:val="22"/>
        </w:rPr>
      </w:pPr>
    </w:p>
    <w:p w14:paraId="7A465689" w14:textId="77777777" w:rsidR="006A5FD2" w:rsidRPr="00E25B26" w:rsidRDefault="006A5FD2" w:rsidP="006A5FD2">
      <w:pPr>
        <w:pStyle w:val="BodyText"/>
      </w:pPr>
    </w:p>
    <w:p w14:paraId="7772C705" w14:textId="77777777" w:rsidR="006A5FD2" w:rsidRPr="0078286E" w:rsidRDefault="006A5FD2" w:rsidP="006A5FD2">
      <w:pPr>
        <w:pStyle w:val="cataloguelevel1"/>
        <w:rPr>
          <w:szCs w:val="24"/>
        </w:rPr>
      </w:pPr>
      <w:r>
        <w:t>Conclusion</w:t>
      </w:r>
    </w:p>
    <w:p w14:paraId="0949F166" w14:textId="77777777"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14:paraId="74BE7CCA" w14:textId="77777777"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14:paraId="4AC64E10"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14:paraId="34AD9F3E"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p>
    <w:p w14:paraId="03C2E8CA"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14:paraId="676949FF" w14:textId="77777777" w:rsidR="006A5FD2" w:rsidRDefault="006A5FD2" w:rsidP="006A5FD2">
      <w:pPr>
        <w:pStyle w:val="cataloguelevel1"/>
      </w:pPr>
      <w:r>
        <w:t>References</w:t>
      </w:r>
    </w:p>
    <w:p w14:paraId="4D48B9D1" w14:textId="779EEEB7" w:rsidR="006A5FD2" w:rsidRPr="00493A1A" w:rsidRDefault="006A5FD2" w:rsidP="00310173">
      <w:pPr>
        <w:pStyle w:val="BodyText"/>
        <w:numPr>
          <w:ilvl w:val="0"/>
          <w:numId w:val="13"/>
        </w:numPr>
        <w:rPr>
          <w:szCs w:val="22"/>
        </w:rPr>
      </w:pPr>
      <w:bookmarkStart w:id="1" w:name="_Ref442105324"/>
      <w:r w:rsidRPr="00493A1A">
        <w:rPr>
          <w:szCs w:val="22"/>
        </w:rPr>
        <w:t>R1-</w:t>
      </w:r>
      <w:r w:rsidR="001A2E27">
        <w:rPr>
          <w:szCs w:val="22"/>
        </w:rPr>
        <w:t>1</w:t>
      </w:r>
      <w:r w:rsidR="001A2E27">
        <w:rPr>
          <w:szCs w:val="22"/>
        </w:rPr>
        <w:t>705800</w:t>
      </w:r>
      <w:r w:rsidR="001A2E27">
        <w:rPr>
          <w:szCs w:val="22"/>
        </w:rPr>
        <w:t xml:space="preserve"> </w:t>
      </w:r>
      <w:r w:rsidRPr="00493A1A">
        <w:rPr>
          <w:szCs w:val="22"/>
        </w:rPr>
        <w:t>Technology components of unlicensed operation for NR</w:t>
      </w:r>
      <w:bookmarkEnd w:id="1"/>
      <w:r w:rsidR="00493A1A" w:rsidRPr="00493A1A">
        <w:rPr>
          <w:szCs w:val="22"/>
        </w:rPr>
        <w:t>, Ericsson</w:t>
      </w:r>
    </w:p>
    <w:p w14:paraId="7A0D5C44" w14:textId="0CF1D459" w:rsidR="00310173" w:rsidRDefault="006A5FD2" w:rsidP="00E75DCE">
      <w:pPr>
        <w:pStyle w:val="BodyText"/>
        <w:numPr>
          <w:ilvl w:val="0"/>
          <w:numId w:val="13"/>
        </w:numPr>
        <w:rPr>
          <w:szCs w:val="22"/>
          <w:lang w:eastAsia="ja-JP"/>
        </w:rPr>
      </w:pPr>
      <w:bookmarkStart w:id="2" w:name="_Ref458158393"/>
      <w:r w:rsidRPr="00310173">
        <w:rPr>
          <w:szCs w:val="22"/>
        </w:rPr>
        <w:t>R1-1</w:t>
      </w:r>
      <w:r w:rsidR="0036407D">
        <w:rPr>
          <w:szCs w:val="22"/>
        </w:rPr>
        <w:t>705797</w:t>
      </w:r>
      <w:r w:rsidR="00AC0F93">
        <w:rPr>
          <w:szCs w:val="22"/>
        </w:rPr>
        <w:t xml:space="preserve"> </w:t>
      </w:r>
      <w:r w:rsidRPr="00310173">
        <w:rPr>
          <w:szCs w:val="22"/>
        </w:rPr>
        <w:t>On channel access for NR in the unlicensed spectrum bands</w:t>
      </w:r>
      <w:bookmarkEnd w:id="2"/>
      <w:r w:rsidR="00493A1A" w:rsidRPr="00310173">
        <w:rPr>
          <w:szCs w:val="22"/>
        </w:rPr>
        <w:t>, Ericsson</w:t>
      </w:r>
      <w:bookmarkStart w:id="3" w:name="_Ref458159291"/>
    </w:p>
    <w:p w14:paraId="6D9998A2" w14:textId="74BA6188" w:rsidR="006A5FD2" w:rsidRPr="00310173" w:rsidRDefault="006A5FD2" w:rsidP="00AC0F93">
      <w:pPr>
        <w:pStyle w:val="BodyText"/>
        <w:numPr>
          <w:ilvl w:val="0"/>
          <w:numId w:val="13"/>
        </w:numPr>
        <w:jc w:val="left"/>
        <w:rPr>
          <w:szCs w:val="22"/>
          <w:lang w:eastAsia="ja-JP"/>
        </w:rPr>
      </w:pPr>
      <w:r w:rsidRPr="00310173">
        <w:rPr>
          <w:szCs w:val="22"/>
          <w:lang w:eastAsia="ja-JP"/>
        </w:rPr>
        <w:t>R1-</w:t>
      </w:r>
      <w:bookmarkEnd w:id="3"/>
      <w:r w:rsidR="0036407D">
        <w:rPr>
          <w:szCs w:val="22"/>
          <w:lang w:eastAsia="ja-JP"/>
        </w:rPr>
        <w:t>1705795</w:t>
      </w:r>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14:paraId="3881697A" w14:textId="77777777" w:rsidR="006A5FD2" w:rsidRPr="00080CBA" w:rsidRDefault="006A5FD2" w:rsidP="006A5FD2">
      <w:pPr>
        <w:pStyle w:val="BodyText"/>
        <w:ind w:left="432"/>
      </w:pPr>
    </w:p>
    <w:p w14:paraId="57B83314" w14:textId="77777777" w:rsidR="00022DEC" w:rsidRPr="006A5FD2" w:rsidRDefault="00022DEC" w:rsidP="006A5FD2"/>
    <w:sectPr w:rsidR="00022DEC" w:rsidRPr="006A5FD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2065E" w14:textId="77777777" w:rsidR="0013452E" w:rsidRDefault="0013452E">
      <w:r>
        <w:separator/>
      </w:r>
    </w:p>
  </w:endnote>
  <w:endnote w:type="continuationSeparator" w:id="0">
    <w:p w14:paraId="44048F3E" w14:textId="77777777" w:rsidR="0013452E" w:rsidRDefault="0013452E">
      <w:r>
        <w:continuationSeparator/>
      </w:r>
    </w:p>
  </w:endnote>
  <w:endnote w:type="continuationNotice" w:id="1">
    <w:p w14:paraId="33292B00" w14:textId="77777777" w:rsidR="0013452E" w:rsidRDefault="00134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66F48" w14:textId="4B3C9ECE"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0D0678">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0678">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7BDCD" w14:textId="77777777" w:rsidR="0013452E" w:rsidRDefault="0013452E">
      <w:r>
        <w:separator/>
      </w:r>
    </w:p>
  </w:footnote>
  <w:footnote w:type="continuationSeparator" w:id="0">
    <w:p w14:paraId="7AEBA55C" w14:textId="77777777" w:rsidR="0013452E" w:rsidRDefault="0013452E">
      <w:r>
        <w:continuationSeparator/>
      </w:r>
    </w:p>
  </w:footnote>
  <w:footnote w:type="continuationNotice" w:id="1">
    <w:p w14:paraId="066B685A" w14:textId="77777777" w:rsidR="0013452E" w:rsidRDefault="00134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DD65E"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678"/>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C36"/>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52E"/>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63"/>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4B9"/>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E27"/>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2F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79"/>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07D"/>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1E9"/>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C4B"/>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BC4"/>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65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831"/>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B8E"/>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215"/>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1EF8"/>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8AE"/>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15B8"/>
  <w15:docId w15:val="{A218D113-42A3-4B2D-9DC4-F193D2C9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 w:type="paragraph" w:customStyle="1" w:styleId="CRCoverPage">
    <w:name w:val="CR Cover Page"/>
    <w:rsid w:val="003D21E9"/>
    <w:pPr>
      <w:spacing w:after="120"/>
    </w:pPr>
    <w:rPr>
      <w:rFonts w:ascii="Arial" w:hAnsi="Arial"/>
      <w:lang w:val="en-GB"/>
    </w:rPr>
  </w:style>
  <w:style w:type="paragraph" w:customStyle="1" w:styleId="3GPPHeader">
    <w:name w:val="3GPP_Header"/>
    <w:basedOn w:val="Normal"/>
    <w:rsid w:val="00996215"/>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5NUHHDQN7SK2-1-114006</_dlc_DocId>
    <TaxCatchAll xmlns="08b2df90-05d3-4030-90d4-c9feeb4a1cd9">
      <Value>2</Value>
      <Value>1</Value>
    </TaxCatchAll>
    <_dlc_DocIdUrl xmlns="08b2df90-05d3-4030-90d4-c9feeb4a1cd9">
      <Url>https://ericoll.internal.ericsson.com/sites/STAR/_layouts/DocIdRedir.aspx?ID=5NUHHDQN7SK2-1-114006</Url>
      <Description>5NUHHDQN7SK2-1-114006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74C8B-DEA4-45F7-9BD6-1936737B3BE4}">
  <ds:schemaRefs>
    <ds:schemaRef ds:uri="Microsoft.SharePoint.Taxonomy.ContentTypeSync"/>
  </ds:schemaRefs>
</ds:datastoreItem>
</file>

<file path=customXml/itemProps2.xml><?xml version="1.0" encoding="utf-8"?>
<ds:datastoreItem xmlns:ds="http://schemas.openxmlformats.org/officeDocument/2006/customXml" ds:itemID="{9BCB0420-3FDA-4B46-B7F6-35E482F3457C}">
  <ds:schemaRefs>
    <ds:schemaRef ds:uri="http://schemas.microsoft.com/sharepoint/events"/>
  </ds:schemaRefs>
</ds:datastoreItem>
</file>

<file path=customXml/itemProps3.xml><?xml version="1.0" encoding="utf-8"?>
<ds:datastoreItem xmlns:ds="http://schemas.openxmlformats.org/officeDocument/2006/customXml" ds:itemID="{0A029321-F164-4F96-8E73-D1BB461C6541}">
  <ds:schemaRefs>
    <ds:schemaRef ds:uri="http://schemas.microsoft.com/sharepoint/v3/contenttype/forms"/>
  </ds:schemaRefs>
</ds:datastoreItem>
</file>

<file path=customXml/itemProps4.xml><?xml version="1.0" encoding="utf-8"?>
<ds:datastoreItem xmlns:ds="http://schemas.openxmlformats.org/officeDocument/2006/customXml" ds:itemID="{157F0880-0C72-4C25-BB32-9D76D8668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7A8B8C-D573-42BC-8983-5837ABFE3135}">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004AB99E-AAB2-4042-BB76-40642D5A0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Yu Yang A</cp:lastModifiedBy>
  <cp:revision>24</cp:revision>
  <dcterms:created xsi:type="dcterms:W3CDTF">2016-09-30T10:13:00Z</dcterms:created>
  <dcterms:modified xsi:type="dcterms:W3CDTF">2017-03-24T12:44:00Z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0a168a6e-edcd-43e2-b644-db74630e086b</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