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164537BD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717E1F">
        <w:rPr>
          <w:rFonts w:ascii="Arial" w:hAnsi="Arial" w:cs="Arial"/>
          <w:b/>
          <w:sz w:val="24"/>
        </w:rPr>
        <w:t>8</w:t>
      </w:r>
      <w:r w:rsidR="00A75F8F">
        <w:rPr>
          <w:rFonts w:ascii="Arial" w:hAnsi="Arial" w:cs="Arial"/>
          <w:b/>
          <w:sz w:val="24"/>
        </w:rPr>
        <w:t xml:space="preserve">bis </w:t>
      </w:r>
      <w:r w:rsidR="00E926CB">
        <w:rPr>
          <w:rFonts w:ascii="Arial" w:hAnsi="Arial" w:cs="Arial"/>
          <w:b/>
          <w:sz w:val="24"/>
        </w:rPr>
        <w:t xml:space="preserve">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8C7A35">
        <w:rPr>
          <w:rFonts w:ascii="Arial" w:hAnsi="Arial" w:cs="Arial"/>
          <w:b/>
          <w:sz w:val="24"/>
          <w:lang w:eastAsia="zh-CN"/>
        </w:rPr>
        <w:t>5765</w:t>
      </w:r>
    </w:p>
    <w:p w14:paraId="5C3E292E" w14:textId="0556E327" w:rsidR="00EB10CB" w:rsidRPr="00FC7BBB" w:rsidRDefault="00A75F8F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Spokane, USA</w:t>
      </w:r>
      <w:r w:rsidR="00D92C38">
        <w:rPr>
          <w:rFonts w:ascii="Arial" w:hAnsi="Arial" w:cs="Arial"/>
          <w:b/>
          <w:bCs/>
          <w:sz w:val="24"/>
        </w:rPr>
        <w:t xml:space="preserve"> 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Pr="00A75F8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rd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926CB" w:rsidRPr="005648B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April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34B9C1A3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5F5734">
        <w:rPr>
          <w:rFonts w:ascii="Arial" w:hAnsi="Arial"/>
          <w:b/>
          <w:sz w:val="24"/>
        </w:rPr>
        <w:t>8.1.10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30DCE126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5F5734">
        <w:rPr>
          <w:rFonts w:ascii="Arial" w:hAnsi="Arial"/>
          <w:b/>
          <w:sz w:val="24"/>
        </w:rPr>
        <w:t>Subcarrier mapping between different subcarrier spacing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5F9ABE64" w14:textId="77777777" w:rsidR="00814C2D" w:rsidRDefault="00814C2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RAN1 Meeting #88, the following agreement was reached [1]. </w:t>
      </w:r>
    </w:p>
    <w:p w14:paraId="28263EDF" w14:textId="77777777" w:rsidR="00814C2D" w:rsidRDefault="00814C2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4C2D" w14:paraId="226D7652" w14:textId="77777777" w:rsidTr="00814C2D">
        <w:tc>
          <w:tcPr>
            <w:tcW w:w="9962" w:type="dxa"/>
          </w:tcPr>
          <w:p w14:paraId="4D579E1B" w14:textId="77777777" w:rsidR="00A13A30" w:rsidRPr="00A13A30" w:rsidRDefault="00A13A30" w:rsidP="00A13A30">
            <w:pPr>
              <w:overflowPunct/>
              <w:autoSpaceDE/>
              <w:autoSpaceDN/>
              <w:adjustRightInd/>
              <w:spacing w:before="0" w:after="0"/>
              <w:ind w:left="1440" w:hanging="1440"/>
              <w:textAlignment w:val="auto"/>
              <w:rPr>
                <w:rFonts w:ascii="Times" w:eastAsia="MS Mincho" w:hAnsi="Times"/>
                <w:szCs w:val="24"/>
                <w:u w:val="single"/>
                <w:lang w:val="en-US" w:eastAsia="ja-JP"/>
              </w:rPr>
            </w:pPr>
            <w:r w:rsidRPr="00A13A30">
              <w:rPr>
                <w:rFonts w:ascii="Times" w:eastAsia="MS Mincho" w:hAnsi="Times" w:hint="eastAsia"/>
                <w:szCs w:val="24"/>
                <w:highlight w:val="green"/>
                <w:u w:val="single"/>
                <w:lang w:val="en-US" w:eastAsia="ja-JP"/>
              </w:rPr>
              <w:t>Agreements:</w:t>
            </w:r>
          </w:p>
          <w:p w14:paraId="3559534B" w14:textId="77777777" w:rsidR="00A13A30" w:rsidRPr="00A13A30" w:rsidRDefault="00A13A30" w:rsidP="00A13A3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RAN1 will down select between following alternatives</w:t>
            </w:r>
            <w:r w:rsidRPr="00A13A30">
              <w:rPr>
                <w:rFonts w:ascii="Times" w:eastAsia="MS Mincho" w:hAnsi="Times" w:hint="eastAsia"/>
                <w:szCs w:val="24"/>
                <w:lang w:val="en-US" w:eastAsia="ja-JP"/>
              </w:rPr>
              <w:t xml:space="preserve"> in the next meeting</w:t>
            </w:r>
          </w:p>
          <w:p w14:paraId="3EDD23C9" w14:textId="77777777" w:rsidR="00A13A30" w:rsidRPr="00A13A30" w:rsidRDefault="00A13A30" w:rsidP="00A13A3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Alt.1</w:t>
            </w:r>
          </w:p>
          <w:p w14:paraId="44B2B10F" w14:textId="77777777" w:rsidR="00A13A30" w:rsidRPr="00A13A30" w:rsidRDefault="00A13A30" w:rsidP="00A13A3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Assuming the subcarriers in a PRB are numbered from 0 to 11, for a given SCS F</w:t>
            </w:r>
            <w:r w:rsidRPr="00A13A30">
              <w:rPr>
                <w:rFonts w:ascii="Times" w:eastAsia="MS Mincho" w:hAnsi="Times"/>
                <w:szCs w:val="24"/>
                <w:vertAlign w:val="subscript"/>
                <w:lang w:val="en-US" w:eastAsia="ja-JP"/>
              </w:rPr>
              <w:t>0</w:t>
            </w: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, subcarrier 0 always coincide with a subcarrier 0 of all SCS of order less than F</w:t>
            </w:r>
            <w:r w:rsidRPr="00A13A30">
              <w:rPr>
                <w:rFonts w:ascii="Times" w:eastAsia="MS Mincho" w:hAnsi="Times"/>
                <w:szCs w:val="24"/>
                <w:vertAlign w:val="subscript"/>
                <w:lang w:val="en-US" w:eastAsia="ja-JP"/>
              </w:rPr>
              <w:t>0</w:t>
            </w: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.</w:t>
            </w:r>
          </w:p>
          <w:p w14:paraId="163F5A87" w14:textId="77777777" w:rsidR="00A13A30" w:rsidRPr="00A13A30" w:rsidRDefault="00A13A30" w:rsidP="00A13A3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Alt.2</w:t>
            </w:r>
          </w:p>
          <w:p w14:paraId="1780AADD" w14:textId="77777777" w:rsidR="00A13A30" w:rsidRPr="00A13A30" w:rsidRDefault="00A13A30" w:rsidP="00A13A3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For a given SCS F</w:t>
            </w:r>
            <w:r w:rsidRPr="00A13A30">
              <w:rPr>
                <w:rFonts w:ascii="Times" w:eastAsia="MS Mincho" w:hAnsi="Times"/>
                <w:szCs w:val="24"/>
                <w:vertAlign w:val="subscript"/>
                <w:lang w:val="en-US" w:eastAsia="ja-JP"/>
              </w:rPr>
              <w:t>0</w:t>
            </w:r>
            <w:r w:rsidRPr="00A13A30">
              <w:rPr>
                <w:rFonts w:ascii="Times" w:eastAsia="MS Mincho" w:hAnsi="Times"/>
                <w:szCs w:val="24"/>
                <w:lang w:val="en-US" w:eastAsia="ja-JP"/>
              </w:rPr>
              <w:t>, subcarrier 0 has SCS dependent offset</w:t>
            </w:r>
            <w:r w:rsidRPr="00A13A30">
              <w:rPr>
                <w:rFonts w:ascii="Times" w:eastAsia="MS Mincho" w:hAnsi="Times" w:hint="eastAsia"/>
                <w:szCs w:val="24"/>
                <w:lang w:val="en-US" w:eastAsia="ja-JP"/>
              </w:rPr>
              <w:t xml:space="preserve"> of PRB boundary based on the largest subcarrier spacing supported by the carrier</w:t>
            </w:r>
          </w:p>
          <w:p w14:paraId="3E278E24" w14:textId="77777777" w:rsidR="00A13A30" w:rsidRPr="00A13A30" w:rsidRDefault="00A13A30" w:rsidP="00A13A3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13A30">
              <w:rPr>
                <w:rFonts w:ascii="Times" w:eastAsia="MS Mincho" w:hAnsi="Times" w:hint="eastAsia"/>
                <w:szCs w:val="24"/>
                <w:lang w:val="en-US" w:eastAsia="ja-JP"/>
              </w:rPr>
              <w:t>Fractional PRB is not supported in Rel. 15</w:t>
            </w:r>
          </w:p>
          <w:p w14:paraId="232D7851" w14:textId="77777777" w:rsidR="00814C2D" w:rsidRDefault="00814C2D" w:rsidP="00FC7BBB">
            <w:pPr>
              <w:pStyle w:val="LGTdoc"/>
              <w:spacing w:before="20" w:afterLines="0"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14:paraId="5E46B1C0" w14:textId="77777777" w:rsidR="00814C2D" w:rsidRDefault="00814C2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0E84DB37" w14:textId="10C5234C" w:rsidR="00A13A30" w:rsidRDefault="00A13A30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Alt.2 was further clarified as follows.</w:t>
      </w:r>
    </w:p>
    <w:p w14:paraId="47EFD348" w14:textId="02FE0795" w:rsidR="00352F85" w:rsidRPr="00352F85" w:rsidRDefault="00352F85" w:rsidP="00352F85">
      <w:pPr>
        <w:pStyle w:val="ListParagraph"/>
        <w:numPr>
          <w:ilvl w:val="0"/>
          <w:numId w:val="23"/>
        </w:numPr>
        <w:spacing w:before="12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352F85">
        <w:rPr>
          <w:rFonts w:ascii="Times New Roman" w:eastAsia="MS Mincho" w:hAnsi="Times New Roman"/>
          <w:sz w:val="20"/>
          <w:szCs w:val="20"/>
          <w:lang w:eastAsia="ja-JP"/>
        </w:rPr>
        <w:t>Alt.2: Assuming the subcarriers in a PRB are numbered from 0 to 11, subcarrier 0 for the largest SCS F</w:t>
      </w:r>
      <w:r w:rsidRPr="00352F85">
        <w:rPr>
          <w:rFonts w:ascii="Times New Roman" w:eastAsia="MS Mincho" w:hAnsi="Times New Roman"/>
          <w:sz w:val="20"/>
          <w:szCs w:val="20"/>
          <w:vertAlign w:val="subscript"/>
          <w:lang w:eastAsia="ja-JP"/>
        </w:rPr>
        <w:t>M</w:t>
      </w:r>
      <w:r w:rsidRPr="00352F85">
        <w:rPr>
          <w:rFonts w:ascii="Times New Roman" w:eastAsia="MS Mincho" w:hAnsi="Times New Roman"/>
          <w:sz w:val="20"/>
          <w:szCs w:val="20"/>
          <w:lang w:eastAsia="ja-JP"/>
        </w:rPr>
        <w:t>=15kHz x 2</w:t>
      </w:r>
      <w:r w:rsidRPr="00352F85">
        <w:rPr>
          <w:rFonts w:ascii="Times New Roman" w:eastAsia="MS Mincho" w:hAnsi="Times New Roman"/>
          <w:sz w:val="20"/>
          <w:szCs w:val="20"/>
          <w:vertAlign w:val="superscript"/>
          <w:lang w:eastAsia="ja-JP"/>
        </w:rPr>
        <w:t>M</w:t>
      </w:r>
      <w:r w:rsidRPr="00352F85">
        <w:rPr>
          <w:rFonts w:ascii="Times New Roman" w:eastAsia="MS Mincho" w:hAnsi="Times New Roman"/>
          <w:sz w:val="20"/>
          <w:szCs w:val="20"/>
          <w:lang w:eastAsia="ja-JP"/>
        </w:rPr>
        <w:t xml:space="preserve"> supported by a NR carrier coincides with a subcarrier 2</w:t>
      </w:r>
      <w:r w:rsidRPr="00352F85">
        <w:rPr>
          <w:rFonts w:ascii="Times New Roman" w:eastAsia="MS Mincho" w:hAnsi="Times New Roman"/>
          <w:sz w:val="20"/>
          <w:szCs w:val="20"/>
          <w:vertAlign w:val="superscript"/>
          <w:lang w:eastAsia="ja-JP"/>
        </w:rPr>
        <w:t>K-1</w:t>
      </w:r>
      <w:r w:rsidRPr="00352F85">
        <w:rPr>
          <w:rFonts w:ascii="Times New Roman" w:eastAsia="MS Mincho" w:hAnsi="Times New Roman"/>
          <w:sz w:val="20"/>
          <w:szCs w:val="20"/>
          <w:lang w:eastAsia="ja-JP"/>
        </w:rPr>
        <w:t>-1 for smaller SCS of F</w:t>
      </w:r>
      <w:r w:rsidRPr="00352F85">
        <w:rPr>
          <w:rFonts w:ascii="Times New Roman" w:eastAsia="MS Mincho" w:hAnsi="Times New Roman"/>
          <w:sz w:val="20"/>
          <w:szCs w:val="20"/>
          <w:vertAlign w:val="subscript"/>
          <w:lang w:eastAsia="ja-JP"/>
        </w:rPr>
        <w:t>N</w:t>
      </w:r>
      <w:r w:rsidRPr="00352F85">
        <w:rPr>
          <w:rFonts w:ascii="Times New Roman" w:eastAsia="MS Mincho" w:hAnsi="Times New Roman"/>
          <w:sz w:val="20"/>
          <w:szCs w:val="20"/>
          <w:lang w:eastAsia="ja-JP"/>
        </w:rPr>
        <w:t>=F</w:t>
      </w:r>
      <w:r w:rsidRPr="00352F85">
        <w:rPr>
          <w:rFonts w:ascii="Times New Roman" w:eastAsia="MS Mincho" w:hAnsi="Times New Roman"/>
          <w:sz w:val="20"/>
          <w:szCs w:val="20"/>
          <w:vertAlign w:val="subscript"/>
          <w:lang w:eastAsia="ja-JP"/>
        </w:rPr>
        <w:t>M</w:t>
      </w:r>
      <w:r w:rsidRPr="00352F85">
        <w:rPr>
          <w:rFonts w:ascii="Times New Roman" w:eastAsia="MS Mincho" w:hAnsi="Times New Roman"/>
          <w:sz w:val="20"/>
          <w:szCs w:val="20"/>
          <w:lang w:eastAsia="ja-JP"/>
        </w:rPr>
        <w:t xml:space="preserve"> x 2</w:t>
      </w:r>
      <w:r w:rsidRPr="00352F85">
        <w:rPr>
          <w:rFonts w:ascii="Times New Roman" w:eastAsia="MS Mincho" w:hAnsi="Times New Roman"/>
          <w:sz w:val="20"/>
          <w:szCs w:val="20"/>
          <w:vertAlign w:val="superscript"/>
          <w:lang w:eastAsia="ja-JP"/>
        </w:rPr>
        <w:t>-K</w:t>
      </w:r>
      <w:r w:rsidRPr="00352F85">
        <w:rPr>
          <w:rFonts w:ascii="Times New Roman" w:eastAsia="MS Mincho" w:hAnsi="Times New Roman"/>
          <w:sz w:val="20"/>
          <w:szCs w:val="20"/>
          <w:lang w:eastAsia="ja-JP"/>
        </w:rPr>
        <w:t xml:space="preserve"> (K=1,2,…).</w:t>
      </w:r>
    </w:p>
    <w:p w14:paraId="6172F4C7" w14:textId="67D1AE04" w:rsidR="003B7939" w:rsidRPr="000409E6" w:rsidRDefault="00352F85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</w:t>
      </w:r>
      <w:r w:rsidR="00EA02C3">
        <w:rPr>
          <w:sz w:val="20"/>
          <w:szCs w:val="20"/>
          <w:lang w:val="en-US"/>
        </w:rPr>
        <w:t xml:space="preserve">compare the two alternatives in the agreement and share our </w:t>
      </w:r>
      <w:r w:rsidR="006F3746">
        <w:rPr>
          <w:sz w:val="20"/>
          <w:szCs w:val="20"/>
          <w:lang w:val="en-US"/>
        </w:rPr>
        <w:t>view</w:t>
      </w:r>
      <w:r w:rsidR="00EA02C3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066DF2" w:rsidRPr="000409E6">
        <w:rPr>
          <w:sz w:val="20"/>
          <w:szCs w:val="20"/>
          <w:lang w:val="en-US"/>
        </w:rPr>
        <w:t xml:space="preserve"> </w:t>
      </w:r>
    </w:p>
    <w:p w14:paraId="415F81E5" w14:textId="7275FC8A" w:rsidR="003B7939" w:rsidRPr="00FC7BBB" w:rsidRDefault="00EA02C3" w:rsidP="0024026E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Comparison between two alternatives</w:t>
      </w:r>
      <w:r w:rsidR="003B7939">
        <w:rPr>
          <w:rFonts w:ascii="Arial" w:hAnsi="Arial" w:cs="Arial"/>
          <w:lang w:val="en-US"/>
        </w:rPr>
        <w:t xml:space="preserve"> </w:t>
      </w:r>
    </w:p>
    <w:p w14:paraId="6CDE17C8" w14:textId="396A3FF9" w:rsidR="00EA02C3" w:rsidRPr="003D220E" w:rsidRDefault="00EA02C3" w:rsidP="00EA02C3">
      <w:pPr>
        <w:pStyle w:val="LGTdoc1"/>
        <w:numPr>
          <w:ilvl w:val="1"/>
          <w:numId w:val="2"/>
        </w:numPr>
        <w:spacing w:beforeLines="0" w:before="240" w:after="120" w:afterAutospacing="0"/>
        <w:ind w:left="562" w:hanging="562"/>
        <w:rPr>
          <w:rFonts w:ascii="Arial" w:hAnsi="Arial" w:cs="Arial"/>
          <w:sz w:val="24"/>
          <w:lang w:val="en-US"/>
        </w:rPr>
      </w:pPr>
      <w:r w:rsidRPr="003D220E">
        <w:rPr>
          <w:rFonts w:ascii="Arial" w:hAnsi="Arial" w:cs="Arial"/>
          <w:sz w:val="24"/>
          <w:lang w:val="en-US"/>
        </w:rPr>
        <w:t xml:space="preserve">Alt.1 </w:t>
      </w:r>
    </w:p>
    <w:p w14:paraId="6D3F158B" w14:textId="05864533" w:rsidR="00D70DD8" w:rsidRDefault="00D70DD8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following Figure 1 illustrates the subcarrier mapping according to Alt.1.</w:t>
      </w:r>
    </w:p>
    <w:p w14:paraId="0B19627D" w14:textId="77777777" w:rsidR="00D70DD8" w:rsidRDefault="00D70DD8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67E40849" w14:textId="4055F264" w:rsidR="00D70DD8" w:rsidRDefault="001279E6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1279E6">
        <w:rPr>
          <w:noProof/>
          <w:sz w:val="20"/>
          <w:szCs w:val="20"/>
          <w:lang w:val="en-US"/>
        </w:rPr>
        <w:drawing>
          <wp:inline distT="0" distB="0" distL="0" distR="0" wp14:anchorId="3C40BC7F" wp14:editId="3C9945B9">
            <wp:extent cx="6332220" cy="1660525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6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05093" w14:textId="77777777" w:rsidR="001279E6" w:rsidRDefault="001279E6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5F4EE42C" w14:textId="2E834A6C" w:rsidR="001279E6" w:rsidRDefault="001279E6" w:rsidP="001279E6">
      <w:pPr>
        <w:pStyle w:val="LGTdoc"/>
        <w:spacing w:before="60" w:afterLines="0" w:line="240" w:lineRule="auto"/>
        <w:jc w:val="center"/>
        <w:rPr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1. </w:t>
      </w:r>
      <w:r>
        <w:rPr>
          <w:b/>
          <w:sz w:val="20"/>
        </w:rPr>
        <w:t>Subcarrier mapping according to Alt.1 (max SCS assuming 120</w:t>
      </w:r>
      <w:r w:rsidR="005A3E55">
        <w:rPr>
          <w:b/>
          <w:sz w:val="20"/>
        </w:rPr>
        <w:t xml:space="preserve"> </w:t>
      </w:r>
      <w:r>
        <w:rPr>
          <w:b/>
          <w:sz w:val="20"/>
        </w:rPr>
        <w:t>kHz)</w:t>
      </w:r>
    </w:p>
    <w:p w14:paraId="33379F9A" w14:textId="77777777" w:rsidR="001279E6" w:rsidRDefault="001279E6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4B01267A" w14:textId="7EF86077" w:rsidR="001B6AE1" w:rsidRDefault="001B6AE1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The followings are pros and cons of Alt.1 discussed during RAN1 #88</w:t>
      </w:r>
      <w:r w:rsidR="00956C3F">
        <w:rPr>
          <w:sz w:val="20"/>
          <w:szCs w:val="20"/>
          <w:lang w:val="en-US"/>
        </w:rPr>
        <w:t xml:space="preserve"> [2]</w:t>
      </w:r>
      <w:r>
        <w:rPr>
          <w:sz w:val="20"/>
          <w:szCs w:val="20"/>
          <w:lang w:val="en-US"/>
        </w:rPr>
        <w:t>.</w:t>
      </w:r>
      <w:r w:rsidR="00956C3F">
        <w:rPr>
          <w:sz w:val="20"/>
          <w:szCs w:val="20"/>
          <w:lang w:val="en-US"/>
        </w:rPr>
        <w:t xml:space="preserve"> </w:t>
      </w:r>
    </w:p>
    <w:p w14:paraId="7F390EFE" w14:textId="77777777" w:rsidR="001B6AE1" w:rsidRDefault="001B6AE1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2B1CE9A5" w14:textId="50D07792" w:rsidR="003D220E" w:rsidRDefault="003D220E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3D220E">
        <w:rPr>
          <w:sz w:val="20"/>
          <w:szCs w:val="20"/>
          <w:u w:val="single"/>
          <w:lang w:val="en-US"/>
        </w:rPr>
        <w:t>Pros</w:t>
      </w:r>
      <w:r>
        <w:rPr>
          <w:sz w:val="20"/>
          <w:szCs w:val="20"/>
          <w:lang w:val="en-US"/>
        </w:rPr>
        <w:t>:</w:t>
      </w:r>
    </w:p>
    <w:p w14:paraId="43EC06DF" w14:textId="7829736B" w:rsidR="003D220E" w:rsidRDefault="003D220E" w:rsidP="003D220E">
      <w:pPr>
        <w:pStyle w:val="LGTdoc"/>
        <w:numPr>
          <w:ilvl w:val="0"/>
          <w:numId w:val="24"/>
        </w:numPr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</w:t>
      </w:r>
      <w:r w:rsidR="00112865">
        <w:rPr>
          <w:sz w:val="20"/>
          <w:szCs w:val="20"/>
          <w:lang w:val="en-US"/>
        </w:rPr>
        <w:t>subcarrier index 0 is always aligned between different SCS</w:t>
      </w:r>
      <w:r w:rsidR="00956C3F">
        <w:rPr>
          <w:sz w:val="20"/>
          <w:szCs w:val="20"/>
          <w:lang w:val="en-US"/>
        </w:rPr>
        <w:t xml:space="preserve">, which </w:t>
      </w:r>
      <w:r w:rsidR="007D1A74">
        <w:rPr>
          <w:sz w:val="20"/>
          <w:szCs w:val="20"/>
          <w:lang w:val="en-US"/>
        </w:rPr>
        <w:t xml:space="preserve">applies regardless of the SCSs </w:t>
      </w:r>
      <w:r w:rsidR="00163B3B">
        <w:rPr>
          <w:sz w:val="20"/>
          <w:szCs w:val="20"/>
          <w:lang w:val="en-US"/>
        </w:rPr>
        <w:t>(re-)</w:t>
      </w:r>
      <w:r w:rsidR="007D1A74">
        <w:rPr>
          <w:sz w:val="20"/>
          <w:szCs w:val="20"/>
          <w:lang w:val="en-US"/>
        </w:rPr>
        <w:t xml:space="preserve">configured in the cell and </w:t>
      </w:r>
      <w:r w:rsidR="00956C3F">
        <w:rPr>
          <w:sz w:val="20"/>
          <w:szCs w:val="20"/>
          <w:lang w:val="en-US"/>
        </w:rPr>
        <w:t>could simplify design such as</w:t>
      </w:r>
      <w:r w:rsidR="004B3A4C">
        <w:rPr>
          <w:sz w:val="20"/>
          <w:szCs w:val="20"/>
          <w:lang w:val="en-US"/>
        </w:rPr>
        <w:t xml:space="preserve"> SCS independent RS design.</w:t>
      </w:r>
      <w:r w:rsidR="00956C3F">
        <w:rPr>
          <w:sz w:val="20"/>
          <w:szCs w:val="20"/>
          <w:lang w:val="en-US"/>
        </w:rPr>
        <w:t xml:space="preserve"> </w:t>
      </w:r>
    </w:p>
    <w:p w14:paraId="1A0E2900" w14:textId="511B6B85" w:rsidR="00096953" w:rsidRDefault="00096953" w:rsidP="00096953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8B461D">
        <w:rPr>
          <w:sz w:val="20"/>
          <w:szCs w:val="20"/>
          <w:u w:val="single"/>
          <w:lang w:val="en-US"/>
        </w:rPr>
        <w:t>Cons</w:t>
      </w:r>
      <w:r>
        <w:rPr>
          <w:sz w:val="20"/>
          <w:szCs w:val="20"/>
          <w:lang w:val="en-US"/>
        </w:rPr>
        <w:t>:</w:t>
      </w:r>
    </w:p>
    <w:p w14:paraId="55B663B1" w14:textId="693DD05F" w:rsidR="00096953" w:rsidRDefault="00096953" w:rsidP="00096953">
      <w:pPr>
        <w:pStyle w:val="LGTdoc"/>
        <w:numPr>
          <w:ilvl w:val="0"/>
          <w:numId w:val="24"/>
        </w:numPr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overall subcarri</w:t>
      </w:r>
      <w:r w:rsidR="008B461D">
        <w:rPr>
          <w:sz w:val="20"/>
          <w:szCs w:val="20"/>
          <w:lang w:val="en-US"/>
        </w:rPr>
        <w:t>er positions</w:t>
      </w:r>
      <w:r>
        <w:rPr>
          <w:sz w:val="20"/>
          <w:szCs w:val="20"/>
          <w:lang w:val="en-US"/>
        </w:rPr>
        <w:t xml:space="preserve"> of a larger SCS are</w:t>
      </w:r>
      <w:r w:rsidR="008B461D">
        <w:rPr>
          <w:sz w:val="20"/>
          <w:szCs w:val="20"/>
          <w:lang w:val="en-US"/>
        </w:rPr>
        <w:t xml:space="preserve"> biased with respect to a smaller SCS</w:t>
      </w:r>
      <w:r w:rsidR="00C700FD">
        <w:rPr>
          <w:sz w:val="20"/>
          <w:szCs w:val="20"/>
          <w:lang w:val="en-US"/>
        </w:rPr>
        <w:t xml:space="preserve">, which </w:t>
      </w:r>
      <w:r w:rsidR="007D1A74">
        <w:rPr>
          <w:sz w:val="20"/>
          <w:szCs w:val="20"/>
          <w:lang w:val="en-US"/>
        </w:rPr>
        <w:t xml:space="preserve">may </w:t>
      </w:r>
      <w:r w:rsidR="00C700FD">
        <w:rPr>
          <w:sz w:val="20"/>
          <w:szCs w:val="20"/>
          <w:lang w:val="en-US"/>
        </w:rPr>
        <w:t>affect unbalanced interference to neighbor RBs.</w:t>
      </w:r>
      <w:r>
        <w:rPr>
          <w:sz w:val="20"/>
          <w:szCs w:val="20"/>
          <w:lang w:val="en-US"/>
        </w:rPr>
        <w:t xml:space="preserve"> </w:t>
      </w:r>
    </w:p>
    <w:p w14:paraId="77F29CA0" w14:textId="77777777" w:rsidR="001279E6" w:rsidRDefault="001279E6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66239314" w14:textId="4467FCE5" w:rsidR="00D70BB9" w:rsidRDefault="00D70BB9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It is seen that the pros is more apparent than the co</w:t>
      </w:r>
      <w:r w:rsidR="00142946">
        <w:rPr>
          <w:sz w:val="20"/>
          <w:szCs w:val="20"/>
          <w:lang w:val="en-US"/>
        </w:rPr>
        <w:t>ns. Thanks to the fact tha</w:t>
      </w:r>
      <w:r w:rsidR="008C7A35">
        <w:rPr>
          <w:sz w:val="20"/>
          <w:szCs w:val="20"/>
          <w:lang w:val="en-US"/>
        </w:rPr>
        <w:t>t the subcarrier index 0 is always aligned between different SCS, the subcarrier ma</w:t>
      </w:r>
      <w:r w:rsidR="00CD6C7F">
        <w:rPr>
          <w:sz w:val="20"/>
          <w:szCs w:val="20"/>
          <w:lang w:val="en-US"/>
        </w:rPr>
        <w:t>pping does not depend on the max SCS and is fixed for a given SCS.</w:t>
      </w:r>
      <w:r w:rsidR="00904E73">
        <w:rPr>
          <w:sz w:val="20"/>
          <w:szCs w:val="20"/>
          <w:lang w:val="en-US"/>
        </w:rPr>
        <w:t xml:space="preserve"> It can be helpful</w:t>
      </w:r>
      <w:r w:rsidR="00B54B65">
        <w:rPr>
          <w:sz w:val="20"/>
          <w:szCs w:val="20"/>
          <w:lang w:val="en-US"/>
        </w:rPr>
        <w:t xml:space="preserve"> SCS independent RS design.</w:t>
      </w:r>
      <w:r w:rsidR="00904E73">
        <w:rPr>
          <w:sz w:val="20"/>
          <w:szCs w:val="20"/>
          <w:lang w:val="en-US"/>
        </w:rPr>
        <w:t xml:space="preserve"> </w:t>
      </w:r>
      <w:r w:rsidR="00C8016B">
        <w:rPr>
          <w:sz w:val="20"/>
          <w:szCs w:val="20"/>
          <w:lang w:val="en-US"/>
        </w:rPr>
        <w:t xml:space="preserve">Also, as the subcarrier mapping is fixed for a given SCS, it does not require any unnecessary signaling </w:t>
      </w:r>
      <w:r w:rsidR="000729F4">
        <w:rPr>
          <w:sz w:val="20"/>
          <w:szCs w:val="20"/>
          <w:lang w:val="en-US"/>
        </w:rPr>
        <w:t xml:space="preserve">to UE </w:t>
      </w:r>
      <w:r w:rsidR="00C8016B">
        <w:rPr>
          <w:sz w:val="20"/>
          <w:szCs w:val="20"/>
          <w:lang w:val="en-US"/>
        </w:rPr>
        <w:t>such as on the max SCS.</w:t>
      </w:r>
      <w:r w:rsidR="00B54B65">
        <w:rPr>
          <w:sz w:val="20"/>
          <w:szCs w:val="20"/>
          <w:lang w:val="en-US"/>
        </w:rPr>
        <w:t xml:space="preserve"> In other words, a UE does not need to know the max SCS.</w:t>
      </w:r>
      <w:r w:rsidR="00C8016B">
        <w:rPr>
          <w:sz w:val="20"/>
          <w:szCs w:val="20"/>
          <w:lang w:val="en-US"/>
        </w:rPr>
        <w:t xml:space="preserve"> </w:t>
      </w:r>
    </w:p>
    <w:p w14:paraId="6EAB8322" w14:textId="05E692DE" w:rsidR="000B27CB" w:rsidRDefault="00C8016B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On the other hand, it seems the cons is not</w:t>
      </w:r>
      <w:r w:rsidR="007C08E4">
        <w:rPr>
          <w:sz w:val="20"/>
          <w:szCs w:val="20"/>
          <w:lang w:val="en-US"/>
        </w:rPr>
        <w:t xml:space="preserve"> well</w:t>
      </w:r>
      <w:r>
        <w:rPr>
          <w:sz w:val="20"/>
          <w:szCs w:val="20"/>
          <w:lang w:val="en-US"/>
        </w:rPr>
        <w:t xml:space="preserve"> materialized. </w:t>
      </w:r>
      <w:r w:rsidR="007C08E4">
        <w:rPr>
          <w:sz w:val="20"/>
          <w:szCs w:val="20"/>
          <w:lang w:val="en-US"/>
        </w:rPr>
        <w:t>Although the subcarrier mapping according to Alt.1 may affect unbalanced interference to neighbor RBs, the impact will only</w:t>
      </w:r>
      <w:r w:rsidR="000729F4">
        <w:rPr>
          <w:sz w:val="20"/>
          <w:szCs w:val="20"/>
          <w:lang w:val="en-US"/>
        </w:rPr>
        <w:t xml:space="preserve"> be</w:t>
      </w:r>
      <w:r w:rsidR="007C08E4">
        <w:rPr>
          <w:sz w:val="20"/>
          <w:szCs w:val="20"/>
          <w:lang w:val="en-US"/>
        </w:rPr>
        <w:t xml:space="preserve"> at the border RBs between different numerologies. </w:t>
      </w:r>
      <w:r w:rsidR="000B27CB">
        <w:rPr>
          <w:sz w:val="20"/>
          <w:szCs w:val="20"/>
          <w:lang w:val="en-US"/>
        </w:rPr>
        <w:t>As it will be seen in the next subsection, Alt.2 is also not completely free from this issue.</w:t>
      </w:r>
      <w:r w:rsidR="007C08E4">
        <w:rPr>
          <w:sz w:val="20"/>
          <w:szCs w:val="20"/>
          <w:lang w:val="en-US"/>
        </w:rPr>
        <w:t xml:space="preserve"> </w:t>
      </w:r>
    </w:p>
    <w:p w14:paraId="2E8B879C" w14:textId="5219D521" w:rsidR="008B461D" w:rsidRPr="003D220E" w:rsidRDefault="008B461D" w:rsidP="008B461D">
      <w:pPr>
        <w:pStyle w:val="LGTdoc1"/>
        <w:numPr>
          <w:ilvl w:val="1"/>
          <w:numId w:val="2"/>
        </w:numPr>
        <w:spacing w:beforeLines="0" w:before="240" w:after="120" w:afterAutospacing="0"/>
        <w:ind w:left="562" w:hanging="562"/>
        <w:rPr>
          <w:rFonts w:ascii="Arial" w:hAnsi="Arial" w:cs="Arial"/>
          <w:sz w:val="24"/>
          <w:lang w:val="en-US"/>
        </w:rPr>
      </w:pPr>
      <w:r w:rsidRPr="003D220E">
        <w:rPr>
          <w:rFonts w:ascii="Arial" w:hAnsi="Arial" w:cs="Arial"/>
          <w:sz w:val="24"/>
          <w:lang w:val="en-US"/>
        </w:rPr>
        <w:t>Alt.</w:t>
      </w:r>
      <w:r>
        <w:rPr>
          <w:rFonts w:ascii="Arial" w:hAnsi="Arial" w:cs="Arial"/>
          <w:sz w:val="24"/>
          <w:lang w:val="en-US"/>
        </w:rPr>
        <w:t>2</w:t>
      </w:r>
      <w:r w:rsidRPr="003D220E">
        <w:rPr>
          <w:rFonts w:ascii="Arial" w:hAnsi="Arial" w:cs="Arial"/>
          <w:sz w:val="24"/>
          <w:lang w:val="en-US"/>
        </w:rPr>
        <w:t xml:space="preserve"> </w:t>
      </w:r>
    </w:p>
    <w:p w14:paraId="1D741768" w14:textId="6A9833F7" w:rsidR="008B461D" w:rsidRDefault="008B461D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following Figure </w:t>
      </w:r>
      <w:r w:rsidR="005A3E55">
        <w:rPr>
          <w:sz w:val="20"/>
          <w:szCs w:val="20"/>
          <w:lang w:val="en-US"/>
        </w:rPr>
        <w:t>2 and Figure 3</w:t>
      </w:r>
      <w:r>
        <w:rPr>
          <w:sz w:val="20"/>
          <w:szCs w:val="20"/>
          <w:lang w:val="en-US"/>
        </w:rPr>
        <w:t xml:space="preserve"> illustrate the subcarrier</w:t>
      </w:r>
      <w:r w:rsidR="005A3E55">
        <w:rPr>
          <w:sz w:val="20"/>
          <w:szCs w:val="20"/>
          <w:lang w:val="en-US"/>
        </w:rPr>
        <w:t xml:space="preserve"> mapping according to Alt.2 assuming different max SCS, i.e., 120 kHz and </w:t>
      </w:r>
      <w:r w:rsidR="007506E9">
        <w:rPr>
          <w:sz w:val="20"/>
          <w:szCs w:val="20"/>
          <w:lang w:val="en-US"/>
        </w:rPr>
        <w:t>60 kHz, respectively.</w:t>
      </w:r>
      <w:r>
        <w:rPr>
          <w:sz w:val="20"/>
          <w:szCs w:val="20"/>
          <w:lang w:val="en-US"/>
        </w:rPr>
        <w:t xml:space="preserve"> </w:t>
      </w:r>
    </w:p>
    <w:p w14:paraId="44122B2E" w14:textId="77777777" w:rsidR="008B461D" w:rsidRDefault="008B461D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080F5589" w14:textId="3334BAF3" w:rsidR="008B461D" w:rsidRDefault="00D4054E" w:rsidP="005A3E55">
      <w:pPr>
        <w:pStyle w:val="LGTdoc"/>
        <w:spacing w:before="60" w:afterLines="0" w:line="240" w:lineRule="auto"/>
        <w:jc w:val="center"/>
        <w:rPr>
          <w:sz w:val="20"/>
          <w:szCs w:val="20"/>
          <w:lang w:val="en-US"/>
        </w:rPr>
      </w:pPr>
      <w:r w:rsidRPr="00D4054E">
        <w:rPr>
          <w:noProof/>
          <w:sz w:val="20"/>
          <w:szCs w:val="20"/>
          <w:lang w:val="en-US"/>
        </w:rPr>
        <w:drawing>
          <wp:inline distT="0" distB="0" distL="0" distR="0" wp14:anchorId="08F4BBE5" wp14:editId="0536BC0C">
            <wp:extent cx="6332220" cy="1660525"/>
            <wp:effectExtent l="0" t="0" r="0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6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A900D" w14:textId="77777777" w:rsidR="00D4054E" w:rsidRDefault="00D4054E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3E8CB0AC" w14:textId="7DCAE3E0" w:rsidR="005A3E55" w:rsidRDefault="005A3E55" w:rsidP="005A3E55">
      <w:pPr>
        <w:pStyle w:val="LGTdoc"/>
        <w:spacing w:before="60" w:afterLines="0" w:line="240" w:lineRule="auto"/>
        <w:jc w:val="center"/>
        <w:rPr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2</w:t>
      </w:r>
      <w:r w:rsidRPr="00086721">
        <w:rPr>
          <w:b/>
          <w:sz w:val="20"/>
        </w:rPr>
        <w:t xml:space="preserve">. </w:t>
      </w:r>
      <w:r>
        <w:rPr>
          <w:b/>
          <w:sz w:val="20"/>
        </w:rPr>
        <w:t>Subcarrier mapping according to Alt.2 (max SCS assuming 120 kHz)</w:t>
      </w:r>
    </w:p>
    <w:p w14:paraId="0DEDEBCD" w14:textId="77777777" w:rsidR="00D4054E" w:rsidRDefault="00D4054E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7B7BD25D" w14:textId="77777777" w:rsidR="00D4054E" w:rsidRDefault="00D4054E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58423125" w14:textId="2CD17552" w:rsidR="00D4054E" w:rsidRDefault="00D4054E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D4054E">
        <w:rPr>
          <w:noProof/>
          <w:sz w:val="20"/>
          <w:szCs w:val="20"/>
          <w:lang w:val="en-US"/>
        </w:rPr>
        <w:drawing>
          <wp:inline distT="0" distB="0" distL="0" distR="0" wp14:anchorId="7A8E830F" wp14:editId="52B96B9C">
            <wp:extent cx="6332220" cy="1217295"/>
            <wp:effectExtent l="0" t="0" r="0" b="1905"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8808F" w14:textId="77777777" w:rsidR="00D4054E" w:rsidRDefault="00D4054E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366287EF" w14:textId="6B9515FD" w:rsidR="005A3E55" w:rsidRDefault="005A3E55" w:rsidP="005A3E55">
      <w:pPr>
        <w:pStyle w:val="LGTdoc"/>
        <w:spacing w:before="60" w:afterLines="0" w:line="240" w:lineRule="auto"/>
        <w:jc w:val="center"/>
        <w:rPr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3</w:t>
      </w:r>
      <w:r w:rsidRPr="00086721">
        <w:rPr>
          <w:b/>
          <w:sz w:val="20"/>
        </w:rPr>
        <w:t xml:space="preserve">. </w:t>
      </w:r>
      <w:r>
        <w:rPr>
          <w:b/>
          <w:sz w:val="20"/>
        </w:rPr>
        <w:t>Subcarrier mapping according to Alt.2 (max SCS assuming 60 kHz)</w:t>
      </w:r>
    </w:p>
    <w:p w14:paraId="55B5CA42" w14:textId="77777777" w:rsidR="00D4054E" w:rsidRDefault="00D4054E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1582B36A" w14:textId="3E20F171" w:rsidR="007506E9" w:rsidRDefault="00613F5A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followings are pros and cons of Alt.2 discussed during RAN1 #88</w:t>
      </w:r>
      <w:r w:rsidR="00956C3F">
        <w:rPr>
          <w:sz w:val="20"/>
          <w:szCs w:val="20"/>
          <w:lang w:val="en-US"/>
        </w:rPr>
        <w:t xml:space="preserve"> [2]</w:t>
      </w:r>
      <w:r>
        <w:rPr>
          <w:sz w:val="20"/>
          <w:szCs w:val="20"/>
          <w:lang w:val="en-US"/>
        </w:rPr>
        <w:t>.</w:t>
      </w:r>
    </w:p>
    <w:p w14:paraId="0E0E94D3" w14:textId="77777777" w:rsidR="00613F5A" w:rsidRDefault="00613F5A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645DC856" w14:textId="77777777" w:rsidR="00B54B65" w:rsidRDefault="00B54B65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27803491" w14:textId="77777777" w:rsidR="007506E9" w:rsidRDefault="007506E9" w:rsidP="007506E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3D220E">
        <w:rPr>
          <w:sz w:val="20"/>
          <w:szCs w:val="20"/>
          <w:u w:val="single"/>
          <w:lang w:val="en-US"/>
        </w:rPr>
        <w:lastRenderedPageBreak/>
        <w:t>Pros</w:t>
      </w:r>
      <w:r>
        <w:rPr>
          <w:sz w:val="20"/>
          <w:szCs w:val="20"/>
          <w:lang w:val="en-US"/>
        </w:rPr>
        <w:t>:</w:t>
      </w:r>
    </w:p>
    <w:p w14:paraId="7C6D5FEF" w14:textId="659D4A77" w:rsidR="007506E9" w:rsidRPr="00D14AB4" w:rsidRDefault="00D14AB4" w:rsidP="00D14AB4">
      <w:pPr>
        <w:pStyle w:val="LGTdoc"/>
        <w:numPr>
          <w:ilvl w:val="0"/>
          <w:numId w:val="24"/>
        </w:numPr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overall subcarrier positions of a larger SCS </w:t>
      </w:r>
      <w:r w:rsidR="00E2714D">
        <w:rPr>
          <w:sz w:val="20"/>
          <w:szCs w:val="20"/>
          <w:lang w:val="en-US"/>
        </w:rPr>
        <w:t xml:space="preserve">seem more </w:t>
      </w:r>
      <w:r>
        <w:rPr>
          <w:sz w:val="20"/>
          <w:szCs w:val="20"/>
          <w:lang w:val="en-US"/>
        </w:rPr>
        <w:t>balanced w.r.t. a smaller</w:t>
      </w:r>
      <w:r w:rsidR="00D70BB9">
        <w:rPr>
          <w:sz w:val="20"/>
          <w:szCs w:val="20"/>
          <w:lang w:val="en-US"/>
        </w:rPr>
        <w:t xml:space="preserve"> SCS, which </w:t>
      </w:r>
      <w:r w:rsidR="00E2714D">
        <w:rPr>
          <w:sz w:val="20"/>
          <w:szCs w:val="20"/>
          <w:lang w:val="en-US"/>
        </w:rPr>
        <w:t xml:space="preserve">may allow to reduce unbalanced </w:t>
      </w:r>
      <w:r w:rsidR="00D70BB9">
        <w:rPr>
          <w:sz w:val="20"/>
          <w:szCs w:val="20"/>
          <w:lang w:val="en-US"/>
        </w:rPr>
        <w:t>interference to neighbor RBs.</w:t>
      </w:r>
    </w:p>
    <w:p w14:paraId="0B065C0C" w14:textId="77777777" w:rsidR="007506E9" w:rsidRDefault="007506E9" w:rsidP="007506E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8B461D">
        <w:rPr>
          <w:sz w:val="20"/>
          <w:szCs w:val="20"/>
          <w:u w:val="single"/>
          <w:lang w:val="en-US"/>
        </w:rPr>
        <w:t>Cons</w:t>
      </w:r>
      <w:r>
        <w:rPr>
          <w:sz w:val="20"/>
          <w:szCs w:val="20"/>
          <w:lang w:val="en-US"/>
        </w:rPr>
        <w:t>:</w:t>
      </w:r>
    </w:p>
    <w:p w14:paraId="0E05F488" w14:textId="0BBDBB9E" w:rsidR="007506E9" w:rsidRDefault="00D14AB4" w:rsidP="007506E9">
      <w:pPr>
        <w:pStyle w:val="LGTdoc"/>
        <w:numPr>
          <w:ilvl w:val="0"/>
          <w:numId w:val="24"/>
        </w:numPr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subcarrier index 0 between different SCS is not aligne</w:t>
      </w:r>
      <w:r w:rsidR="007C7231">
        <w:rPr>
          <w:sz w:val="20"/>
          <w:szCs w:val="20"/>
          <w:lang w:val="en-US"/>
        </w:rPr>
        <w:t xml:space="preserve">d, which might complicate design such as DC handling and RS location. </w:t>
      </w:r>
    </w:p>
    <w:p w14:paraId="24AD9127" w14:textId="77777777" w:rsidR="008B461D" w:rsidRDefault="008B461D" w:rsidP="008B461D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184CED03" w14:textId="3D4D4477" w:rsidR="00D14AB4" w:rsidRDefault="00F320E3" w:rsidP="00322F76">
      <w:pPr>
        <w:jc w:val="both"/>
        <w:rPr>
          <w:lang w:val="en-US"/>
        </w:rPr>
      </w:pPr>
      <w:r>
        <w:rPr>
          <w:lang w:val="en-US"/>
        </w:rPr>
        <w:t xml:space="preserve">In the case of Alt.2, we see that the cons supersedes the pros. </w:t>
      </w:r>
      <w:r w:rsidR="00096ADB">
        <w:rPr>
          <w:lang w:val="en-US"/>
        </w:rPr>
        <w:t xml:space="preserve">When comparing Figure 2 and Figure 3, it is seen that the subcarrier mapping for even the same SCS of 60 kHz can be different depending on the max SCS. </w:t>
      </w:r>
      <w:r w:rsidR="00EE17F4">
        <w:rPr>
          <w:lang w:val="en-US"/>
        </w:rPr>
        <w:t xml:space="preserve">This implies that UE cannot determine the subcarrier mapping without knowing the max SCS of the particular carrier. </w:t>
      </w:r>
      <w:r w:rsidR="006D04DA">
        <w:rPr>
          <w:lang w:val="en-US"/>
        </w:rPr>
        <w:t>This may require to perform multiple hypothesis testing on detecting the synchronization signals and/or RSs during the state that the UE does not know the max SCS.</w:t>
      </w:r>
      <w:r w:rsidR="002F2C0A">
        <w:rPr>
          <w:lang w:val="en-US"/>
        </w:rPr>
        <w:t xml:space="preserve"> </w:t>
      </w:r>
      <w:r w:rsidR="00027F54">
        <w:rPr>
          <w:lang w:val="en-US"/>
        </w:rPr>
        <w:t xml:space="preserve">Furthermore, when re-configuration of the max SCS occurs on the cell, all the UEs should apply the change and there exists uncertainty timing on from when the reconfiguration applies. </w:t>
      </w:r>
      <w:r w:rsidR="001F14AA">
        <w:rPr>
          <w:lang w:val="en-US"/>
        </w:rPr>
        <w:t xml:space="preserve">Also, Alt.2 requires for UE to </w:t>
      </w:r>
      <w:r w:rsidR="00322F76">
        <w:rPr>
          <w:lang w:val="en-US"/>
        </w:rPr>
        <w:t>implement</w:t>
      </w:r>
      <w:r w:rsidR="001F14AA">
        <w:rPr>
          <w:lang w:val="en-US"/>
        </w:rPr>
        <w:t xml:space="preserve"> frequency offset compensation block to revert the applied frequency offset</w:t>
      </w:r>
      <w:r w:rsidR="00322F76">
        <w:rPr>
          <w:lang w:val="en-US"/>
        </w:rPr>
        <w:t xml:space="preserve"> at the transmitter. Although, </w:t>
      </w:r>
      <w:r w:rsidR="00132C10">
        <w:rPr>
          <w:lang w:val="en-US"/>
        </w:rPr>
        <w:t>we believe that those issues are</w:t>
      </w:r>
      <w:r w:rsidR="00322F76">
        <w:rPr>
          <w:lang w:val="en-US"/>
        </w:rPr>
        <w:t xml:space="preserve"> can be </w:t>
      </w:r>
      <w:r w:rsidR="00132C10">
        <w:rPr>
          <w:lang w:val="en-US"/>
        </w:rPr>
        <w:t xml:space="preserve">can be </w:t>
      </w:r>
      <w:r w:rsidR="006B511D">
        <w:rPr>
          <w:lang w:val="en-US"/>
        </w:rPr>
        <w:t xml:space="preserve">handled </w:t>
      </w:r>
      <w:r w:rsidR="00322F76">
        <w:rPr>
          <w:lang w:val="en-US"/>
        </w:rPr>
        <w:t>appropriately but it would be better to avoid, unless there is an apparent advantage of Alt.2 over Alt.1</w:t>
      </w:r>
      <w:r w:rsidR="006B511D">
        <w:rPr>
          <w:lang w:val="en-US"/>
        </w:rPr>
        <w:t>.</w:t>
      </w:r>
      <w:r w:rsidR="00132C10">
        <w:rPr>
          <w:lang w:val="en-US"/>
        </w:rPr>
        <w:t xml:space="preserve"> </w:t>
      </w:r>
    </w:p>
    <w:p w14:paraId="3D872621" w14:textId="6B8C2107" w:rsidR="00E127CA" w:rsidRDefault="00A0663C" w:rsidP="00536CC4">
      <w:pPr>
        <w:jc w:val="both"/>
        <w:rPr>
          <w:lang w:val="en-US"/>
        </w:rPr>
      </w:pPr>
      <w:r>
        <w:rPr>
          <w:lang w:val="en-US"/>
        </w:rPr>
        <w:t xml:space="preserve">On the other hand, </w:t>
      </w:r>
      <w:r w:rsidR="00322F76">
        <w:rPr>
          <w:lang w:val="en-US"/>
        </w:rPr>
        <w:t>i</w:t>
      </w:r>
      <w:r w:rsidR="00E127CA">
        <w:rPr>
          <w:lang w:val="en-US"/>
        </w:rPr>
        <w:t xml:space="preserve">f we look at the subcarrier mapping for SCS of 60 kHz, it is also biased to the </w:t>
      </w:r>
      <w:bookmarkStart w:id="4" w:name="_GoBack"/>
      <w:r w:rsidR="00E127CA">
        <w:rPr>
          <w:lang w:val="en-US"/>
        </w:rPr>
        <w:t>right</w:t>
      </w:r>
      <w:r>
        <w:rPr>
          <w:lang w:val="en-US"/>
        </w:rPr>
        <w:t xml:space="preserve"> like Alt.1</w:t>
      </w:r>
      <w:r w:rsidR="00E127CA">
        <w:rPr>
          <w:lang w:val="en-US"/>
        </w:rPr>
        <w:t xml:space="preserve">. The same </w:t>
      </w:r>
      <w:r>
        <w:rPr>
          <w:lang w:val="en-US"/>
        </w:rPr>
        <w:t xml:space="preserve">observation </w:t>
      </w:r>
      <w:r w:rsidR="00E127CA">
        <w:rPr>
          <w:lang w:val="en-US"/>
        </w:rPr>
        <w:t>applies to subcarrier mapping for SCS of 30 kHz as well.</w:t>
      </w:r>
    </w:p>
    <w:p w14:paraId="2B4DC322" w14:textId="71BCD82E" w:rsidR="001F607F" w:rsidRDefault="00B349F3" w:rsidP="005A57A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>:</w:t>
      </w:r>
      <w:r w:rsidR="004F4A19">
        <w:rPr>
          <w:snapToGrid/>
          <w:kern w:val="2"/>
          <w:sz w:val="20"/>
          <w:lang w:val="en-US"/>
        </w:rPr>
        <w:t xml:space="preserve"> Although it seems that both Alt.1 and Alt.2 are feasible,</w:t>
      </w:r>
      <w:r w:rsidR="001F607F">
        <w:rPr>
          <w:snapToGrid/>
          <w:kern w:val="2"/>
          <w:sz w:val="20"/>
          <w:lang w:val="en-US"/>
        </w:rPr>
        <w:t xml:space="preserve"> the adoption of</w:t>
      </w:r>
      <w:r w:rsidR="004F4A19">
        <w:rPr>
          <w:snapToGrid/>
          <w:kern w:val="2"/>
          <w:sz w:val="20"/>
          <w:lang w:val="en-US"/>
        </w:rPr>
        <w:t xml:space="preserve"> Alt.1</w:t>
      </w:r>
      <w:r w:rsidR="001F607F">
        <w:rPr>
          <w:snapToGrid/>
          <w:kern w:val="2"/>
          <w:sz w:val="20"/>
          <w:lang w:val="en-US"/>
        </w:rPr>
        <w:t xml:space="preserve"> is straightforward </w:t>
      </w:r>
      <w:r w:rsidR="00027F54">
        <w:rPr>
          <w:snapToGrid/>
          <w:kern w:val="2"/>
          <w:sz w:val="20"/>
          <w:lang w:val="en-US"/>
        </w:rPr>
        <w:t xml:space="preserve">and safer </w:t>
      </w:r>
      <w:r w:rsidR="001F607F">
        <w:rPr>
          <w:snapToGrid/>
          <w:kern w:val="2"/>
          <w:sz w:val="20"/>
          <w:lang w:val="en-US"/>
        </w:rPr>
        <w:t xml:space="preserve">in terms of system operation and requires </w:t>
      </w:r>
      <w:r w:rsidR="00584C5F">
        <w:rPr>
          <w:snapToGrid/>
          <w:kern w:val="2"/>
          <w:sz w:val="20"/>
          <w:lang w:val="en-US"/>
        </w:rPr>
        <w:t xml:space="preserve">less considerations </w:t>
      </w:r>
      <w:r w:rsidR="00027F54">
        <w:rPr>
          <w:snapToGrid/>
          <w:kern w:val="2"/>
          <w:sz w:val="20"/>
          <w:lang w:val="en-US"/>
        </w:rPr>
        <w:t xml:space="preserve">of </w:t>
      </w:r>
      <w:r w:rsidR="00584C5F">
        <w:rPr>
          <w:snapToGrid/>
          <w:kern w:val="2"/>
          <w:sz w:val="20"/>
          <w:lang w:val="en-US"/>
        </w:rPr>
        <w:t>other design aspects</w:t>
      </w:r>
      <w:r w:rsidR="00027F54">
        <w:rPr>
          <w:snapToGrid/>
          <w:kern w:val="2"/>
          <w:sz w:val="20"/>
          <w:lang w:val="en-US"/>
        </w:rPr>
        <w:t xml:space="preserve"> and error cases</w:t>
      </w:r>
      <w:r w:rsidR="00584C5F">
        <w:rPr>
          <w:snapToGrid/>
          <w:kern w:val="2"/>
          <w:sz w:val="20"/>
          <w:lang w:val="en-US"/>
        </w:rPr>
        <w:t>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bookmarkEnd w:id="4"/>
    <w:p w14:paraId="4F42E329" w14:textId="3BED06E2" w:rsidR="00790072" w:rsidRDefault="00790072" w:rsidP="00790072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</w:t>
      </w:r>
      <w:r w:rsidR="00584C5F">
        <w:rPr>
          <w:sz w:val="20"/>
          <w:szCs w:val="20"/>
          <w:lang w:val="en-US"/>
        </w:rPr>
        <w:t xml:space="preserve"> compared two alternatives for subcarrier mapping agreed in the previous meeting and drove the following observation.</w:t>
      </w:r>
      <w:r>
        <w:rPr>
          <w:sz w:val="20"/>
          <w:szCs w:val="20"/>
          <w:lang w:val="en-US"/>
        </w:rPr>
        <w:t xml:space="preserve"> </w:t>
      </w:r>
    </w:p>
    <w:p w14:paraId="198B9A24" w14:textId="45DCD04E" w:rsidR="00915C3F" w:rsidRPr="00801BC9" w:rsidRDefault="00584C5F" w:rsidP="00801BC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Although it seems that both Alt.1 and Alt.2 are feasible, the adoption of Alt.1 is straightforward </w:t>
      </w:r>
      <w:r w:rsidR="00027F54">
        <w:rPr>
          <w:snapToGrid/>
          <w:kern w:val="2"/>
          <w:sz w:val="20"/>
          <w:lang w:val="en-US"/>
        </w:rPr>
        <w:t xml:space="preserve">and safer </w:t>
      </w:r>
      <w:r>
        <w:rPr>
          <w:snapToGrid/>
          <w:kern w:val="2"/>
          <w:sz w:val="20"/>
          <w:lang w:val="en-US"/>
        </w:rPr>
        <w:t xml:space="preserve">in terms of system operation and requires less considerations </w:t>
      </w:r>
      <w:r w:rsidR="00027F54">
        <w:rPr>
          <w:snapToGrid/>
          <w:kern w:val="2"/>
          <w:sz w:val="20"/>
          <w:lang w:val="en-US"/>
        </w:rPr>
        <w:t xml:space="preserve">of </w:t>
      </w:r>
      <w:r>
        <w:rPr>
          <w:snapToGrid/>
          <w:kern w:val="2"/>
          <w:sz w:val="20"/>
          <w:lang w:val="en-US"/>
        </w:rPr>
        <w:t>other design aspects</w:t>
      </w:r>
      <w:r w:rsidR="00027F54">
        <w:rPr>
          <w:snapToGrid/>
          <w:kern w:val="2"/>
          <w:sz w:val="20"/>
          <w:lang w:val="en-US"/>
        </w:rPr>
        <w:t xml:space="preserve"> and error cases</w:t>
      </w:r>
      <w:r>
        <w:rPr>
          <w:snapToGrid/>
          <w:kern w:val="2"/>
          <w:sz w:val="20"/>
          <w:lang w:val="en-US"/>
        </w:rPr>
        <w:t>.</w:t>
      </w:r>
    </w:p>
    <w:p w14:paraId="4BB90CB1" w14:textId="77777777" w:rsidR="00A8419C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37143916" w14:textId="77777777" w:rsidR="00584C5F" w:rsidRPr="00FC7BBB" w:rsidRDefault="00584C5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422559E3" w14:textId="6E6BB053" w:rsidR="00385823" w:rsidRDefault="00970EC2" w:rsidP="00814C2D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814C2D">
        <w:rPr>
          <w:sz w:val="20"/>
        </w:rPr>
        <w:t xml:space="preserve">RAN1 Chairman’s Notes, </w:t>
      </w:r>
      <w:r w:rsidR="00A72BA7" w:rsidRPr="00A72BA7">
        <w:rPr>
          <w:sz w:val="20"/>
        </w:rPr>
        <w:t xml:space="preserve">3GPP TSG RAN </w:t>
      </w:r>
      <w:r w:rsidR="00814C2D">
        <w:rPr>
          <w:sz w:val="20"/>
        </w:rPr>
        <w:t xml:space="preserve">WG1 </w:t>
      </w:r>
      <w:r w:rsidR="00A72BA7" w:rsidRPr="00A72BA7">
        <w:rPr>
          <w:sz w:val="20"/>
        </w:rPr>
        <w:t>Meeting #</w:t>
      </w:r>
      <w:r w:rsidR="00814C2D">
        <w:rPr>
          <w:sz w:val="20"/>
        </w:rPr>
        <w:t>88</w:t>
      </w:r>
      <w:r w:rsidR="00A72BA7">
        <w:rPr>
          <w:sz w:val="20"/>
        </w:rPr>
        <w:t xml:space="preserve">, </w:t>
      </w:r>
      <w:r w:rsidR="00814C2D">
        <w:rPr>
          <w:sz w:val="20"/>
        </w:rPr>
        <w:t>Feb.</w:t>
      </w:r>
      <w:r w:rsidR="00A72BA7">
        <w:rPr>
          <w:sz w:val="20"/>
        </w:rPr>
        <w:t>, 2017</w:t>
      </w:r>
    </w:p>
    <w:p w14:paraId="2C5C05D1" w14:textId="7D072CE1" w:rsidR="00956C3F" w:rsidRPr="00915C3F" w:rsidRDefault="00956C3F" w:rsidP="00956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>
        <w:rPr>
          <w:sz w:val="20"/>
        </w:rPr>
        <w:t xml:space="preserve">R1-1704040, WF on subcarrier mapping and PRB grid, Panasonic, NTT DOCOMO, </w:t>
      </w:r>
      <w:r w:rsidRPr="00A72BA7">
        <w:rPr>
          <w:sz w:val="20"/>
        </w:rPr>
        <w:t xml:space="preserve">3GPP TSG RAN </w:t>
      </w:r>
      <w:r>
        <w:rPr>
          <w:sz w:val="20"/>
        </w:rPr>
        <w:t xml:space="preserve">WG1 </w:t>
      </w:r>
      <w:r w:rsidRPr="00A72BA7">
        <w:rPr>
          <w:sz w:val="20"/>
        </w:rPr>
        <w:t>Meeting #</w:t>
      </w:r>
      <w:r>
        <w:rPr>
          <w:sz w:val="20"/>
        </w:rPr>
        <w:t>88, Feb., 2017</w:t>
      </w:r>
    </w:p>
    <w:p w14:paraId="7F5CF626" w14:textId="77777777" w:rsidR="00956C3F" w:rsidRPr="00915C3F" w:rsidRDefault="00956C3F" w:rsidP="00814C2D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956C3F" w:rsidRPr="00915C3F" w:rsidSect="00FC27AE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E1C52" w14:textId="77777777" w:rsidR="005D2AFD" w:rsidRDefault="005D2AFD">
      <w:r>
        <w:separator/>
      </w:r>
    </w:p>
  </w:endnote>
  <w:endnote w:type="continuationSeparator" w:id="0">
    <w:p w14:paraId="0B550CED" w14:textId="77777777" w:rsidR="005D2AFD" w:rsidRDefault="005D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8C7A35" w:rsidRDefault="008C7A3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8C7A35" w:rsidRDefault="008C7A3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8C7A35" w:rsidRDefault="008C7A3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2F7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2F7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99514" w14:textId="77777777" w:rsidR="005D2AFD" w:rsidRDefault="005D2AFD">
      <w:r>
        <w:separator/>
      </w:r>
    </w:p>
  </w:footnote>
  <w:footnote w:type="continuationSeparator" w:id="0">
    <w:p w14:paraId="13686E4E" w14:textId="77777777" w:rsidR="005D2AFD" w:rsidRDefault="005D2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8C7A35" w:rsidRDefault="008C7A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3377"/>
    <w:multiLevelType w:val="hybridMultilevel"/>
    <w:tmpl w:val="1C647DA4"/>
    <w:lvl w:ilvl="0" w:tplc="9DC8A7EE">
      <w:start w:val="1"/>
      <w:numFmt w:val="bullet"/>
      <w:lvlText w:val="⋅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4D18EB"/>
    <w:multiLevelType w:val="hybridMultilevel"/>
    <w:tmpl w:val="43242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21595"/>
    <w:multiLevelType w:val="hybridMultilevel"/>
    <w:tmpl w:val="3C6C76E8"/>
    <w:lvl w:ilvl="0" w:tplc="13A86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4180">
      <w:start w:val="33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0C9D6">
      <w:start w:val="33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0B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6D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69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6C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D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0C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E528C"/>
    <w:multiLevelType w:val="hybridMultilevel"/>
    <w:tmpl w:val="47F02C9A"/>
    <w:lvl w:ilvl="0" w:tplc="F5C4F69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17305"/>
    <w:multiLevelType w:val="hybridMultilevel"/>
    <w:tmpl w:val="97F62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20"/>
  </w:num>
  <w:num w:numId="5">
    <w:abstractNumId w:val="9"/>
  </w:num>
  <w:num w:numId="6">
    <w:abstractNumId w:val="12"/>
  </w:num>
  <w:num w:numId="7">
    <w:abstractNumId w:val="8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18"/>
  </w:num>
  <w:num w:numId="15">
    <w:abstractNumId w:val="22"/>
  </w:num>
  <w:num w:numId="16">
    <w:abstractNumId w:val="15"/>
  </w:num>
  <w:num w:numId="17">
    <w:abstractNumId w:val="6"/>
  </w:num>
  <w:num w:numId="18">
    <w:abstractNumId w:val="17"/>
  </w:num>
  <w:num w:numId="19">
    <w:abstractNumId w:val="21"/>
  </w:num>
  <w:num w:numId="20">
    <w:abstractNumId w:val="14"/>
  </w:num>
  <w:num w:numId="21">
    <w:abstractNumId w:val="13"/>
  </w:num>
  <w:num w:numId="22">
    <w:abstractNumId w:val="7"/>
  </w:num>
  <w:num w:numId="23">
    <w:abstractNumId w:val="24"/>
  </w:num>
  <w:num w:numId="2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27F54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9E6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ABC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558"/>
    <w:rsid w:val="0006777C"/>
    <w:rsid w:val="00067FE2"/>
    <w:rsid w:val="00070378"/>
    <w:rsid w:val="0007118F"/>
    <w:rsid w:val="000716FB"/>
    <w:rsid w:val="00071E9B"/>
    <w:rsid w:val="000729F4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2EBB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6953"/>
    <w:rsid w:val="00096ADB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359"/>
    <w:rsid w:val="000B17A1"/>
    <w:rsid w:val="000B188E"/>
    <w:rsid w:val="000B1CD3"/>
    <w:rsid w:val="000B256B"/>
    <w:rsid w:val="000B27CB"/>
    <w:rsid w:val="000B2B4D"/>
    <w:rsid w:val="000B3118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508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865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652A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9E6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C10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3D4"/>
    <w:rsid w:val="00142946"/>
    <w:rsid w:val="00142E42"/>
    <w:rsid w:val="001433C9"/>
    <w:rsid w:val="0014371C"/>
    <w:rsid w:val="001437B0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3B3B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54F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AE1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1CA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4AA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07F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3FEB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26E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AFB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784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0E0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439F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0A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A8B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2F76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B64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85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3F00"/>
    <w:rsid w:val="00364A63"/>
    <w:rsid w:val="00364B1F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20E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46B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1C2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9AD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60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DB"/>
    <w:rsid w:val="00486CF2"/>
    <w:rsid w:val="00486EC5"/>
    <w:rsid w:val="00487442"/>
    <w:rsid w:val="00487463"/>
    <w:rsid w:val="00487BB8"/>
    <w:rsid w:val="00487E38"/>
    <w:rsid w:val="00487F28"/>
    <w:rsid w:val="00490649"/>
    <w:rsid w:val="0049088E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A4C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A19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5EC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B0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4C5F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3E55"/>
    <w:rsid w:val="005A40D5"/>
    <w:rsid w:val="005A4999"/>
    <w:rsid w:val="005A4E38"/>
    <w:rsid w:val="005A50CE"/>
    <w:rsid w:val="005A57A0"/>
    <w:rsid w:val="005A588D"/>
    <w:rsid w:val="005A59CF"/>
    <w:rsid w:val="005A6A3A"/>
    <w:rsid w:val="005A6FA1"/>
    <w:rsid w:val="005A7F72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9C"/>
    <w:rsid w:val="005D24A2"/>
    <w:rsid w:val="005D26D7"/>
    <w:rsid w:val="005D28C7"/>
    <w:rsid w:val="005D2A49"/>
    <w:rsid w:val="005D2AFD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E7FF3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5734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3F5A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096D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12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11D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3CF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4DA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746"/>
    <w:rsid w:val="006F3B01"/>
    <w:rsid w:val="006F3BDF"/>
    <w:rsid w:val="006F4072"/>
    <w:rsid w:val="006F4189"/>
    <w:rsid w:val="006F473D"/>
    <w:rsid w:val="006F4A19"/>
    <w:rsid w:val="006F557B"/>
    <w:rsid w:val="006F56E6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2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4DF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6E9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4EE4"/>
    <w:rsid w:val="007954AC"/>
    <w:rsid w:val="0079601B"/>
    <w:rsid w:val="007962E1"/>
    <w:rsid w:val="0079663F"/>
    <w:rsid w:val="00796CAC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8E4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231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A74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2D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988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585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E2E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61D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A35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4E73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0C7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6C3F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38F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63C"/>
    <w:rsid w:val="00A06F57"/>
    <w:rsid w:val="00A07654"/>
    <w:rsid w:val="00A07B16"/>
    <w:rsid w:val="00A07EA6"/>
    <w:rsid w:val="00A105DB"/>
    <w:rsid w:val="00A106FE"/>
    <w:rsid w:val="00A10AF1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A30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6E8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AFF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3F5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D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18F6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56DF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67A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49F3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1DE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4B65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1F94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265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49AD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A6B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0FD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16B"/>
    <w:rsid w:val="00C80547"/>
    <w:rsid w:val="00C80F87"/>
    <w:rsid w:val="00C815F8"/>
    <w:rsid w:val="00C8198E"/>
    <w:rsid w:val="00C81B30"/>
    <w:rsid w:val="00C82141"/>
    <w:rsid w:val="00C82387"/>
    <w:rsid w:val="00C8404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B2B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C7F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F51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426E"/>
    <w:rsid w:val="00D14AB4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54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BB9"/>
    <w:rsid w:val="00D70DD8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6E6"/>
    <w:rsid w:val="00DB1539"/>
    <w:rsid w:val="00DB19FB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7CA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14D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019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5D0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2C3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B8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7F4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0E3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974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14AF870-05CA-4E6D-ABF6-394326791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D1445A-9518-4DD7-9B87-973587C3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7</cp:revision>
  <cp:lastPrinted>2016-05-14T03:13:00Z</cp:lastPrinted>
  <dcterms:created xsi:type="dcterms:W3CDTF">2017-03-24T22:44:00Z</dcterms:created>
  <dcterms:modified xsi:type="dcterms:W3CDTF">2017-03-25T06:04:00Z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