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14845" w14:textId="4E77AE69" w:rsidR="000A0A9C" w:rsidRPr="006C4B73" w:rsidRDefault="000A0A9C" w:rsidP="000A0A9C">
      <w:pPr>
        <w:pStyle w:val="a7"/>
        <w:rPr>
          <w:sz w:val="24"/>
          <w:lang w:val="en-US" w:eastAsia="ja-JP"/>
        </w:rPr>
      </w:pPr>
      <w:bookmarkStart w:id="0" w:name="OLE_LINK3"/>
      <w:r>
        <w:rPr>
          <w:sz w:val="24"/>
          <w:lang w:val="en-US"/>
        </w:rPr>
        <w:t>3GPP TSG RAN WG1 Meeting #88bis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96003F">
        <w:rPr>
          <w:sz w:val="24"/>
          <w:lang w:val="en-US"/>
        </w:rPr>
        <w:t>R1-17</w:t>
      </w:r>
      <w:r w:rsidR="00E4104E">
        <w:rPr>
          <w:sz w:val="24"/>
          <w:lang w:val="en-US"/>
        </w:rPr>
        <w:t>05755</w:t>
      </w:r>
    </w:p>
    <w:p w14:paraId="33DE6DF6" w14:textId="77777777" w:rsidR="000A0A9C" w:rsidRDefault="000A0A9C" w:rsidP="000A0A9C">
      <w:pPr>
        <w:pStyle w:val="a7"/>
        <w:rPr>
          <w:sz w:val="24"/>
          <w:lang w:val="en-US"/>
        </w:rPr>
      </w:pPr>
      <w:r w:rsidRPr="00A3686A">
        <w:rPr>
          <w:sz w:val="24"/>
          <w:lang w:val="en-US"/>
        </w:rPr>
        <w:t>Spokane, USA 3rd - 7th April 2017</w:t>
      </w:r>
    </w:p>
    <w:p w14:paraId="097926AE" w14:textId="77777777" w:rsidR="002123E7" w:rsidRPr="000A0A9C"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539170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14E36">
        <w:rPr>
          <w:sz w:val="24"/>
          <w:lang w:val="en-US" w:eastAsia="ja-JP"/>
        </w:rPr>
        <w:t>Scheduling and HARQ for CA and DC</w:t>
      </w:r>
    </w:p>
    <w:bookmarkEnd w:id="1"/>
    <w:bookmarkEnd w:id="2"/>
    <w:bookmarkEnd w:id="3"/>
    <w:bookmarkEnd w:id="4"/>
    <w:p w14:paraId="02FF14B3" w14:textId="5169AD1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23BA4">
        <w:rPr>
          <w:sz w:val="24"/>
          <w:lang w:val="en-US" w:eastAsia="ja-JP"/>
        </w:rPr>
        <w:t>8.1.3.</w:t>
      </w:r>
      <w:r w:rsidR="00814E36">
        <w:rPr>
          <w:rFonts w:hint="eastAsia"/>
          <w:sz w:val="24"/>
          <w:lang w:val="en-US" w:eastAsia="ja-JP"/>
        </w:rPr>
        <w:t>4.</w:t>
      </w:r>
      <w:bookmarkStart w:id="6" w:name="_GoBack"/>
      <w:bookmarkEnd w:id="6"/>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4E21128E" w:rsidR="005250D1" w:rsidRDefault="00876BA5" w:rsidP="006537B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814E36">
        <w:rPr>
          <w:rFonts w:eastAsia="ＭＳ 明朝"/>
          <w:sz w:val="22"/>
          <w:lang w:val="en-US"/>
        </w:rPr>
        <w:t xml:space="preserve">we </w:t>
      </w:r>
      <w:r w:rsidR="000C6D16">
        <w:rPr>
          <w:rFonts w:eastAsia="ＭＳ 明朝"/>
          <w:sz w:val="22"/>
          <w:lang w:val="en-US"/>
        </w:rPr>
        <w:t>present our initial views on</w:t>
      </w:r>
      <w:r w:rsidR="00814E36">
        <w:rPr>
          <w:rFonts w:eastAsia="ＭＳ 明朝"/>
          <w:sz w:val="22"/>
          <w:lang w:val="en-US"/>
        </w:rPr>
        <w:t xml:space="preserve"> scheduling and HARQ aspects for carrier aggregation and dual connectivity.</w:t>
      </w:r>
    </w:p>
    <w:p w14:paraId="19B603EA" w14:textId="37F34AF6" w:rsidR="00E20B1D" w:rsidRDefault="00E4104E" w:rsidP="00E20B1D">
      <w:pPr>
        <w:pStyle w:val="1"/>
        <w:numPr>
          <w:ilvl w:val="0"/>
          <w:numId w:val="6"/>
        </w:numPr>
        <w:spacing w:after="120"/>
        <w:jc w:val="both"/>
        <w:rPr>
          <w:rFonts w:eastAsia="DengXian"/>
          <w:b/>
          <w:lang w:val="en-US" w:eastAsia="zh-CN"/>
        </w:rPr>
      </w:pPr>
      <w:r>
        <w:rPr>
          <w:rFonts w:eastAsia="DengXian"/>
          <w:b/>
          <w:lang w:val="en-US" w:eastAsia="zh-CN"/>
        </w:rPr>
        <w:t>NR carrier aggregation</w:t>
      </w:r>
    </w:p>
    <w:p w14:paraId="150F353F" w14:textId="02792185" w:rsidR="00A24F60" w:rsidRDefault="000C6D16" w:rsidP="006537BD">
      <w:pPr>
        <w:spacing w:afterLines="50" w:after="120"/>
        <w:jc w:val="both"/>
        <w:rPr>
          <w:rFonts w:eastAsia="ＭＳ 明朝"/>
          <w:sz w:val="22"/>
          <w:lang w:val="en-US"/>
        </w:rPr>
      </w:pPr>
      <w:r>
        <w:rPr>
          <w:rFonts w:eastAsia="ＭＳ 明朝" w:hint="eastAsia"/>
          <w:sz w:val="22"/>
          <w:lang w:val="en-US"/>
        </w:rPr>
        <w:t>RAN1 agreed to specify maximum bandwidth of 400</w:t>
      </w:r>
      <w:r>
        <w:rPr>
          <w:rFonts w:eastAsia="ＭＳ 明朝"/>
          <w:sz w:val="22"/>
          <w:lang w:val="en-US"/>
        </w:rPr>
        <w:t xml:space="preserve"> </w:t>
      </w:r>
      <w:r>
        <w:rPr>
          <w:rFonts w:eastAsia="ＭＳ 明朝" w:hint="eastAsia"/>
          <w:sz w:val="22"/>
          <w:lang w:val="en-US"/>
        </w:rPr>
        <w:t>MHz</w:t>
      </w:r>
      <w:r>
        <w:rPr>
          <w:rFonts w:eastAsia="ＭＳ 明朝"/>
          <w:sz w:val="22"/>
          <w:lang w:val="en-US"/>
        </w:rPr>
        <w:t xml:space="preserve"> per NR carrier. Within a given NR carrier, UE may support narrower </w:t>
      </w:r>
      <w:r w:rsidR="001A10EE">
        <w:rPr>
          <w:rFonts w:eastAsia="ＭＳ 明朝"/>
          <w:sz w:val="22"/>
          <w:lang w:val="en-US"/>
        </w:rPr>
        <w:t>access</w:t>
      </w:r>
      <w:r>
        <w:rPr>
          <w:rFonts w:eastAsia="ＭＳ 明朝"/>
          <w:sz w:val="22"/>
          <w:lang w:val="en-US"/>
        </w:rPr>
        <w:t xml:space="preserve"> bandwidth compared to </w:t>
      </w:r>
      <w:r w:rsidR="00A24F60">
        <w:rPr>
          <w:rFonts w:eastAsia="ＭＳ 明朝"/>
          <w:sz w:val="22"/>
          <w:lang w:val="en-US"/>
        </w:rPr>
        <w:t xml:space="preserve">the </w:t>
      </w:r>
      <w:r>
        <w:rPr>
          <w:rFonts w:eastAsia="ＭＳ 明朝"/>
          <w:sz w:val="22"/>
          <w:lang w:val="en-US"/>
        </w:rPr>
        <w:t>bandwidth</w:t>
      </w:r>
      <w:r w:rsidR="00A24F60">
        <w:rPr>
          <w:rFonts w:eastAsia="ＭＳ 明朝"/>
          <w:sz w:val="22"/>
          <w:lang w:val="en-US"/>
        </w:rPr>
        <w:t xml:space="preserve"> of the carrier [1]</w:t>
      </w:r>
      <w:r>
        <w:rPr>
          <w:rFonts w:eastAsia="ＭＳ 明朝"/>
          <w:sz w:val="22"/>
          <w:lang w:val="en-US"/>
        </w:rPr>
        <w:t xml:space="preserve">. </w:t>
      </w:r>
      <w:r w:rsidR="00A24F60">
        <w:rPr>
          <w:rFonts w:eastAsia="ＭＳ 明朝"/>
          <w:sz w:val="22"/>
          <w:lang w:val="en-US"/>
        </w:rPr>
        <w:t xml:space="preserve">Besides, even if the UE support the full bandwidth of the carrier, the actual monitored/scheduled bandwidth can be narrower than the carrier bandwidth in flexible manner, e.g., by RF bandwidth adaptation [2]. </w:t>
      </w:r>
      <w:r w:rsidR="00A24F60">
        <w:rPr>
          <w:rFonts w:eastAsia="ＭＳ 明朝" w:hint="eastAsia"/>
          <w:sz w:val="22"/>
          <w:lang w:val="en-US"/>
        </w:rPr>
        <w:t>A</w:t>
      </w:r>
      <w:r w:rsidR="00A24F60">
        <w:rPr>
          <w:rFonts w:eastAsia="ＭＳ 明朝"/>
          <w:sz w:val="22"/>
          <w:lang w:val="en-US"/>
        </w:rPr>
        <w:t>s such, NR will/should provide sufficient tools to utilize extremely wideband carrier in efficient and flexible manners.</w:t>
      </w:r>
    </w:p>
    <w:p w14:paraId="3A6068B0" w14:textId="41EA6C4E" w:rsidR="00A24F60" w:rsidRDefault="00A24F60" w:rsidP="006537BD">
      <w:pPr>
        <w:spacing w:afterLines="50" w:after="120"/>
        <w:jc w:val="both"/>
        <w:rPr>
          <w:rFonts w:eastAsia="ＭＳ 明朝"/>
          <w:sz w:val="22"/>
          <w:lang w:val="en-US"/>
        </w:rPr>
      </w:pPr>
      <w:r>
        <w:rPr>
          <w:rFonts w:eastAsia="ＭＳ 明朝"/>
          <w:sz w:val="22"/>
          <w:lang w:val="en-US"/>
        </w:rPr>
        <w:t xml:space="preserve">However, even with those, there is still 400 MHz </w:t>
      </w:r>
      <w:r w:rsidR="001A10EE">
        <w:rPr>
          <w:rFonts w:eastAsia="ＭＳ 明朝"/>
          <w:sz w:val="22"/>
          <w:lang w:val="en-US"/>
        </w:rPr>
        <w:t xml:space="preserve">carrier </w:t>
      </w:r>
      <w:r>
        <w:rPr>
          <w:rFonts w:eastAsia="ＭＳ 明朝"/>
          <w:sz w:val="22"/>
          <w:lang w:val="en-US"/>
        </w:rPr>
        <w:t>bandwidth limitation of one NR carrier</w:t>
      </w:r>
      <w:r w:rsidR="00E946B6">
        <w:rPr>
          <w:rFonts w:eastAsia="ＭＳ 明朝"/>
          <w:sz w:val="22"/>
          <w:lang w:val="en-US"/>
        </w:rPr>
        <w:t xml:space="preserve"> and b</w:t>
      </w:r>
      <w:r>
        <w:rPr>
          <w:rFonts w:eastAsia="ＭＳ 明朝"/>
          <w:sz w:val="22"/>
          <w:lang w:val="en-US"/>
        </w:rPr>
        <w:t xml:space="preserve">eyond this requires </w:t>
      </w:r>
      <w:r w:rsidR="00E946B6">
        <w:rPr>
          <w:rFonts w:eastAsia="ＭＳ 明朝"/>
          <w:sz w:val="22"/>
          <w:lang w:val="en-US"/>
        </w:rPr>
        <w:t xml:space="preserve">aggregating NR </w:t>
      </w:r>
      <w:r>
        <w:rPr>
          <w:rFonts w:eastAsia="ＭＳ 明朝"/>
          <w:sz w:val="22"/>
          <w:lang w:val="en-US"/>
        </w:rPr>
        <w:t>carrier</w:t>
      </w:r>
      <w:r w:rsidR="00E946B6">
        <w:rPr>
          <w:rFonts w:eastAsia="ＭＳ 明朝"/>
          <w:sz w:val="22"/>
          <w:lang w:val="en-US"/>
        </w:rPr>
        <w:t>s</w:t>
      </w:r>
      <w:r>
        <w:rPr>
          <w:rFonts w:eastAsia="ＭＳ 明朝"/>
          <w:sz w:val="22"/>
          <w:lang w:val="en-US"/>
        </w:rPr>
        <w:t xml:space="preserve">. Furthermore, </w:t>
      </w:r>
      <w:r w:rsidR="00E946B6">
        <w:rPr>
          <w:rFonts w:eastAsia="ＭＳ 明朝"/>
          <w:sz w:val="22"/>
          <w:lang w:val="en-US"/>
        </w:rPr>
        <w:t xml:space="preserve">non-contiguous NR carriers in </w:t>
      </w:r>
      <w:r w:rsidR="001A10EE">
        <w:rPr>
          <w:rFonts w:eastAsia="ＭＳ 明朝"/>
          <w:sz w:val="22"/>
          <w:lang w:val="en-US"/>
        </w:rPr>
        <w:t>different frequencies</w:t>
      </w:r>
      <w:r w:rsidR="00E946B6">
        <w:rPr>
          <w:rFonts w:eastAsia="ＭＳ 明朝"/>
          <w:sz w:val="22"/>
          <w:lang w:val="en-US"/>
        </w:rPr>
        <w:t xml:space="preserve"> (e.g., sub-6 and above-6, licensed band and unlicensed band, etc) cannot be utilized as one NR carrier. N</w:t>
      </w:r>
      <w:r w:rsidR="00E4104E">
        <w:rPr>
          <w:rFonts w:eastAsia="ＭＳ 明朝"/>
          <w:sz w:val="22"/>
          <w:lang w:val="en-US"/>
        </w:rPr>
        <w:t>R carrier aggregation should</w:t>
      </w:r>
      <w:r w:rsidR="00E946B6">
        <w:rPr>
          <w:rFonts w:eastAsia="ＭＳ 明朝"/>
          <w:sz w:val="22"/>
          <w:lang w:val="en-US"/>
        </w:rPr>
        <w:t xml:space="preserve"> be a mechanism to increase the UE throughput </w:t>
      </w:r>
      <w:r w:rsidR="001A10EE">
        <w:rPr>
          <w:rFonts w:eastAsia="ＭＳ 明朝"/>
          <w:sz w:val="22"/>
          <w:lang w:val="en-US"/>
        </w:rPr>
        <w:t xml:space="preserve">in these cases, including </w:t>
      </w:r>
      <w:r w:rsidR="00E4104E">
        <w:rPr>
          <w:rFonts w:eastAsia="ＭＳ 明朝"/>
          <w:sz w:val="22"/>
          <w:lang w:val="en-US"/>
        </w:rPr>
        <w:t xml:space="preserve">even beyond total bandwidth of 400 MHz. Besides, NR carrier aggregation should be a mechanism to enable efficient and reliable multiple carrier operations in various (e.g., co-located and non-co-located) deployment scenarios. </w:t>
      </w:r>
      <w:r w:rsidR="006F2B06">
        <w:rPr>
          <w:rFonts w:eastAsia="ＭＳ 明朝"/>
          <w:sz w:val="22"/>
          <w:lang w:val="en-US"/>
        </w:rPr>
        <w:t xml:space="preserve">At least, CA </w:t>
      </w:r>
      <w:r w:rsidR="006631D9">
        <w:rPr>
          <w:rFonts w:eastAsia="ＭＳ 明朝"/>
          <w:sz w:val="22"/>
          <w:lang w:val="en-US"/>
        </w:rPr>
        <w:t xml:space="preserve">deployment </w:t>
      </w:r>
      <w:r w:rsidR="006F2B06">
        <w:rPr>
          <w:rFonts w:eastAsia="ＭＳ 明朝"/>
          <w:sz w:val="22"/>
          <w:lang w:val="en-US"/>
        </w:rPr>
        <w:t>scenarios 1 – 4 of TS</w:t>
      </w:r>
      <w:r w:rsidR="006631D9">
        <w:rPr>
          <w:rFonts w:eastAsia="ＭＳ 明朝"/>
          <w:sz w:val="22"/>
          <w:lang w:val="en-US"/>
        </w:rPr>
        <w:t xml:space="preserve"> </w:t>
      </w:r>
      <w:r w:rsidR="006F2B06">
        <w:rPr>
          <w:rFonts w:eastAsia="ＭＳ 明朝"/>
          <w:sz w:val="22"/>
          <w:lang w:val="en-US"/>
        </w:rPr>
        <w:t xml:space="preserve">36.300 Section J.1 should be </w:t>
      </w:r>
      <w:r w:rsidR="006631D9">
        <w:rPr>
          <w:rFonts w:eastAsia="ＭＳ 明朝"/>
          <w:sz w:val="22"/>
          <w:lang w:val="en-US"/>
        </w:rPr>
        <w:t>equally prioritized from the beginning.</w:t>
      </w:r>
    </w:p>
    <w:p w14:paraId="19E26819" w14:textId="2332F1C1" w:rsidR="000C6D16" w:rsidRPr="00F62D26" w:rsidRDefault="000C6D16" w:rsidP="006537BD">
      <w:pPr>
        <w:spacing w:afterLines="50" w:after="120"/>
        <w:jc w:val="both"/>
        <w:rPr>
          <w:rFonts w:eastAsia="ＭＳ 明朝"/>
          <w:b/>
          <w:sz w:val="22"/>
          <w:u w:val="single"/>
          <w:lang w:val="en-US"/>
        </w:rPr>
      </w:pPr>
      <w:r w:rsidRPr="00F62D26">
        <w:rPr>
          <w:rFonts w:eastAsia="ＭＳ 明朝" w:hint="eastAsia"/>
          <w:b/>
          <w:sz w:val="22"/>
          <w:u w:val="single"/>
          <w:lang w:val="en-US"/>
        </w:rPr>
        <w:t>Proposal</w:t>
      </w:r>
      <w:r w:rsidR="00F62D26" w:rsidRPr="00F62D26">
        <w:rPr>
          <w:rFonts w:eastAsia="ＭＳ 明朝"/>
          <w:b/>
          <w:sz w:val="22"/>
          <w:u w:val="single"/>
          <w:lang w:val="en-US"/>
        </w:rPr>
        <w:t xml:space="preserve"> 1:</w:t>
      </w:r>
    </w:p>
    <w:p w14:paraId="747141DE" w14:textId="302FC9EB" w:rsidR="00F62D26" w:rsidRPr="00F62D26" w:rsidRDefault="00F62D26" w:rsidP="00F62D26">
      <w:pPr>
        <w:pStyle w:val="afc"/>
        <w:numPr>
          <w:ilvl w:val="0"/>
          <w:numId w:val="44"/>
        </w:numPr>
        <w:spacing w:afterLines="50" w:after="120"/>
        <w:ind w:leftChars="0"/>
        <w:jc w:val="both"/>
        <w:rPr>
          <w:rFonts w:eastAsia="ＭＳ 明朝"/>
          <w:i/>
          <w:sz w:val="22"/>
          <w:lang w:val="en-US"/>
        </w:rPr>
      </w:pPr>
      <w:r w:rsidRPr="00F62D26">
        <w:rPr>
          <w:rFonts w:eastAsia="ＭＳ 明朝"/>
          <w:i/>
          <w:sz w:val="22"/>
          <w:lang w:val="en-US"/>
        </w:rPr>
        <w:t xml:space="preserve">NR carrier aggregation </w:t>
      </w:r>
      <w:r w:rsidR="006F2B06">
        <w:rPr>
          <w:rFonts w:eastAsia="ＭＳ 明朝"/>
          <w:i/>
          <w:sz w:val="22"/>
          <w:lang w:val="en-US"/>
        </w:rPr>
        <w:t xml:space="preserve">mechanisms </w:t>
      </w:r>
      <w:r w:rsidR="001A10EE">
        <w:rPr>
          <w:rFonts w:eastAsia="ＭＳ 明朝"/>
          <w:i/>
          <w:sz w:val="22"/>
          <w:lang w:val="en-US"/>
        </w:rPr>
        <w:t xml:space="preserve">are specified </w:t>
      </w:r>
      <w:r w:rsidRPr="00F62D26">
        <w:rPr>
          <w:rFonts w:eastAsia="ＭＳ 明朝"/>
          <w:i/>
          <w:sz w:val="22"/>
          <w:lang w:val="en-US"/>
        </w:rPr>
        <w:t>such that:</w:t>
      </w:r>
    </w:p>
    <w:p w14:paraId="5EC18F36" w14:textId="15A89ACF" w:rsidR="00F62D26" w:rsidRPr="00F62D26" w:rsidRDefault="00F62D26" w:rsidP="00F62D26">
      <w:pPr>
        <w:pStyle w:val="afc"/>
        <w:numPr>
          <w:ilvl w:val="1"/>
          <w:numId w:val="44"/>
        </w:numPr>
        <w:spacing w:afterLines="50" w:after="120"/>
        <w:ind w:leftChars="0"/>
        <w:jc w:val="both"/>
        <w:rPr>
          <w:rFonts w:eastAsia="ＭＳ 明朝"/>
          <w:i/>
          <w:sz w:val="22"/>
          <w:lang w:val="en-US"/>
        </w:rPr>
      </w:pPr>
      <w:r w:rsidRPr="00F62D26">
        <w:rPr>
          <w:rFonts w:eastAsia="ＭＳ 明朝"/>
          <w:i/>
          <w:sz w:val="22"/>
          <w:lang w:val="en-US"/>
        </w:rPr>
        <w:t>UE throughput can be efficiently improved by aggregating multiple NR carriers.</w:t>
      </w:r>
    </w:p>
    <w:p w14:paraId="04CE304C" w14:textId="7802AFA6" w:rsidR="00F62D26" w:rsidRDefault="00F62D26" w:rsidP="00F62D26">
      <w:pPr>
        <w:pStyle w:val="afc"/>
        <w:numPr>
          <w:ilvl w:val="1"/>
          <w:numId w:val="44"/>
        </w:numPr>
        <w:spacing w:afterLines="50" w:after="120"/>
        <w:ind w:leftChars="0"/>
        <w:jc w:val="both"/>
        <w:rPr>
          <w:rFonts w:eastAsia="ＭＳ 明朝"/>
          <w:i/>
          <w:sz w:val="22"/>
          <w:lang w:val="en-US"/>
        </w:rPr>
      </w:pPr>
      <w:r w:rsidRPr="00F62D26">
        <w:rPr>
          <w:rFonts w:eastAsia="ＭＳ 明朝"/>
          <w:i/>
          <w:sz w:val="22"/>
          <w:lang w:val="en-US"/>
        </w:rPr>
        <w:t>Efficient and reliable operations using multiple NR carriers in various deployment scenarios are enabled.</w:t>
      </w:r>
    </w:p>
    <w:p w14:paraId="1A196413" w14:textId="0E8669F6" w:rsidR="006631D9" w:rsidRPr="00F62D26" w:rsidRDefault="006631D9" w:rsidP="00F62D26">
      <w:pPr>
        <w:pStyle w:val="afc"/>
        <w:numPr>
          <w:ilvl w:val="1"/>
          <w:numId w:val="44"/>
        </w:numPr>
        <w:spacing w:afterLines="50" w:after="120"/>
        <w:ind w:leftChars="0"/>
        <w:jc w:val="both"/>
        <w:rPr>
          <w:rFonts w:eastAsia="ＭＳ 明朝"/>
          <w:i/>
          <w:sz w:val="22"/>
          <w:lang w:val="en-US"/>
        </w:rPr>
      </w:pPr>
      <w:r>
        <w:rPr>
          <w:rFonts w:eastAsia="ＭＳ 明朝"/>
          <w:i/>
          <w:sz w:val="22"/>
          <w:lang w:val="en-US"/>
        </w:rPr>
        <w:t>At least CA deployment scenarios 1 – 4 of TS 36.300 Section J.1 are supported with equal priority.</w:t>
      </w:r>
    </w:p>
    <w:p w14:paraId="17F2A5B4" w14:textId="63B35F98" w:rsidR="00F62D26" w:rsidRPr="006631D9" w:rsidRDefault="00F62D26" w:rsidP="006537BD">
      <w:pPr>
        <w:spacing w:afterLines="50" w:after="120"/>
        <w:jc w:val="both"/>
        <w:rPr>
          <w:rFonts w:eastAsia="ＭＳ 明朝"/>
          <w:sz w:val="22"/>
          <w:lang w:val="en-US"/>
        </w:rPr>
      </w:pPr>
    </w:p>
    <w:p w14:paraId="73674061" w14:textId="777E6E79" w:rsidR="00E4104E" w:rsidRDefault="006631D9" w:rsidP="006537BD">
      <w:pPr>
        <w:spacing w:afterLines="50" w:after="120"/>
        <w:jc w:val="both"/>
        <w:rPr>
          <w:rFonts w:eastAsia="ＭＳ 明朝"/>
          <w:sz w:val="22"/>
          <w:lang w:val="en-US"/>
        </w:rPr>
      </w:pPr>
      <w:r>
        <w:rPr>
          <w:rFonts w:eastAsia="ＭＳ 明朝"/>
          <w:sz w:val="22"/>
          <w:lang w:val="en-US"/>
        </w:rPr>
        <w:t>The baseline mechanisms of NR carrier aggregation could be quite similar to LTE carrier aggregation. Further enhancements can be considered if benefits are found. One necessary enhancement (compared to LTE) is to support aggregating NR carriers in which the UE accesses using different numerologies and/or TTI lengths. This is essential to realize carrier a</w:t>
      </w:r>
      <w:r w:rsidR="00046062">
        <w:rPr>
          <w:rFonts w:eastAsia="ＭＳ 明朝"/>
          <w:sz w:val="22"/>
          <w:lang w:val="en-US"/>
        </w:rPr>
        <w:t xml:space="preserve">ggregation using, e.g., carrier frequencies of, e.g., 4GHz and 30GHz, and would be useful to other scenarios. </w:t>
      </w:r>
    </w:p>
    <w:p w14:paraId="48610DAB" w14:textId="338DB833" w:rsidR="00046062" w:rsidRPr="00046062" w:rsidRDefault="00046062" w:rsidP="006537BD">
      <w:pPr>
        <w:spacing w:afterLines="50" w:after="120"/>
        <w:jc w:val="both"/>
        <w:rPr>
          <w:rFonts w:eastAsia="ＭＳ 明朝"/>
          <w:b/>
          <w:sz w:val="22"/>
          <w:u w:val="single"/>
          <w:lang w:val="en-US"/>
        </w:rPr>
      </w:pPr>
      <w:r w:rsidRPr="00046062">
        <w:rPr>
          <w:rFonts w:eastAsia="ＭＳ 明朝" w:hint="eastAsia"/>
          <w:b/>
          <w:sz w:val="22"/>
          <w:u w:val="single"/>
          <w:lang w:val="en-US"/>
        </w:rPr>
        <w:t>Proposal 2:</w:t>
      </w:r>
    </w:p>
    <w:p w14:paraId="5EE04C2D" w14:textId="2863733B" w:rsidR="00046062" w:rsidRPr="00046062" w:rsidRDefault="00046062" w:rsidP="00046062">
      <w:pPr>
        <w:pStyle w:val="afc"/>
        <w:numPr>
          <w:ilvl w:val="0"/>
          <w:numId w:val="44"/>
        </w:numPr>
        <w:spacing w:afterLines="50" w:after="120"/>
        <w:ind w:leftChars="0"/>
        <w:jc w:val="both"/>
        <w:rPr>
          <w:rFonts w:eastAsia="ＭＳ 明朝"/>
          <w:i/>
          <w:sz w:val="22"/>
          <w:lang w:val="en-US"/>
        </w:rPr>
      </w:pPr>
      <w:r w:rsidRPr="00046062">
        <w:rPr>
          <w:rFonts w:eastAsia="ＭＳ 明朝" w:hint="eastAsia"/>
          <w:i/>
          <w:sz w:val="22"/>
          <w:lang w:val="en-US"/>
        </w:rPr>
        <w:t xml:space="preserve">Consider LTE carrier aggregation as </w:t>
      </w:r>
      <w:r w:rsidR="00763E06">
        <w:rPr>
          <w:rFonts w:eastAsia="ＭＳ 明朝"/>
          <w:i/>
          <w:sz w:val="22"/>
          <w:lang w:val="en-US"/>
        </w:rPr>
        <w:t xml:space="preserve">a </w:t>
      </w:r>
      <w:r w:rsidRPr="00046062">
        <w:rPr>
          <w:rFonts w:eastAsia="ＭＳ 明朝" w:hint="eastAsia"/>
          <w:i/>
          <w:sz w:val="22"/>
          <w:lang w:val="en-US"/>
        </w:rPr>
        <w:t>starting point.</w:t>
      </w:r>
    </w:p>
    <w:p w14:paraId="1FCAC793" w14:textId="04DE6074" w:rsidR="00046062" w:rsidRPr="00046062" w:rsidRDefault="00046062" w:rsidP="00046062">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Primary component carrier (PCC) and secondary CC (SCC) are defined.</w:t>
      </w:r>
    </w:p>
    <w:p w14:paraId="62270653" w14:textId="14D6B157" w:rsidR="00046062" w:rsidRPr="00046062" w:rsidRDefault="00046062" w:rsidP="00046062">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PCC is always active.</w:t>
      </w:r>
    </w:p>
    <w:p w14:paraId="0B5E0224" w14:textId="61BE27A5" w:rsidR="00046062" w:rsidRPr="00046062" w:rsidRDefault="00046062" w:rsidP="00046062">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SCC is activated according to gNB indication.</w:t>
      </w:r>
    </w:p>
    <w:p w14:paraId="5087B23F" w14:textId="3EB44A4F" w:rsidR="00046062" w:rsidRPr="00046062" w:rsidRDefault="00046062" w:rsidP="00046062">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SCC is de-activated according to gNB indication and UE timer expiration.</w:t>
      </w:r>
    </w:p>
    <w:p w14:paraId="25938B46" w14:textId="1AE49690" w:rsidR="00046062" w:rsidRPr="00046062" w:rsidRDefault="00046062" w:rsidP="00046062">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DL/UL data scheduling is per CC.</w:t>
      </w:r>
    </w:p>
    <w:p w14:paraId="64FAD110" w14:textId="0DBBBF4D" w:rsidR="00046062" w:rsidRPr="00046062" w:rsidRDefault="00046062" w:rsidP="00046062">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UCI feedback is per CC or per CC-group.</w:t>
      </w:r>
    </w:p>
    <w:p w14:paraId="76A6967B" w14:textId="487227EE" w:rsidR="00046062" w:rsidRPr="00046062" w:rsidRDefault="00046062" w:rsidP="00046062">
      <w:pPr>
        <w:pStyle w:val="afc"/>
        <w:numPr>
          <w:ilvl w:val="2"/>
          <w:numId w:val="44"/>
        </w:numPr>
        <w:spacing w:afterLines="50" w:after="120"/>
        <w:ind w:leftChars="0"/>
        <w:jc w:val="both"/>
        <w:rPr>
          <w:rFonts w:eastAsia="ＭＳ 明朝"/>
          <w:i/>
          <w:sz w:val="22"/>
          <w:lang w:val="en-US"/>
        </w:rPr>
      </w:pPr>
      <w:r w:rsidRPr="00046062">
        <w:rPr>
          <w:rFonts w:eastAsia="ＭＳ 明朝" w:hint="eastAsia"/>
          <w:i/>
          <w:sz w:val="22"/>
          <w:lang w:val="en-US"/>
        </w:rPr>
        <w:t>Both UCI on one CC and UCI on multiple CCs are supported.</w:t>
      </w:r>
    </w:p>
    <w:p w14:paraId="5E72B452" w14:textId="5DBA8453" w:rsidR="00046062" w:rsidRPr="00046062" w:rsidRDefault="00046062" w:rsidP="00046062">
      <w:pPr>
        <w:pStyle w:val="afc"/>
        <w:numPr>
          <w:ilvl w:val="0"/>
          <w:numId w:val="44"/>
        </w:numPr>
        <w:spacing w:afterLines="50" w:after="120"/>
        <w:ind w:leftChars="0"/>
        <w:jc w:val="both"/>
        <w:rPr>
          <w:rFonts w:eastAsia="ＭＳ 明朝"/>
          <w:i/>
          <w:sz w:val="22"/>
          <w:lang w:val="en-US"/>
        </w:rPr>
      </w:pPr>
      <w:r w:rsidRPr="00046062">
        <w:rPr>
          <w:rFonts w:eastAsia="ＭＳ 明朝"/>
          <w:i/>
          <w:sz w:val="22"/>
          <w:lang w:val="en-US"/>
        </w:rPr>
        <w:lastRenderedPageBreak/>
        <w:t>Support CA using CCs with different TTI lengths and/or different numerologies.</w:t>
      </w:r>
    </w:p>
    <w:p w14:paraId="57733D9E" w14:textId="44947246" w:rsidR="00046062" w:rsidRPr="00046062" w:rsidRDefault="00046062" w:rsidP="00046062">
      <w:pPr>
        <w:pStyle w:val="afc"/>
        <w:numPr>
          <w:ilvl w:val="0"/>
          <w:numId w:val="44"/>
        </w:numPr>
        <w:spacing w:afterLines="50" w:after="120"/>
        <w:ind w:leftChars="0"/>
        <w:jc w:val="both"/>
        <w:rPr>
          <w:rFonts w:eastAsia="ＭＳ 明朝"/>
          <w:i/>
          <w:sz w:val="22"/>
          <w:lang w:val="en-US"/>
        </w:rPr>
      </w:pPr>
      <w:r w:rsidRPr="00046062">
        <w:rPr>
          <w:rFonts w:eastAsia="ＭＳ 明朝"/>
          <w:i/>
          <w:sz w:val="22"/>
          <w:lang w:val="en-US"/>
        </w:rPr>
        <w:t>FFS:</w:t>
      </w:r>
    </w:p>
    <w:p w14:paraId="4667C8CF" w14:textId="2BFEB922" w:rsidR="00046062" w:rsidRPr="00046062" w:rsidRDefault="00046062" w:rsidP="00046062">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Cross-CC HARQ (HARQ process sharing between CCs) together with cross-CC scheduling.</w:t>
      </w:r>
    </w:p>
    <w:p w14:paraId="66112038" w14:textId="77777777" w:rsidR="00046062" w:rsidRPr="00046062" w:rsidRDefault="00046062" w:rsidP="00046062">
      <w:pPr>
        <w:spacing w:afterLines="50" w:after="120"/>
        <w:jc w:val="both"/>
        <w:rPr>
          <w:rFonts w:eastAsia="ＭＳ 明朝"/>
          <w:sz w:val="22"/>
          <w:lang w:val="en-US"/>
        </w:rPr>
      </w:pPr>
    </w:p>
    <w:p w14:paraId="0FA8B3BB" w14:textId="719FE0D7" w:rsidR="005250D1" w:rsidRDefault="00046062" w:rsidP="005250D1">
      <w:pPr>
        <w:pStyle w:val="1"/>
        <w:numPr>
          <w:ilvl w:val="0"/>
          <w:numId w:val="6"/>
        </w:numPr>
        <w:spacing w:after="120"/>
        <w:jc w:val="both"/>
        <w:rPr>
          <w:rFonts w:eastAsia="DengXian"/>
          <w:b/>
          <w:lang w:val="en-US" w:eastAsia="zh-CN"/>
        </w:rPr>
      </w:pPr>
      <w:r>
        <w:rPr>
          <w:rFonts w:eastAsia="DengXian"/>
          <w:b/>
          <w:lang w:val="en-US" w:eastAsia="zh-CN"/>
        </w:rPr>
        <w:t>LTE-NR/NR-NR dual connectivity</w:t>
      </w:r>
    </w:p>
    <w:p w14:paraId="0B3B02DF" w14:textId="4F7D388F" w:rsidR="007C3863" w:rsidRDefault="00E95A85" w:rsidP="007C3863">
      <w:pPr>
        <w:spacing w:afterLines="50" w:after="120"/>
        <w:jc w:val="both"/>
        <w:rPr>
          <w:rFonts w:eastAsia="ＭＳ 明朝"/>
          <w:sz w:val="22"/>
          <w:lang w:val="en-US"/>
        </w:rPr>
      </w:pPr>
      <w:r>
        <w:rPr>
          <w:rFonts w:eastAsia="ＭＳ 明朝" w:hint="eastAsia"/>
          <w:sz w:val="22"/>
          <w:lang w:val="en-US"/>
        </w:rPr>
        <w:t xml:space="preserve">The only solution to aggregate LTE carrier(s) and NR carrier(s) is </w:t>
      </w:r>
      <w:r w:rsidR="00C8142D">
        <w:rPr>
          <w:rFonts w:eastAsia="ＭＳ 明朝"/>
          <w:sz w:val="22"/>
          <w:lang w:val="en-US"/>
        </w:rPr>
        <w:t xml:space="preserve">the </w:t>
      </w:r>
      <w:r>
        <w:rPr>
          <w:rFonts w:eastAsia="ＭＳ 明朝" w:hint="eastAsia"/>
          <w:sz w:val="22"/>
          <w:lang w:val="en-US"/>
        </w:rPr>
        <w:t xml:space="preserve">dual connectivity as they are different RATs. </w:t>
      </w:r>
      <w:r w:rsidR="00C8142D">
        <w:rPr>
          <w:rFonts w:eastAsia="ＭＳ 明朝"/>
          <w:sz w:val="22"/>
          <w:lang w:val="en-US"/>
        </w:rPr>
        <w:t>Similar to carrier aggregation, RAN1 mechanisms for LTE-NR/NR-NR dual connectivity can also be based on LTE dual connectivity. Considering that the following agreement has been made in RAN2</w:t>
      </w:r>
      <w:r w:rsidR="00B4172D">
        <w:rPr>
          <w:rFonts w:eastAsia="ＭＳ 明朝"/>
          <w:sz w:val="22"/>
          <w:lang w:val="en-US"/>
        </w:rPr>
        <w:t xml:space="preserve"> [3]</w:t>
      </w:r>
      <w:r w:rsidR="00C8142D">
        <w:rPr>
          <w:rFonts w:eastAsia="ＭＳ 明朝"/>
          <w:sz w:val="22"/>
          <w:lang w:val="en-US"/>
        </w:rPr>
        <w:t>, RAN1 should prepare specifications supporting both synchronous and asynchronous dual connectivity.</w:t>
      </w:r>
    </w:p>
    <w:tbl>
      <w:tblPr>
        <w:tblStyle w:val="afa"/>
        <w:tblW w:w="0" w:type="auto"/>
        <w:tblLook w:val="04A0" w:firstRow="1" w:lastRow="0" w:firstColumn="1" w:lastColumn="0" w:noHBand="0" w:noVBand="1"/>
      </w:tblPr>
      <w:tblGrid>
        <w:gridCol w:w="9962"/>
      </w:tblGrid>
      <w:tr w:rsidR="00C8142D" w14:paraId="3647F02B" w14:textId="77777777" w:rsidTr="00C8142D">
        <w:tc>
          <w:tcPr>
            <w:tcW w:w="9962" w:type="dxa"/>
          </w:tcPr>
          <w:p w14:paraId="51B759EF" w14:textId="5CF81A80" w:rsidR="00C8142D" w:rsidRPr="001A10EE" w:rsidRDefault="00763E06" w:rsidP="00C8142D">
            <w:pPr>
              <w:spacing w:afterLines="50" w:after="120"/>
              <w:jc w:val="both"/>
              <w:rPr>
                <w:rFonts w:eastAsia="ＭＳ 明朝"/>
                <w:sz w:val="22"/>
              </w:rPr>
            </w:pPr>
            <w:r w:rsidRPr="001A10EE">
              <w:rPr>
                <w:rFonts w:eastAsia="ＭＳ 明朝"/>
                <w:sz w:val="22"/>
              </w:rPr>
              <w:t>Agreement</w:t>
            </w:r>
            <w:r w:rsidR="00C8142D" w:rsidRPr="001A10EE">
              <w:rPr>
                <w:rFonts w:eastAsia="ＭＳ 明朝"/>
                <w:sz w:val="22"/>
              </w:rPr>
              <w:t xml:space="preserve"> at RAN2#97:</w:t>
            </w:r>
          </w:p>
          <w:p w14:paraId="13B588A5" w14:textId="6B6BF6A4" w:rsidR="00C8142D" w:rsidRPr="001A10EE" w:rsidRDefault="00C8142D" w:rsidP="00763E06">
            <w:pPr>
              <w:pStyle w:val="afc"/>
              <w:numPr>
                <w:ilvl w:val="0"/>
                <w:numId w:val="45"/>
              </w:numPr>
              <w:spacing w:afterLines="50" w:after="120"/>
              <w:ind w:leftChars="0"/>
              <w:jc w:val="both"/>
              <w:rPr>
                <w:rFonts w:eastAsia="ＭＳ 明朝"/>
                <w:sz w:val="22"/>
              </w:rPr>
            </w:pPr>
            <w:r w:rsidRPr="001A10EE">
              <w:rPr>
                <w:rFonts w:eastAsia="ＭＳ 明朝"/>
                <w:sz w:val="22"/>
              </w:rPr>
              <w:t>RAN2 assumption is that EN-DC should support the deployment scenario that LTE eNB are not synchronized with NR gNB.</w:t>
            </w:r>
          </w:p>
        </w:tc>
      </w:tr>
    </w:tbl>
    <w:p w14:paraId="28906001" w14:textId="60D7F5F0" w:rsidR="00C8142D" w:rsidRDefault="00C8142D" w:rsidP="007C3863">
      <w:pPr>
        <w:spacing w:afterLines="50" w:after="120"/>
        <w:jc w:val="both"/>
        <w:rPr>
          <w:rFonts w:eastAsia="ＭＳ 明朝"/>
          <w:sz w:val="22"/>
          <w:lang w:val="en-US"/>
        </w:rPr>
      </w:pPr>
    </w:p>
    <w:p w14:paraId="5802EA01" w14:textId="7D710632" w:rsidR="00763E06" w:rsidRDefault="001A10EE" w:rsidP="007C3863">
      <w:pPr>
        <w:spacing w:afterLines="50" w:after="120"/>
        <w:jc w:val="both"/>
        <w:rPr>
          <w:rFonts w:eastAsia="ＭＳ 明朝"/>
          <w:sz w:val="22"/>
          <w:lang w:val="en-US"/>
        </w:rPr>
      </w:pPr>
      <w:r>
        <w:rPr>
          <w:rFonts w:eastAsia="ＭＳ 明朝"/>
          <w:sz w:val="22"/>
          <w:lang w:val="en-US"/>
        </w:rPr>
        <w:t xml:space="preserve">Besides, </w:t>
      </w:r>
      <w:r w:rsidR="00763E06">
        <w:rPr>
          <w:rFonts w:eastAsia="ＭＳ 明朝" w:hint="eastAsia"/>
          <w:sz w:val="22"/>
          <w:lang w:val="en-US"/>
        </w:rPr>
        <w:t xml:space="preserve">RAN4 sent a LS regarding NR </w:t>
      </w:r>
      <w:r w:rsidR="00B4172D">
        <w:rPr>
          <w:rFonts w:eastAsia="ＭＳ 明朝"/>
          <w:sz w:val="22"/>
          <w:lang w:val="en-US"/>
        </w:rPr>
        <w:t xml:space="preserve">[4] </w:t>
      </w:r>
      <w:r w:rsidR="00763E06">
        <w:rPr>
          <w:rFonts w:eastAsia="ＭＳ 明朝" w:hint="eastAsia"/>
          <w:sz w:val="22"/>
          <w:lang w:val="en-US"/>
        </w:rPr>
        <w:t>and one of their view is following:</w:t>
      </w:r>
    </w:p>
    <w:tbl>
      <w:tblPr>
        <w:tblStyle w:val="afa"/>
        <w:tblW w:w="0" w:type="auto"/>
        <w:tblLook w:val="04A0" w:firstRow="1" w:lastRow="0" w:firstColumn="1" w:lastColumn="0" w:noHBand="0" w:noVBand="1"/>
      </w:tblPr>
      <w:tblGrid>
        <w:gridCol w:w="9962"/>
      </w:tblGrid>
      <w:tr w:rsidR="00763E06" w14:paraId="4AD7E0BC" w14:textId="77777777" w:rsidTr="00763E06">
        <w:tc>
          <w:tcPr>
            <w:tcW w:w="9962" w:type="dxa"/>
          </w:tcPr>
          <w:p w14:paraId="709CCFAC" w14:textId="6BA795ED" w:rsidR="00763E06" w:rsidRPr="001A10EE" w:rsidRDefault="00763E06" w:rsidP="007C3863">
            <w:pPr>
              <w:spacing w:afterLines="50" w:after="120"/>
              <w:jc w:val="both"/>
              <w:rPr>
                <w:rFonts w:eastAsia="ＭＳ 明朝"/>
                <w:sz w:val="22"/>
                <w:lang w:val="en-US"/>
              </w:rPr>
            </w:pPr>
            <w:r w:rsidRPr="001A10EE">
              <w:rPr>
                <w:rFonts w:eastAsia="ＭＳ 明朝"/>
                <w:iCs/>
                <w:sz w:val="22"/>
              </w:rPr>
              <w:t>In some NSA scenarios, e.g. when both LTE and NR are in below 6 GHz, uplink transmission power sharing should be considered to meet SAR requirement in a same principle as UL CA/DC, but RAN4 is not sure whether power sharing between different RATs is feasible from RAN1/2 and implementation point of view and can't exclude other methods. One possible way is to simply define independent maximum power for LTE and NR and compliance with the SAR is left to implementation. However, this could require SAR back-off which cannot be controlled by the NW. Therefore, RAN4 would like to ask RAN1 and RAN2 to study the feasibility of the power sharing mechanism as soon as possible.</w:t>
            </w:r>
          </w:p>
        </w:tc>
      </w:tr>
    </w:tbl>
    <w:p w14:paraId="281AB7FD" w14:textId="06A5E9FA" w:rsidR="00763E06" w:rsidRDefault="00763E06" w:rsidP="007C3863">
      <w:pPr>
        <w:spacing w:afterLines="50" w:after="120"/>
        <w:jc w:val="both"/>
        <w:rPr>
          <w:rFonts w:eastAsia="ＭＳ 明朝"/>
          <w:sz w:val="22"/>
          <w:lang w:val="en-US"/>
        </w:rPr>
      </w:pPr>
    </w:p>
    <w:p w14:paraId="260DD465" w14:textId="0661A429" w:rsidR="00B4172D" w:rsidRDefault="00B4172D" w:rsidP="007C3863">
      <w:pPr>
        <w:spacing w:afterLines="50" w:after="120"/>
        <w:jc w:val="both"/>
        <w:rPr>
          <w:rFonts w:eastAsia="ＭＳ 明朝"/>
          <w:sz w:val="22"/>
          <w:lang w:val="en-US"/>
        </w:rPr>
      </w:pPr>
      <w:r>
        <w:rPr>
          <w:rFonts w:eastAsia="ＭＳ 明朝"/>
          <w:sz w:val="22"/>
          <w:lang w:val="en-US"/>
        </w:rPr>
        <w:t xml:space="preserve">Therefore, </w:t>
      </w:r>
      <w:r>
        <w:rPr>
          <w:rFonts w:eastAsia="ＭＳ 明朝" w:hint="eastAsia"/>
          <w:sz w:val="22"/>
          <w:lang w:val="en-US"/>
        </w:rPr>
        <w:t xml:space="preserve">RAN1 should </w:t>
      </w:r>
      <w:r>
        <w:rPr>
          <w:rFonts w:eastAsia="ＭＳ 明朝"/>
          <w:sz w:val="22"/>
          <w:lang w:val="en-US"/>
        </w:rPr>
        <w:t>determine how/whether power sharing mechanisms between CC-groups for dual connectivity is specified</w:t>
      </w:r>
      <w:r w:rsidR="001A10EE">
        <w:rPr>
          <w:rFonts w:eastAsia="ＭＳ 明朝"/>
          <w:sz w:val="22"/>
          <w:lang w:val="en-US"/>
        </w:rPr>
        <w:t xml:space="preserve"> taking into account synchronous and asynchronous cases</w:t>
      </w:r>
      <w:r>
        <w:rPr>
          <w:rFonts w:eastAsia="ＭＳ 明朝"/>
          <w:sz w:val="22"/>
          <w:lang w:val="en-US"/>
        </w:rPr>
        <w:t xml:space="preserve">. </w:t>
      </w:r>
      <w:r w:rsidR="0026484B">
        <w:rPr>
          <w:rFonts w:eastAsia="ＭＳ 明朝"/>
          <w:sz w:val="22"/>
          <w:lang w:val="en-US"/>
        </w:rPr>
        <w:t xml:space="preserve">For this, if specified, LTE dual connectivity power control mode 1 and mode 2 can be starting points. Besides, the DC PC mode 1 can also be used for NR carrier aggregation in case UCI feedback on multiple uplink carriers, and DC PC mode 2 can also be used for NR carrier aggregation in case multiple carriers use different TTI lengths and/or different numerologies. </w:t>
      </w:r>
    </w:p>
    <w:p w14:paraId="0341076D" w14:textId="7811EE34" w:rsidR="00763E06" w:rsidRPr="00046062" w:rsidRDefault="00763E06" w:rsidP="00763E06">
      <w:pPr>
        <w:spacing w:afterLines="50" w:after="120"/>
        <w:jc w:val="both"/>
        <w:rPr>
          <w:rFonts w:eastAsia="ＭＳ 明朝"/>
          <w:b/>
          <w:sz w:val="22"/>
          <w:u w:val="single"/>
          <w:lang w:val="en-US"/>
        </w:rPr>
      </w:pPr>
      <w:r>
        <w:rPr>
          <w:rFonts w:eastAsia="ＭＳ 明朝" w:hint="eastAsia"/>
          <w:b/>
          <w:sz w:val="22"/>
          <w:u w:val="single"/>
          <w:lang w:val="en-US"/>
        </w:rPr>
        <w:t>Proposal 3</w:t>
      </w:r>
      <w:r w:rsidRPr="00046062">
        <w:rPr>
          <w:rFonts w:eastAsia="ＭＳ 明朝" w:hint="eastAsia"/>
          <w:b/>
          <w:sz w:val="22"/>
          <w:u w:val="single"/>
          <w:lang w:val="en-US"/>
        </w:rPr>
        <w:t>:</w:t>
      </w:r>
    </w:p>
    <w:p w14:paraId="70C69AAA" w14:textId="5F6A190D" w:rsidR="00763E06" w:rsidRDefault="00763E06" w:rsidP="00763E06">
      <w:pPr>
        <w:pStyle w:val="afc"/>
        <w:numPr>
          <w:ilvl w:val="0"/>
          <w:numId w:val="44"/>
        </w:numPr>
        <w:spacing w:afterLines="50" w:after="120"/>
        <w:ind w:leftChars="0"/>
        <w:jc w:val="both"/>
        <w:rPr>
          <w:rFonts w:eastAsia="ＭＳ 明朝"/>
          <w:i/>
          <w:sz w:val="22"/>
          <w:lang w:val="en-US"/>
        </w:rPr>
      </w:pPr>
      <w:r>
        <w:rPr>
          <w:rFonts w:eastAsia="ＭＳ 明朝"/>
          <w:i/>
          <w:sz w:val="22"/>
          <w:lang w:val="en-US"/>
        </w:rPr>
        <w:t>Consider LTE dual connectivity as a starting point of LTE-NR/NR-NR dual connectivity.</w:t>
      </w:r>
    </w:p>
    <w:p w14:paraId="6B6205E2" w14:textId="2EBD27C6" w:rsidR="00763E06" w:rsidRDefault="00763E06" w:rsidP="00763E06">
      <w:pPr>
        <w:pStyle w:val="afc"/>
        <w:numPr>
          <w:ilvl w:val="1"/>
          <w:numId w:val="44"/>
        </w:numPr>
        <w:spacing w:afterLines="50" w:after="120"/>
        <w:ind w:leftChars="0"/>
        <w:jc w:val="both"/>
        <w:rPr>
          <w:rFonts w:eastAsia="ＭＳ 明朝"/>
          <w:i/>
          <w:sz w:val="22"/>
          <w:lang w:val="en-US"/>
        </w:rPr>
      </w:pPr>
      <w:r>
        <w:rPr>
          <w:rFonts w:eastAsia="ＭＳ 明朝"/>
          <w:i/>
          <w:sz w:val="22"/>
          <w:lang w:val="en-US"/>
        </w:rPr>
        <w:t>Both synchronous and asynchronous dual connectivity are targeted.</w:t>
      </w:r>
    </w:p>
    <w:p w14:paraId="29AB9785" w14:textId="7F32621A" w:rsidR="00763E06" w:rsidRDefault="00763E06" w:rsidP="00763E06">
      <w:pPr>
        <w:pStyle w:val="afc"/>
        <w:numPr>
          <w:ilvl w:val="1"/>
          <w:numId w:val="44"/>
        </w:numPr>
        <w:spacing w:afterLines="50" w:after="120"/>
        <w:ind w:leftChars="0"/>
        <w:jc w:val="both"/>
        <w:rPr>
          <w:rFonts w:eastAsia="ＭＳ 明朝"/>
          <w:i/>
          <w:sz w:val="22"/>
          <w:lang w:val="en-US"/>
        </w:rPr>
      </w:pPr>
      <w:r>
        <w:rPr>
          <w:rFonts w:eastAsia="ＭＳ 明朝" w:hint="eastAsia"/>
          <w:i/>
          <w:sz w:val="22"/>
          <w:lang w:val="en-US"/>
        </w:rPr>
        <w:t>One CC-group is formed by LTE/NR CCs, and another CC-group is formed by NR CCs.</w:t>
      </w:r>
    </w:p>
    <w:p w14:paraId="4AEA8E42" w14:textId="7BD5C703" w:rsidR="00763E06" w:rsidRDefault="00763E06" w:rsidP="00763E06">
      <w:pPr>
        <w:pStyle w:val="afc"/>
        <w:numPr>
          <w:ilvl w:val="2"/>
          <w:numId w:val="44"/>
        </w:numPr>
        <w:spacing w:afterLines="50" w:after="120"/>
        <w:ind w:leftChars="0"/>
        <w:jc w:val="both"/>
        <w:rPr>
          <w:rFonts w:eastAsia="ＭＳ 明朝"/>
          <w:i/>
          <w:sz w:val="22"/>
          <w:lang w:val="en-US"/>
        </w:rPr>
      </w:pPr>
      <w:r>
        <w:rPr>
          <w:rFonts w:eastAsia="ＭＳ 明朝" w:hint="eastAsia"/>
          <w:i/>
          <w:sz w:val="22"/>
          <w:lang w:val="en-US"/>
        </w:rPr>
        <w:t>Scheduling and HARQ mechanisms/procedures are CC-group independent.</w:t>
      </w:r>
    </w:p>
    <w:p w14:paraId="5340AD22" w14:textId="368C58B9" w:rsidR="00763E06" w:rsidRDefault="0026484B" w:rsidP="0026484B">
      <w:pPr>
        <w:pStyle w:val="afc"/>
        <w:numPr>
          <w:ilvl w:val="1"/>
          <w:numId w:val="44"/>
        </w:numPr>
        <w:spacing w:afterLines="50" w:after="120"/>
        <w:ind w:leftChars="0"/>
        <w:jc w:val="both"/>
        <w:rPr>
          <w:rFonts w:eastAsia="ＭＳ 明朝"/>
          <w:i/>
          <w:sz w:val="22"/>
          <w:lang w:val="en-US"/>
        </w:rPr>
      </w:pPr>
      <w:r>
        <w:rPr>
          <w:rFonts w:eastAsia="ＭＳ 明朝" w:hint="eastAsia"/>
          <w:i/>
          <w:sz w:val="22"/>
          <w:lang w:val="en-US"/>
        </w:rPr>
        <w:t xml:space="preserve">Between </w:t>
      </w:r>
      <w:r>
        <w:rPr>
          <w:rFonts w:eastAsia="ＭＳ 明朝"/>
          <w:i/>
          <w:sz w:val="22"/>
          <w:lang w:val="en-US"/>
        </w:rPr>
        <w:t>CC-groups, LTE DC PC mode 1 and mode 2 can be starting points.</w:t>
      </w:r>
    </w:p>
    <w:p w14:paraId="41347F5C" w14:textId="049BB9B7" w:rsidR="0026484B" w:rsidRDefault="0026484B" w:rsidP="0026484B">
      <w:pPr>
        <w:pStyle w:val="afc"/>
        <w:numPr>
          <w:ilvl w:val="2"/>
          <w:numId w:val="44"/>
        </w:numPr>
        <w:spacing w:afterLines="50" w:after="120"/>
        <w:ind w:leftChars="0"/>
        <w:jc w:val="both"/>
        <w:rPr>
          <w:rFonts w:eastAsia="ＭＳ 明朝"/>
          <w:i/>
          <w:sz w:val="22"/>
          <w:lang w:val="en-US"/>
        </w:rPr>
      </w:pPr>
      <w:r>
        <w:rPr>
          <w:rFonts w:eastAsia="ＭＳ 明朝"/>
          <w:i/>
          <w:sz w:val="22"/>
          <w:lang w:val="en-US"/>
        </w:rPr>
        <w:t>DC PC mode 1 can also be the starting point for NR CA with UCI feedback on multiple UL carriers.</w:t>
      </w:r>
    </w:p>
    <w:p w14:paraId="6530631E" w14:textId="60EC04D0" w:rsidR="0026484B" w:rsidRPr="00046062" w:rsidRDefault="0026484B" w:rsidP="0026484B">
      <w:pPr>
        <w:pStyle w:val="afc"/>
        <w:numPr>
          <w:ilvl w:val="2"/>
          <w:numId w:val="44"/>
        </w:numPr>
        <w:spacing w:afterLines="50" w:after="120"/>
        <w:ind w:leftChars="0"/>
        <w:jc w:val="both"/>
        <w:rPr>
          <w:rFonts w:eastAsia="ＭＳ 明朝"/>
          <w:i/>
          <w:sz w:val="22"/>
          <w:lang w:val="en-US"/>
        </w:rPr>
      </w:pPr>
      <w:r>
        <w:rPr>
          <w:rFonts w:eastAsia="ＭＳ 明朝"/>
          <w:i/>
          <w:sz w:val="22"/>
          <w:lang w:val="en-US"/>
        </w:rPr>
        <w:t>DC PC mode 2 can also be the starting point for NR CA with different TTI lengths/numerologies on multiple UL carriers.</w:t>
      </w:r>
    </w:p>
    <w:p w14:paraId="01B692F2" w14:textId="77777777" w:rsidR="006343D5" w:rsidRPr="0026484B" w:rsidRDefault="006343D5"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5E9F22B4" w:rsidR="004B3118" w:rsidRDefault="00D9290B" w:rsidP="004B3118">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1A10EE">
        <w:rPr>
          <w:rFonts w:eastAsia="ＭＳ 明朝"/>
          <w:sz w:val="22"/>
          <w:lang w:val="en-US"/>
        </w:rPr>
        <w:t>CA and DC for NR and proposed following:</w:t>
      </w:r>
    </w:p>
    <w:p w14:paraId="4EE244A7" w14:textId="77777777" w:rsidR="001A10EE" w:rsidRPr="00F62D26" w:rsidRDefault="001A10EE" w:rsidP="001A10EE">
      <w:pPr>
        <w:spacing w:afterLines="50" w:after="120"/>
        <w:jc w:val="both"/>
        <w:rPr>
          <w:rFonts w:eastAsia="ＭＳ 明朝"/>
          <w:b/>
          <w:sz w:val="22"/>
          <w:u w:val="single"/>
          <w:lang w:val="en-US"/>
        </w:rPr>
      </w:pPr>
      <w:r w:rsidRPr="00F62D26">
        <w:rPr>
          <w:rFonts w:eastAsia="ＭＳ 明朝" w:hint="eastAsia"/>
          <w:b/>
          <w:sz w:val="22"/>
          <w:u w:val="single"/>
          <w:lang w:val="en-US"/>
        </w:rPr>
        <w:t>Proposal</w:t>
      </w:r>
      <w:r w:rsidRPr="00F62D26">
        <w:rPr>
          <w:rFonts w:eastAsia="ＭＳ 明朝"/>
          <w:b/>
          <w:sz w:val="22"/>
          <w:u w:val="single"/>
          <w:lang w:val="en-US"/>
        </w:rPr>
        <w:t xml:space="preserve"> 1:</w:t>
      </w:r>
    </w:p>
    <w:p w14:paraId="59709481" w14:textId="77777777" w:rsidR="001A10EE" w:rsidRPr="00F62D26" w:rsidRDefault="001A10EE" w:rsidP="001A10EE">
      <w:pPr>
        <w:pStyle w:val="afc"/>
        <w:numPr>
          <w:ilvl w:val="0"/>
          <w:numId w:val="44"/>
        </w:numPr>
        <w:spacing w:afterLines="50" w:after="120"/>
        <w:ind w:leftChars="0"/>
        <w:jc w:val="both"/>
        <w:rPr>
          <w:rFonts w:eastAsia="ＭＳ 明朝"/>
          <w:i/>
          <w:sz w:val="22"/>
          <w:lang w:val="en-US"/>
        </w:rPr>
      </w:pPr>
      <w:r w:rsidRPr="00F62D26">
        <w:rPr>
          <w:rFonts w:eastAsia="ＭＳ 明朝"/>
          <w:i/>
          <w:sz w:val="22"/>
          <w:lang w:val="en-US"/>
        </w:rPr>
        <w:t xml:space="preserve">RAN1 </w:t>
      </w:r>
      <w:r>
        <w:rPr>
          <w:rFonts w:eastAsia="ＭＳ 明朝"/>
          <w:i/>
          <w:sz w:val="22"/>
          <w:lang w:val="en-US"/>
        </w:rPr>
        <w:t>specify</w:t>
      </w:r>
      <w:r w:rsidRPr="00F62D26">
        <w:rPr>
          <w:rFonts w:eastAsia="ＭＳ 明朝"/>
          <w:i/>
          <w:sz w:val="22"/>
          <w:lang w:val="en-US"/>
        </w:rPr>
        <w:t xml:space="preserve"> NR carrier aggregation </w:t>
      </w:r>
      <w:r>
        <w:rPr>
          <w:rFonts w:eastAsia="ＭＳ 明朝"/>
          <w:i/>
          <w:sz w:val="22"/>
          <w:lang w:val="en-US"/>
        </w:rPr>
        <w:t xml:space="preserve">mechanisms </w:t>
      </w:r>
      <w:r w:rsidRPr="00F62D26">
        <w:rPr>
          <w:rFonts w:eastAsia="ＭＳ 明朝"/>
          <w:i/>
          <w:sz w:val="22"/>
          <w:lang w:val="en-US"/>
        </w:rPr>
        <w:t>such that:</w:t>
      </w:r>
    </w:p>
    <w:p w14:paraId="4EFE10E6" w14:textId="77777777" w:rsidR="001A10EE" w:rsidRPr="00F62D26" w:rsidRDefault="001A10EE" w:rsidP="001A10EE">
      <w:pPr>
        <w:pStyle w:val="afc"/>
        <w:numPr>
          <w:ilvl w:val="1"/>
          <w:numId w:val="44"/>
        </w:numPr>
        <w:spacing w:afterLines="50" w:after="120"/>
        <w:ind w:leftChars="0"/>
        <w:jc w:val="both"/>
        <w:rPr>
          <w:rFonts w:eastAsia="ＭＳ 明朝"/>
          <w:i/>
          <w:sz w:val="22"/>
          <w:lang w:val="en-US"/>
        </w:rPr>
      </w:pPr>
      <w:r w:rsidRPr="00F62D26">
        <w:rPr>
          <w:rFonts w:eastAsia="ＭＳ 明朝"/>
          <w:i/>
          <w:sz w:val="22"/>
          <w:lang w:val="en-US"/>
        </w:rPr>
        <w:lastRenderedPageBreak/>
        <w:t>UE peak throughput can be efficiently improved by aggregating multiple NR carriers.</w:t>
      </w:r>
    </w:p>
    <w:p w14:paraId="03DB20F3" w14:textId="77777777" w:rsidR="001A10EE" w:rsidRDefault="001A10EE" w:rsidP="001A10EE">
      <w:pPr>
        <w:pStyle w:val="afc"/>
        <w:numPr>
          <w:ilvl w:val="1"/>
          <w:numId w:val="44"/>
        </w:numPr>
        <w:spacing w:afterLines="50" w:after="120"/>
        <w:ind w:leftChars="0"/>
        <w:jc w:val="both"/>
        <w:rPr>
          <w:rFonts w:eastAsia="ＭＳ 明朝"/>
          <w:i/>
          <w:sz w:val="22"/>
          <w:lang w:val="en-US"/>
        </w:rPr>
      </w:pPr>
      <w:r w:rsidRPr="00F62D26">
        <w:rPr>
          <w:rFonts w:eastAsia="ＭＳ 明朝"/>
          <w:i/>
          <w:sz w:val="22"/>
          <w:lang w:val="en-US"/>
        </w:rPr>
        <w:t>Efficient and reliable operations using multiple NR carriers in various deployment scenarios are enabled.</w:t>
      </w:r>
    </w:p>
    <w:p w14:paraId="088BB225" w14:textId="77777777" w:rsidR="001A10EE" w:rsidRPr="00F62D26" w:rsidRDefault="001A10EE" w:rsidP="001A10EE">
      <w:pPr>
        <w:pStyle w:val="afc"/>
        <w:numPr>
          <w:ilvl w:val="1"/>
          <w:numId w:val="44"/>
        </w:numPr>
        <w:spacing w:afterLines="50" w:after="120"/>
        <w:ind w:leftChars="0"/>
        <w:jc w:val="both"/>
        <w:rPr>
          <w:rFonts w:eastAsia="ＭＳ 明朝"/>
          <w:i/>
          <w:sz w:val="22"/>
          <w:lang w:val="en-US"/>
        </w:rPr>
      </w:pPr>
      <w:r>
        <w:rPr>
          <w:rFonts w:eastAsia="ＭＳ 明朝"/>
          <w:i/>
          <w:sz w:val="22"/>
          <w:lang w:val="en-US"/>
        </w:rPr>
        <w:t>At least CA deployment scenarios 1 – 4 of TS 36.300 Section J.1 are supported with equal priority.</w:t>
      </w:r>
    </w:p>
    <w:p w14:paraId="7E59F358" w14:textId="77777777" w:rsidR="001A10EE" w:rsidRPr="00046062" w:rsidRDefault="001A10EE" w:rsidP="001A10EE">
      <w:pPr>
        <w:spacing w:afterLines="50" w:after="120"/>
        <w:jc w:val="both"/>
        <w:rPr>
          <w:rFonts w:eastAsia="ＭＳ 明朝"/>
          <w:b/>
          <w:sz w:val="22"/>
          <w:u w:val="single"/>
          <w:lang w:val="en-US"/>
        </w:rPr>
      </w:pPr>
      <w:r w:rsidRPr="00046062">
        <w:rPr>
          <w:rFonts w:eastAsia="ＭＳ 明朝" w:hint="eastAsia"/>
          <w:b/>
          <w:sz w:val="22"/>
          <w:u w:val="single"/>
          <w:lang w:val="en-US"/>
        </w:rPr>
        <w:t>Proposal 2:</w:t>
      </w:r>
    </w:p>
    <w:p w14:paraId="5BD96124" w14:textId="77777777" w:rsidR="001A10EE" w:rsidRPr="00046062" w:rsidRDefault="001A10EE" w:rsidP="001A10EE">
      <w:pPr>
        <w:pStyle w:val="afc"/>
        <w:numPr>
          <w:ilvl w:val="0"/>
          <w:numId w:val="44"/>
        </w:numPr>
        <w:spacing w:afterLines="50" w:after="120"/>
        <w:ind w:leftChars="0"/>
        <w:jc w:val="both"/>
        <w:rPr>
          <w:rFonts w:eastAsia="ＭＳ 明朝"/>
          <w:i/>
          <w:sz w:val="22"/>
          <w:lang w:val="en-US"/>
        </w:rPr>
      </w:pPr>
      <w:r w:rsidRPr="00046062">
        <w:rPr>
          <w:rFonts w:eastAsia="ＭＳ 明朝" w:hint="eastAsia"/>
          <w:i/>
          <w:sz w:val="22"/>
          <w:lang w:val="en-US"/>
        </w:rPr>
        <w:t xml:space="preserve">Consider LTE carrier aggregation as </w:t>
      </w:r>
      <w:r>
        <w:rPr>
          <w:rFonts w:eastAsia="ＭＳ 明朝"/>
          <w:i/>
          <w:sz w:val="22"/>
          <w:lang w:val="en-US"/>
        </w:rPr>
        <w:t xml:space="preserve">a </w:t>
      </w:r>
      <w:r w:rsidRPr="00046062">
        <w:rPr>
          <w:rFonts w:eastAsia="ＭＳ 明朝" w:hint="eastAsia"/>
          <w:i/>
          <w:sz w:val="22"/>
          <w:lang w:val="en-US"/>
        </w:rPr>
        <w:t>starting point.</w:t>
      </w:r>
    </w:p>
    <w:p w14:paraId="3D708AC1" w14:textId="77777777" w:rsidR="001A10EE" w:rsidRPr="00046062" w:rsidRDefault="001A10EE" w:rsidP="001A10EE">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Primary component carrier (PCC) and secondary CC (SCC) are defined.</w:t>
      </w:r>
    </w:p>
    <w:p w14:paraId="2187DE70" w14:textId="77777777" w:rsidR="001A10EE" w:rsidRPr="00046062" w:rsidRDefault="001A10EE" w:rsidP="001A10EE">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PCC is always active.</w:t>
      </w:r>
    </w:p>
    <w:p w14:paraId="746D3DBC" w14:textId="77777777" w:rsidR="001A10EE" w:rsidRPr="00046062" w:rsidRDefault="001A10EE" w:rsidP="001A10EE">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SCC is activated according to gNB indication.</w:t>
      </w:r>
    </w:p>
    <w:p w14:paraId="1DE64757" w14:textId="77777777" w:rsidR="001A10EE" w:rsidRPr="00046062" w:rsidRDefault="001A10EE" w:rsidP="001A10EE">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SCC is de-activated according to gNB indication and UE timer expiration.</w:t>
      </w:r>
    </w:p>
    <w:p w14:paraId="264B99C4" w14:textId="77777777" w:rsidR="001A10EE" w:rsidRPr="00046062" w:rsidRDefault="001A10EE" w:rsidP="001A10EE">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DL/UL data scheduling is per CC.</w:t>
      </w:r>
    </w:p>
    <w:p w14:paraId="3D56C0C8" w14:textId="77777777" w:rsidR="001A10EE" w:rsidRPr="00046062" w:rsidRDefault="001A10EE" w:rsidP="001A10EE">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UCI feedback is per CC or per CC-group.</w:t>
      </w:r>
    </w:p>
    <w:p w14:paraId="442E848F" w14:textId="77777777" w:rsidR="001A10EE" w:rsidRPr="00046062" w:rsidRDefault="001A10EE" w:rsidP="001A10EE">
      <w:pPr>
        <w:pStyle w:val="afc"/>
        <w:numPr>
          <w:ilvl w:val="2"/>
          <w:numId w:val="44"/>
        </w:numPr>
        <w:spacing w:afterLines="50" w:after="120"/>
        <w:ind w:leftChars="0"/>
        <w:jc w:val="both"/>
        <w:rPr>
          <w:rFonts w:eastAsia="ＭＳ 明朝"/>
          <w:i/>
          <w:sz w:val="22"/>
          <w:lang w:val="en-US"/>
        </w:rPr>
      </w:pPr>
      <w:r w:rsidRPr="00046062">
        <w:rPr>
          <w:rFonts w:eastAsia="ＭＳ 明朝" w:hint="eastAsia"/>
          <w:i/>
          <w:sz w:val="22"/>
          <w:lang w:val="en-US"/>
        </w:rPr>
        <w:t>Both UCI on one CC and UCI on multiple CCs are supported.</w:t>
      </w:r>
    </w:p>
    <w:p w14:paraId="47A03BDD" w14:textId="77777777" w:rsidR="001A10EE" w:rsidRPr="00046062" w:rsidRDefault="001A10EE" w:rsidP="001A10EE">
      <w:pPr>
        <w:pStyle w:val="afc"/>
        <w:numPr>
          <w:ilvl w:val="0"/>
          <w:numId w:val="44"/>
        </w:numPr>
        <w:spacing w:afterLines="50" w:after="120"/>
        <w:ind w:leftChars="0"/>
        <w:jc w:val="both"/>
        <w:rPr>
          <w:rFonts w:eastAsia="ＭＳ 明朝"/>
          <w:i/>
          <w:sz w:val="22"/>
          <w:lang w:val="en-US"/>
        </w:rPr>
      </w:pPr>
      <w:r w:rsidRPr="00046062">
        <w:rPr>
          <w:rFonts w:eastAsia="ＭＳ 明朝"/>
          <w:i/>
          <w:sz w:val="22"/>
          <w:lang w:val="en-US"/>
        </w:rPr>
        <w:t>Support CA using CCs with different TTI lengths and/or different numerologies.</w:t>
      </w:r>
    </w:p>
    <w:p w14:paraId="692565EC" w14:textId="77777777" w:rsidR="001A10EE" w:rsidRPr="00046062" w:rsidRDefault="001A10EE" w:rsidP="001A10EE">
      <w:pPr>
        <w:pStyle w:val="afc"/>
        <w:numPr>
          <w:ilvl w:val="0"/>
          <w:numId w:val="44"/>
        </w:numPr>
        <w:spacing w:afterLines="50" w:after="120"/>
        <w:ind w:leftChars="0"/>
        <w:jc w:val="both"/>
        <w:rPr>
          <w:rFonts w:eastAsia="ＭＳ 明朝"/>
          <w:i/>
          <w:sz w:val="22"/>
          <w:lang w:val="en-US"/>
        </w:rPr>
      </w:pPr>
      <w:r w:rsidRPr="00046062">
        <w:rPr>
          <w:rFonts w:eastAsia="ＭＳ 明朝"/>
          <w:i/>
          <w:sz w:val="22"/>
          <w:lang w:val="en-US"/>
        </w:rPr>
        <w:t>FFS:</w:t>
      </w:r>
    </w:p>
    <w:p w14:paraId="5AC40A5D" w14:textId="77777777" w:rsidR="001A10EE" w:rsidRPr="00046062" w:rsidRDefault="001A10EE" w:rsidP="001A10EE">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Cross-CC HARQ (HARQ process sharing between CCs) together with cross-CC scheduling.</w:t>
      </w:r>
    </w:p>
    <w:p w14:paraId="7357EE7C" w14:textId="77777777" w:rsidR="001A10EE" w:rsidRPr="00046062" w:rsidRDefault="001A10EE" w:rsidP="001A10EE">
      <w:pPr>
        <w:spacing w:afterLines="50" w:after="120"/>
        <w:jc w:val="both"/>
        <w:rPr>
          <w:rFonts w:eastAsia="ＭＳ 明朝"/>
          <w:b/>
          <w:sz w:val="22"/>
          <w:u w:val="single"/>
          <w:lang w:val="en-US"/>
        </w:rPr>
      </w:pPr>
      <w:r>
        <w:rPr>
          <w:rFonts w:eastAsia="ＭＳ 明朝" w:hint="eastAsia"/>
          <w:b/>
          <w:sz w:val="22"/>
          <w:u w:val="single"/>
          <w:lang w:val="en-US"/>
        </w:rPr>
        <w:t>Proposal 3</w:t>
      </w:r>
      <w:r w:rsidRPr="00046062">
        <w:rPr>
          <w:rFonts w:eastAsia="ＭＳ 明朝" w:hint="eastAsia"/>
          <w:b/>
          <w:sz w:val="22"/>
          <w:u w:val="single"/>
          <w:lang w:val="en-US"/>
        </w:rPr>
        <w:t>:</w:t>
      </w:r>
    </w:p>
    <w:p w14:paraId="0F64EE2E" w14:textId="77777777" w:rsidR="001A10EE" w:rsidRDefault="001A10EE" w:rsidP="001A10EE">
      <w:pPr>
        <w:pStyle w:val="afc"/>
        <w:numPr>
          <w:ilvl w:val="0"/>
          <w:numId w:val="44"/>
        </w:numPr>
        <w:spacing w:afterLines="50" w:after="120"/>
        <w:ind w:leftChars="0"/>
        <w:jc w:val="both"/>
        <w:rPr>
          <w:rFonts w:eastAsia="ＭＳ 明朝"/>
          <w:i/>
          <w:sz w:val="22"/>
          <w:lang w:val="en-US"/>
        </w:rPr>
      </w:pPr>
      <w:r>
        <w:rPr>
          <w:rFonts w:eastAsia="ＭＳ 明朝"/>
          <w:i/>
          <w:sz w:val="22"/>
          <w:lang w:val="en-US"/>
        </w:rPr>
        <w:t>Consider LTE dual connectivity as a starting point of LTE-NR/NR-NR dual connectivity.</w:t>
      </w:r>
    </w:p>
    <w:p w14:paraId="2E121A2D" w14:textId="77777777" w:rsidR="001A10EE" w:rsidRDefault="001A10EE" w:rsidP="001A10EE">
      <w:pPr>
        <w:pStyle w:val="afc"/>
        <w:numPr>
          <w:ilvl w:val="1"/>
          <w:numId w:val="44"/>
        </w:numPr>
        <w:spacing w:afterLines="50" w:after="120"/>
        <w:ind w:leftChars="0"/>
        <w:jc w:val="both"/>
        <w:rPr>
          <w:rFonts w:eastAsia="ＭＳ 明朝"/>
          <w:i/>
          <w:sz w:val="22"/>
          <w:lang w:val="en-US"/>
        </w:rPr>
      </w:pPr>
      <w:r>
        <w:rPr>
          <w:rFonts w:eastAsia="ＭＳ 明朝"/>
          <w:i/>
          <w:sz w:val="22"/>
          <w:lang w:val="en-US"/>
        </w:rPr>
        <w:t>Both synchronous and asynchronous dual connectivity are targeted.</w:t>
      </w:r>
    </w:p>
    <w:p w14:paraId="0783046C" w14:textId="77777777" w:rsidR="001A10EE" w:rsidRDefault="001A10EE" w:rsidP="001A10EE">
      <w:pPr>
        <w:pStyle w:val="afc"/>
        <w:numPr>
          <w:ilvl w:val="1"/>
          <w:numId w:val="44"/>
        </w:numPr>
        <w:spacing w:afterLines="50" w:after="120"/>
        <w:ind w:leftChars="0"/>
        <w:jc w:val="both"/>
        <w:rPr>
          <w:rFonts w:eastAsia="ＭＳ 明朝"/>
          <w:i/>
          <w:sz w:val="22"/>
          <w:lang w:val="en-US"/>
        </w:rPr>
      </w:pPr>
      <w:r>
        <w:rPr>
          <w:rFonts w:eastAsia="ＭＳ 明朝" w:hint="eastAsia"/>
          <w:i/>
          <w:sz w:val="22"/>
          <w:lang w:val="en-US"/>
        </w:rPr>
        <w:t>One CC-group is formed by LTE/NR CCs, and another CC-group is formed by NR CCs.</w:t>
      </w:r>
    </w:p>
    <w:p w14:paraId="484D4F11" w14:textId="77777777" w:rsidR="001A10EE" w:rsidRDefault="001A10EE" w:rsidP="001A10EE">
      <w:pPr>
        <w:pStyle w:val="afc"/>
        <w:numPr>
          <w:ilvl w:val="2"/>
          <w:numId w:val="44"/>
        </w:numPr>
        <w:spacing w:afterLines="50" w:after="120"/>
        <w:ind w:leftChars="0"/>
        <w:jc w:val="both"/>
        <w:rPr>
          <w:rFonts w:eastAsia="ＭＳ 明朝"/>
          <w:i/>
          <w:sz w:val="22"/>
          <w:lang w:val="en-US"/>
        </w:rPr>
      </w:pPr>
      <w:r>
        <w:rPr>
          <w:rFonts w:eastAsia="ＭＳ 明朝" w:hint="eastAsia"/>
          <w:i/>
          <w:sz w:val="22"/>
          <w:lang w:val="en-US"/>
        </w:rPr>
        <w:t>Scheduling and HARQ mechanisms/procedures are CC-group independent.</w:t>
      </w:r>
    </w:p>
    <w:p w14:paraId="58DF22FB" w14:textId="77777777" w:rsidR="001A10EE" w:rsidRDefault="001A10EE" w:rsidP="001A10EE">
      <w:pPr>
        <w:pStyle w:val="afc"/>
        <w:numPr>
          <w:ilvl w:val="1"/>
          <w:numId w:val="44"/>
        </w:numPr>
        <w:spacing w:afterLines="50" w:after="120"/>
        <w:ind w:leftChars="0"/>
        <w:jc w:val="both"/>
        <w:rPr>
          <w:rFonts w:eastAsia="ＭＳ 明朝"/>
          <w:i/>
          <w:sz w:val="22"/>
          <w:lang w:val="en-US"/>
        </w:rPr>
      </w:pPr>
      <w:r>
        <w:rPr>
          <w:rFonts w:eastAsia="ＭＳ 明朝" w:hint="eastAsia"/>
          <w:i/>
          <w:sz w:val="22"/>
          <w:lang w:val="en-US"/>
        </w:rPr>
        <w:t xml:space="preserve">Between </w:t>
      </w:r>
      <w:r>
        <w:rPr>
          <w:rFonts w:eastAsia="ＭＳ 明朝"/>
          <w:i/>
          <w:sz w:val="22"/>
          <w:lang w:val="en-US"/>
        </w:rPr>
        <w:t>CC-groups, LTE DC PC mode 1 and mode 2 can be starting points.</w:t>
      </w:r>
    </w:p>
    <w:p w14:paraId="034DCEEE" w14:textId="77777777" w:rsidR="001A10EE" w:rsidRDefault="001A10EE" w:rsidP="001A10EE">
      <w:pPr>
        <w:pStyle w:val="afc"/>
        <w:numPr>
          <w:ilvl w:val="2"/>
          <w:numId w:val="44"/>
        </w:numPr>
        <w:spacing w:afterLines="50" w:after="120"/>
        <w:ind w:leftChars="0"/>
        <w:jc w:val="both"/>
        <w:rPr>
          <w:rFonts w:eastAsia="ＭＳ 明朝"/>
          <w:i/>
          <w:sz w:val="22"/>
          <w:lang w:val="en-US"/>
        </w:rPr>
      </w:pPr>
      <w:r>
        <w:rPr>
          <w:rFonts w:eastAsia="ＭＳ 明朝"/>
          <w:i/>
          <w:sz w:val="22"/>
          <w:lang w:val="en-US"/>
        </w:rPr>
        <w:t>DC PC mode 1 can also be the starting point for NR CA with UCI feedback on multiple UL carriers.</w:t>
      </w:r>
    </w:p>
    <w:p w14:paraId="5B082879" w14:textId="77777777" w:rsidR="001A10EE" w:rsidRPr="00046062" w:rsidRDefault="001A10EE" w:rsidP="001A10EE">
      <w:pPr>
        <w:pStyle w:val="afc"/>
        <w:numPr>
          <w:ilvl w:val="2"/>
          <w:numId w:val="44"/>
        </w:numPr>
        <w:spacing w:afterLines="50" w:after="120"/>
        <w:ind w:leftChars="0"/>
        <w:jc w:val="both"/>
        <w:rPr>
          <w:rFonts w:eastAsia="ＭＳ 明朝"/>
          <w:i/>
          <w:sz w:val="22"/>
          <w:lang w:val="en-US"/>
        </w:rPr>
      </w:pPr>
      <w:r>
        <w:rPr>
          <w:rFonts w:eastAsia="ＭＳ 明朝"/>
          <w:i/>
          <w:sz w:val="22"/>
          <w:lang w:val="en-US"/>
        </w:rPr>
        <w:t>DC PC mode 2 can also be the starting point for NR CA with different TTI lengths/numerologies on multiple UL carriers.</w:t>
      </w:r>
    </w:p>
    <w:p w14:paraId="46D73263" w14:textId="77777777" w:rsidR="00A06DD8" w:rsidRPr="00DA4922"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31882244" w14:textId="093AC03E" w:rsidR="00B17DE2" w:rsidRDefault="00B17DE2" w:rsidP="004F00A6">
      <w:pPr>
        <w:widowControl w:val="0"/>
        <w:numPr>
          <w:ilvl w:val="0"/>
          <w:numId w:val="4"/>
        </w:numPr>
        <w:spacing w:after="120"/>
        <w:jc w:val="both"/>
        <w:rPr>
          <w:sz w:val="22"/>
          <w:szCs w:val="22"/>
          <w:lang w:val="en-US"/>
        </w:rPr>
      </w:pPr>
      <w:r>
        <w:rPr>
          <w:sz w:val="22"/>
          <w:szCs w:val="22"/>
          <w:lang w:val="en-US"/>
        </w:rPr>
        <w:t>R1-170</w:t>
      </w:r>
      <w:r w:rsidR="00763E06">
        <w:rPr>
          <w:sz w:val="22"/>
          <w:szCs w:val="22"/>
          <w:lang w:val="en-US"/>
        </w:rPr>
        <w:t>5702</w:t>
      </w:r>
      <w:r>
        <w:rPr>
          <w:sz w:val="22"/>
          <w:szCs w:val="22"/>
          <w:lang w:val="en-US"/>
        </w:rPr>
        <w:t xml:space="preserve">, ‘Views on </w:t>
      </w:r>
      <w:r w:rsidR="00763E06">
        <w:rPr>
          <w:sz w:val="22"/>
          <w:szCs w:val="22"/>
          <w:lang w:val="en-US"/>
        </w:rPr>
        <w:t>wider bandwidth operations for NR,’</w:t>
      </w:r>
      <w:r>
        <w:rPr>
          <w:sz w:val="22"/>
          <w:szCs w:val="22"/>
          <w:lang w:val="en-US"/>
        </w:rPr>
        <w:t xml:space="preserve"> NTT DOCOMO, INC.</w:t>
      </w:r>
    </w:p>
    <w:p w14:paraId="2DEDC3FF" w14:textId="29F1D12A" w:rsidR="00763E06" w:rsidRDefault="00763E06" w:rsidP="004F00A6">
      <w:pPr>
        <w:widowControl w:val="0"/>
        <w:numPr>
          <w:ilvl w:val="0"/>
          <w:numId w:val="4"/>
        </w:numPr>
        <w:spacing w:after="120"/>
        <w:jc w:val="both"/>
        <w:rPr>
          <w:sz w:val="22"/>
          <w:szCs w:val="22"/>
          <w:lang w:val="en-US"/>
        </w:rPr>
      </w:pPr>
      <w:r>
        <w:rPr>
          <w:sz w:val="22"/>
          <w:szCs w:val="22"/>
          <w:lang w:val="en-US"/>
        </w:rPr>
        <w:t>R4-1702029, ‘Reply LS on UE RF Bandwidth Adaptation in NR,’ RAN4.</w:t>
      </w:r>
    </w:p>
    <w:p w14:paraId="3CF1F088" w14:textId="1D51D23D" w:rsidR="00763E06" w:rsidRDefault="00B4172D" w:rsidP="004F00A6">
      <w:pPr>
        <w:widowControl w:val="0"/>
        <w:numPr>
          <w:ilvl w:val="0"/>
          <w:numId w:val="4"/>
        </w:numPr>
        <w:spacing w:after="120"/>
        <w:jc w:val="both"/>
        <w:rPr>
          <w:sz w:val="22"/>
          <w:szCs w:val="22"/>
          <w:lang w:val="en-US"/>
        </w:rPr>
      </w:pPr>
      <w:r>
        <w:rPr>
          <w:rFonts w:hint="eastAsia"/>
          <w:sz w:val="22"/>
          <w:szCs w:val="22"/>
          <w:lang w:val="en-US"/>
        </w:rPr>
        <w:t xml:space="preserve">3GPP </w:t>
      </w:r>
      <w:r>
        <w:rPr>
          <w:sz w:val="22"/>
          <w:szCs w:val="22"/>
          <w:lang w:val="en-US"/>
        </w:rPr>
        <w:t xml:space="preserve">RAN2#97 </w:t>
      </w:r>
      <w:r>
        <w:rPr>
          <w:rFonts w:hint="eastAsia"/>
          <w:sz w:val="22"/>
          <w:szCs w:val="22"/>
          <w:lang w:val="en-US"/>
        </w:rPr>
        <w:t>Chairman</w:t>
      </w:r>
      <w:r>
        <w:rPr>
          <w:sz w:val="22"/>
          <w:szCs w:val="22"/>
          <w:lang w:val="en-US"/>
        </w:rPr>
        <w:t>’s note.</w:t>
      </w:r>
    </w:p>
    <w:p w14:paraId="66FB3304" w14:textId="3C5691C9" w:rsidR="00B4172D" w:rsidRDefault="00B4172D" w:rsidP="00B4172D">
      <w:pPr>
        <w:widowControl w:val="0"/>
        <w:numPr>
          <w:ilvl w:val="0"/>
          <w:numId w:val="4"/>
        </w:numPr>
        <w:spacing w:after="120"/>
        <w:jc w:val="both"/>
        <w:rPr>
          <w:sz w:val="22"/>
          <w:szCs w:val="22"/>
          <w:lang w:val="en-US"/>
        </w:rPr>
      </w:pPr>
      <w:r>
        <w:rPr>
          <w:rFonts w:hint="eastAsia"/>
          <w:sz w:val="22"/>
          <w:szCs w:val="22"/>
          <w:lang w:val="en-US"/>
        </w:rPr>
        <w:t xml:space="preserve">R4-1702099, </w:t>
      </w:r>
      <w:r>
        <w:rPr>
          <w:sz w:val="22"/>
          <w:szCs w:val="22"/>
          <w:lang w:val="en-US"/>
        </w:rPr>
        <w:t>‘</w:t>
      </w:r>
      <w:r w:rsidRPr="00B4172D">
        <w:rPr>
          <w:sz w:val="22"/>
          <w:szCs w:val="22"/>
          <w:lang w:val="en-US"/>
        </w:rPr>
        <w:t>Response LS on UE capability aspects for LTE/NR tight interworking</w:t>
      </w:r>
      <w:r>
        <w:rPr>
          <w:sz w:val="22"/>
          <w:szCs w:val="22"/>
          <w:lang w:val="en-US"/>
        </w:rPr>
        <w:t>,’ RAN4.</w:t>
      </w:r>
    </w:p>
    <w:p w14:paraId="2F28F2B2" w14:textId="3624D598" w:rsidR="00B95814" w:rsidRPr="004F00A6" w:rsidRDefault="00B95814" w:rsidP="00B17DE2">
      <w:pPr>
        <w:widowControl w:val="0"/>
        <w:spacing w:after="120"/>
        <w:jc w:val="both"/>
        <w:rPr>
          <w:sz w:val="22"/>
          <w:szCs w:val="22"/>
          <w:lang w:val="en-US"/>
        </w:rPr>
      </w:pPr>
    </w:p>
    <w:sectPr w:rsidR="00B95814" w:rsidRPr="004F00A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29050" w14:textId="77777777" w:rsidR="00333848" w:rsidRDefault="00333848">
      <w:r>
        <w:separator/>
      </w:r>
    </w:p>
  </w:endnote>
  <w:endnote w:type="continuationSeparator" w:id="0">
    <w:p w14:paraId="7B25896A" w14:textId="77777777" w:rsidR="00333848" w:rsidRDefault="00333848">
      <w:r>
        <w:continuationSeparator/>
      </w:r>
    </w:p>
  </w:endnote>
  <w:endnote w:type="continuationNotice" w:id="1">
    <w:p w14:paraId="5A8251DD" w14:textId="77777777" w:rsidR="00333848" w:rsidRDefault="00333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742E909"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46288">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46288">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57B3A" w14:textId="77777777" w:rsidR="00333848" w:rsidRDefault="00333848">
      <w:r>
        <w:separator/>
      </w:r>
    </w:p>
  </w:footnote>
  <w:footnote w:type="continuationSeparator" w:id="0">
    <w:p w14:paraId="320AFF7E" w14:textId="77777777" w:rsidR="00333848" w:rsidRDefault="00333848">
      <w:r>
        <w:continuationSeparator/>
      </w:r>
    </w:p>
  </w:footnote>
  <w:footnote w:type="continuationNotice" w:id="1">
    <w:p w14:paraId="51FCC51E" w14:textId="77777777" w:rsidR="00333848" w:rsidRDefault="003338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066FBA"/>
    <w:multiLevelType w:val="hybridMultilevel"/>
    <w:tmpl w:val="20C8F6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BA6097"/>
    <w:multiLevelType w:val="hybridMultilevel"/>
    <w:tmpl w:val="B92667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38"/>
  </w:num>
  <w:num w:numId="3">
    <w:abstractNumId w:val="21"/>
  </w:num>
  <w:num w:numId="4">
    <w:abstractNumId w:val="16"/>
  </w:num>
  <w:num w:numId="5">
    <w:abstractNumId w:val="43"/>
  </w:num>
  <w:num w:numId="6">
    <w:abstractNumId w:val="34"/>
  </w:num>
  <w:num w:numId="7">
    <w:abstractNumId w:val="40"/>
  </w:num>
  <w:num w:numId="8">
    <w:abstractNumId w:val="41"/>
  </w:num>
  <w:num w:numId="9">
    <w:abstractNumId w:val="28"/>
  </w:num>
  <w:num w:numId="10">
    <w:abstractNumId w:val="36"/>
  </w:num>
  <w:num w:numId="11">
    <w:abstractNumId w:val="11"/>
  </w:num>
  <w:num w:numId="12">
    <w:abstractNumId w:val="33"/>
  </w:num>
  <w:num w:numId="13">
    <w:abstractNumId w:val="8"/>
  </w:num>
  <w:num w:numId="14">
    <w:abstractNumId w:val="2"/>
  </w:num>
  <w:num w:numId="15">
    <w:abstractNumId w:val="12"/>
  </w:num>
  <w:num w:numId="16">
    <w:abstractNumId w:val="42"/>
  </w:num>
  <w:num w:numId="17">
    <w:abstractNumId w:val="5"/>
  </w:num>
  <w:num w:numId="18">
    <w:abstractNumId w:val="1"/>
  </w:num>
  <w:num w:numId="19">
    <w:abstractNumId w:val="37"/>
  </w:num>
  <w:num w:numId="20">
    <w:abstractNumId w:val="10"/>
  </w:num>
  <w:num w:numId="21">
    <w:abstractNumId w:val="27"/>
  </w:num>
  <w:num w:numId="22">
    <w:abstractNumId w:val="17"/>
  </w:num>
  <w:num w:numId="23">
    <w:abstractNumId w:val="18"/>
  </w:num>
  <w:num w:numId="24">
    <w:abstractNumId w:val="22"/>
  </w:num>
  <w:num w:numId="25">
    <w:abstractNumId w:val="9"/>
  </w:num>
  <w:num w:numId="26">
    <w:abstractNumId w:val="25"/>
  </w:num>
  <w:num w:numId="27">
    <w:abstractNumId w:val="20"/>
  </w:num>
  <w:num w:numId="28">
    <w:abstractNumId w:val="29"/>
  </w:num>
  <w:num w:numId="29">
    <w:abstractNumId w:val="31"/>
  </w:num>
  <w:num w:numId="30">
    <w:abstractNumId w:val="7"/>
  </w:num>
  <w:num w:numId="31">
    <w:abstractNumId w:val="3"/>
  </w:num>
  <w:num w:numId="32">
    <w:abstractNumId w:val="4"/>
  </w:num>
  <w:num w:numId="33">
    <w:abstractNumId w:val="23"/>
  </w:num>
  <w:num w:numId="34">
    <w:abstractNumId w:val="26"/>
  </w:num>
  <w:num w:numId="35">
    <w:abstractNumId w:val="35"/>
  </w:num>
  <w:num w:numId="36">
    <w:abstractNumId w:val="32"/>
  </w:num>
  <w:num w:numId="37">
    <w:abstractNumId w:val="24"/>
  </w:num>
  <w:num w:numId="38">
    <w:abstractNumId w:val="19"/>
  </w:num>
  <w:num w:numId="39">
    <w:abstractNumId w:val="44"/>
  </w:num>
  <w:num w:numId="40">
    <w:abstractNumId w:val="6"/>
  </w:num>
  <w:num w:numId="41">
    <w:abstractNumId w:val="39"/>
  </w:num>
  <w:num w:numId="42">
    <w:abstractNumId w:val="30"/>
  </w:num>
  <w:num w:numId="43">
    <w:abstractNumId w:val="15"/>
  </w:num>
  <w:num w:numId="44">
    <w:abstractNumId w:val="13"/>
  </w:num>
  <w:num w:numId="4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062"/>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D16"/>
    <w:rsid w:val="000C735F"/>
    <w:rsid w:val="000C76AD"/>
    <w:rsid w:val="000C7705"/>
    <w:rsid w:val="000D00B7"/>
    <w:rsid w:val="000D0184"/>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88"/>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0EE"/>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A84"/>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84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848"/>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3D5"/>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1D9"/>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06"/>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E06"/>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792"/>
    <w:rsid w:val="00813C53"/>
    <w:rsid w:val="00813E0F"/>
    <w:rsid w:val="00814341"/>
    <w:rsid w:val="0081472C"/>
    <w:rsid w:val="0081487E"/>
    <w:rsid w:val="00814C70"/>
    <w:rsid w:val="00814E36"/>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AE"/>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273"/>
    <w:rsid w:val="0086236F"/>
    <w:rsid w:val="00862B9A"/>
    <w:rsid w:val="00862D31"/>
    <w:rsid w:val="00862F75"/>
    <w:rsid w:val="00863752"/>
    <w:rsid w:val="00863949"/>
    <w:rsid w:val="00864043"/>
    <w:rsid w:val="008657AB"/>
    <w:rsid w:val="00865C05"/>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BF"/>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49"/>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60"/>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2D"/>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2D"/>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923"/>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8"/>
    <w:rsid w:val="00DB60FE"/>
    <w:rsid w:val="00DB6284"/>
    <w:rsid w:val="00DB67D6"/>
    <w:rsid w:val="00DB6859"/>
    <w:rsid w:val="00DB69E6"/>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0B1D"/>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04E"/>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6B6"/>
    <w:rsid w:val="00E94C74"/>
    <w:rsid w:val="00E94EBC"/>
    <w:rsid w:val="00E95A85"/>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01B"/>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D26"/>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123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88262247">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38883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40060606">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5189592">
      <w:bodyDiv w:val="1"/>
      <w:marLeft w:val="0"/>
      <w:marRight w:val="0"/>
      <w:marTop w:val="0"/>
      <w:marBottom w:val="0"/>
      <w:divBdr>
        <w:top w:val="none" w:sz="0" w:space="0" w:color="auto"/>
        <w:left w:val="none" w:sz="0" w:space="0" w:color="auto"/>
        <w:bottom w:val="none" w:sz="0" w:space="0" w:color="auto"/>
        <w:right w:val="none" w:sz="0" w:space="0" w:color="auto"/>
      </w:divBdr>
    </w:div>
    <w:div w:id="19540471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25862-10E8-4C76-93FD-3108DFBCC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6310</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2017-03-25T04:05:00Z</dcterms:created>
  <dcterms:modified xsi:type="dcterms:W3CDTF">2017-03-25T04:05:00Z</dcterms:modified>
</cp:coreProperties>
</file>