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7A425BE"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0C437F">
        <w:rPr>
          <w:rFonts w:hint="eastAsia"/>
          <w:sz w:val="24"/>
          <w:lang w:val="en-US" w:eastAsia="ja-JP"/>
        </w:rPr>
        <w:t>05738</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1B13D6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A3D5D">
        <w:rPr>
          <w:sz w:val="24"/>
          <w:lang w:val="en-US" w:eastAsia="ja-JP"/>
        </w:rPr>
        <w:t xml:space="preserve">PDCCH </w:t>
      </w:r>
      <w:r w:rsidR="00393FD0">
        <w:rPr>
          <w:sz w:val="24"/>
          <w:lang w:val="en-US" w:eastAsia="ja-JP"/>
        </w:rPr>
        <w:t xml:space="preserve">for URLLC </w:t>
      </w:r>
      <w:r w:rsidR="00544C56">
        <w:rPr>
          <w:sz w:val="24"/>
          <w:lang w:val="en-US" w:eastAsia="ja-JP"/>
        </w:rPr>
        <w:t>low latency</w:t>
      </w:r>
    </w:p>
    <w:bookmarkEnd w:id="1"/>
    <w:bookmarkEnd w:id="2"/>
    <w:bookmarkEnd w:id="3"/>
    <w:bookmarkEnd w:id="4"/>
    <w:p w14:paraId="02FF14B3" w14:textId="5DF70B1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6036D">
        <w:rPr>
          <w:sz w:val="24"/>
          <w:lang w:val="en-US" w:eastAsia="ja-JP"/>
        </w:rPr>
        <w:t>8.1.3.1.</w:t>
      </w:r>
      <w:r w:rsidR="009A3D5D">
        <w:rPr>
          <w:rFonts w:hint="eastAsia"/>
          <w:sz w:val="24"/>
          <w:lang w:val="en-US" w:eastAsia="ja-JP"/>
        </w:rPr>
        <w:t>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38110676" w14:textId="31D818EB" w:rsidR="00E1789A" w:rsidRPr="00C447B9" w:rsidRDefault="00EE6A6C" w:rsidP="00A86A94">
      <w:pPr>
        <w:spacing w:afterLines="50" w:after="120"/>
        <w:jc w:val="both"/>
        <w:rPr>
          <w:rFonts w:eastAsiaTheme="minorEastAsia"/>
          <w:sz w:val="22"/>
          <w:lang w:val="en-US"/>
        </w:rPr>
      </w:pPr>
      <w:r>
        <w:rPr>
          <w:rFonts w:eastAsiaTheme="minorEastAsia" w:hint="eastAsia"/>
          <w:sz w:val="22"/>
          <w:lang w:val="en-US"/>
        </w:rPr>
        <w:t xml:space="preserve">In this contribution, </w:t>
      </w:r>
      <w:r w:rsidR="009A3D5D">
        <w:rPr>
          <w:rFonts w:eastAsiaTheme="minorEastAsia"/>
          <w:sz w:val="22"/>
          <w:lang w:val="en-US"/>
        </w:rPr>
        <w:t xml:space="preserve">initial views on </w:t>
      </w:r>
      <w:r w:rsidR="00A86A94">
        <w:rPr>
          <w:rFonts w:eastAsiaTheme="minorEastAsia"/>
          <w:sz w:val="22"/>
          <w:lang w:val="en-US"/>
        </w:rPr>
        <w:t xml:space="preserve">PDCCH </w:t>
      </w:r>
      <w:r w:rsidR="009A3D5D">
        <w:rPr>
          <w:rFonts w:eastAsiaTheme="minorEastAsia"/>
          <w:sz w:val="22"/>
          <w:lang w:val="en-US"/>
        </w:rPr>
        <w:t xml:space="preserve">design for </w:t>
      </w:r>
      <w:r w:rsidR="00544C56">
        <w:rPr>
          <w:rFonts w:eastAsiaTheme="minorEastAsia"/>
          <w:sz w:val="22"/>
          <w:lang w:val="en-US"/>
        </w:rPr>
        <w:t>URLLC low latency</w:t>
      </w:r>
      <w:r w:rsidR="009A3D5D">
        <w:rPr>
          <w:rFonts w:eastAsiaTheme="minorEastAsia"/>
          <w:sz w:val="22"/>
          <w:lang w:val="en-US"/>
        </w:rPr>
        <w:t xml:space="preserve"> </w:t>
      </w:r>
      <w:r w:rsidR="00A86A94">
        <w:rPr>
          <w:rFonts w:eastAsiaTheme="minorEastAsia"/>
          <w:sz w:val="22"/>
          <w:lang w:val="en-US"/>
        </w:rPr>
        <w:t>is discussed.</w:t>
      </w:r>
    </w:p>
    <w:p w14:paraId="2632DC21" w14:textId="510485ED" w:rsidR="000E6716" w:rsidRPr="00350944" w:rsidRDefault="009A3D5D" w:rsidP="00350944">
      <w:pPr>
        <w:pStyle w:val="1"/>
        <w:numPr>
          <w:ilvl w:val="0"/>
          <w:numId w:val="6"/>
        </w:numPr>
        <w:spacing w:after="120"/>
        <w:jc w:val="both"/>
        <w:rPr>
          <w:b/>
          <w:lang w:val="en-US"/>
        </w:rPr>
      </w:pPr>
      <w:r>
        <w:rPr>
          <w:b/>
          <w:lang w:val="en-US"/>
        </w:rPr>
        <w:t xml:space="preserve">PDCCH for </w:t>
      </w:r>
      <w:r w:rsidR="00544C56">
        <w:rPr>
          <w:b/>
          <w:lang w:val="en-US"/>
        </w:rPr>
        <w:t>URLLC low latency</w:t>
      </w:r>
    </w:p>
    <w:p w14:paraId="733983B6" w14:textId="1AEFACD1" w:rsidR="00AC44BA" w:rsidRDefault="009A3D5D" w:rsidP="00A86A94">
      <w:pPr>
        <w:spacing w:afterLines="50" w:after="120"/>
        <w:jc w:val="both"/>
        <w:rPr>
          <w:rFonts w:eastAsiaTheme="minorEastAsia"/>
          <w:sz w:val="22"/>
          <w:lang w:val="en-US"/>
        </w:rPr>
      </w:pPr>
      <w:r>
        <w:rPr>
          <w:rFonts w:eastAsiaTheme="minorEastAsia"/>
          <w:sz w:val="22"/>
          <w:lang w:val="en-US"/>
        </w:rPr>
        <w:t xml:space="preserve">One of the use-case of NR is URLLC, in which U-plane latency of 0.5ms ~ 1ms is required. For this, TTI shortening is promising. NR supports two </w:t>
      </w:r>
      <w:r w:rsidR="008F732A">
        <w:rPr>
          <w:rFonts w:eastAsiaTheme="minorEastAsia"/>
          <w:sz w:val="22"/>
          <w:lang w:val="en-US"/>
        </w:rPr>
        <w:t>realizations</w:t>
      </w:r>
      <w:r>
        <w:rPr>
          <w:rFonts w:eastAsiaTheme="minorEastAsia"/>
          <w:sz w:val="22"/>
          <w:lang w:val="en-US"/>
        </w:rPr>
        <w:t xml:space="preserve"> of TTI shortening:</w:t>
      </w:r>
    </w:p>
    <w:p w14:paraId="1BDD0BFF" w14:textId="77777777" w:rsidR="008F732A" w:rsidRDefault="009A3D5D" w:rsidP="00C447B9">
      <w:pPr>
        <w:pStyle w:val="afc"/>
        <w:numPr>
          <w:ilvl w:val="0"/>
          <w:numId w:val="28"/>
        </w:numPr>
        <w:spacing w:afterLines="50" w:after="120"/>
        <w:ind w:leftChars="0"/>
        <w:jc w:val="both"/>
        <w:rPr>
          <w:rFonts w:eastAsiaTheme="minorEastAsia"/>
          <w:sz w:val="22"/>
          <w:lang w:val="en-US"/>
        </w:rPr>
      </w:pPr>
      <w:r w:rsidRPr="00C447B9">
        <w:rPr>
          <w:rFonts w:eastAsiaTheme="minorEastAsia" w:hint="eastAsia"/>
          <w:sz w:val="22"/>
          <w:lang w:val="en-US"/>
        </w:rPr>
        <w:t xml:space="preserve">Realization 1: </w:t>
      </w:r>
      <w:r w:rsidRPr="00C447B9">
        <w:rPr>
          <w:rFonts w:eastAsiaTheme="minorEastAsia"/>
          <w:sz w:val="22"/>
          <w:lang w:val="en-US"/>
        </w:rPr>
        <w:t xml:space="preserve">Using higher SCS compared to eMBB. </w:t>
      </w:r>
    </w:p>
    <w:p w14:paraId="4538A333" w14:textId="647FF4BE" w:rsidR="009A3D5D" w:rsidRPr="00C447B9" w:rsidRDefault="009A3D5D" w:rsidP="008F732A">
      <w:pPr>
        <w:pStyle w:val="afc"/>
        <w:numPr>
          <w:ilvl w:val="1"/>
          <w:numId w:val="28"/>
        </w:numPr>
        <w:spacing w:afterLines="50" w:after="120"/>
        <w:ind w:leftChars="0"/>
        <w:jc w:val="both"/>
        <w:rPr>
          <w:rFonts w:eastAsiaTheme="minorEastAsia"/>
          <w:sz w:val="22"/>
          <w:lang w:val="en-US"/>
        </w:rPr>
      </w:pPr>
      <w:r w:rsidRPr="00C447B9">
        <w:rPr>
          <w:rFonts w:eastAsiaTheme="minorEastAsia"/>
          <w:sz w:val="22"/>
          <w:lang w:val="en-US"/>
        </w:rPr>
        <w:t>For example, SCS of 60kHz with a slot length of 7 symbols can realize TTI length of around 0.125ms.</w:t>
      </w:r>
    </w:p>
    <w:p w14:paraId="3966B7EA" w14:textId="77777777" w:rsidR="008F732A" w:rsidRDefault="009A3D5D" w:rsidP="00C447B9">
      <w:pPr>
        <w:pStyle w:val="afc"/>
        <w:numPr>
          <w:ilvl w:val="0"/>
          <w:numId w:val="28"/>
        </w:numPr>
        <w:spacing w:afterLines="50" w:after="120"/>
        <w:ind w:leftChars="0"/>
        <w:jc w:val="both"/>
        <w:rPr>
          <w:rFonts w:eastAsiaTheme="minorEastAsia"/>
          <w:sz w:val="22"/>
          <w:lang w:val="en-US"/>
        </w:rPr>
      </w:pPr>
      <w:r w:rsidRPr="00C447B9">
        <w:rPr>
          <w:rFonts w:eastAsiaTheme="minorEastAsia"/>
          <w:sz w:val="22"/>
          <w:lang w:val="en-US"/>
        </w:rPr>
        <w:t xml:space="preserve">Realization 2: Using mini-slot. </w:t>
      </w:r>
    </w:p>
    <w:p w14:paraId="03A8AC31" w14:textId="71753B09" w:rsidR="009A3D5D" w:rsidRPr="00C447B9" w:rsidRDefault="009A3D5D" w:rsidP="008F732A">
      <w:pPr>
        <w:pStyle w:val="afc"/>
        <w:numPr>
          <w:ilvl w:val="1"/>
          <w:numId w:val="28"/>
        </w:numPr>
        <w:spacing w:afterLines="50" w:after="120"/>
        <w:ind w:leftChars="0"/>
        <w:jc w:val="both"/>
        <w:rPr>
          <w:rFonts w:eastAsiaTheme="minorEastAsia"/>
          <w:sz w:val="22"/>
          <w:lang w:val="en-US"/>
        </w:rPr>
      </w:pPr>
      <w:r w:rsidRPr="00C447B9">
        <w:rPr>
          <w:rFonts w:eastAsiaTheme="minorEastAsia"/>
          <w:sz w:val="22"/>
          <w:lang w:val="en-US"/>
        </w:rPr>
        <w:t>2 symbol mini-slot with SCS of 15kHz can realize TTI length of around 0.14ms.</w:t>
      </w:r>
    </w:p>
    <w:p w14:paraId="06E0DC35" w14:textId="031962EC" w:rsidR="00544C56" w:rsidRPr="00424E28" w:rsidRDefault="00544C56" w:rsidP="00544C56">
      <w:pPr>
        <w:pStyle w:val="1"/>
        <w:numPr>
          <w:ilvl w:val="1"/>
          <w:numId w:val="6"/>
        </w:numPr>
        <w:spacing w:after="120"/>
        <w:jc w:val="both"/>
        <w:rPr>
          <w:b/>
          <w:sz w:val="24"/>
          <w:lang w:val="en-US"/>
        </w:rPr>
      </w:pPr>
      <w:r>
        <w:rPr>
          <w:b/>
          <w:sz w:val="24"/>
          <w:lang w:val="en-US"/>
        </w:rPr>
        <w:t>PDCCH using higher SCS</w:t>
      </w:r>
    </w:p>
    <w:p w14:paraId="404C282E" w14:textId="73220F15" w:rsidR="009A3D5D" w:rsidRDefault="009A3D5D" w:rsidP="00A86A94">
      <w:pPr>
        <w:spacing w:afterLines="50" w:after="120"/>
        <w:jc w:val="both"/>
        <w:rPr>
          <w:rFonts w:eastAsiaTheme="minorEastAsia"/>
          <w:sz w:val="22"/>
          <w:lang w:val="en-US"/>
        </w:rPr>
      </w:pPr>
      <w:r>
        <w:rPr>
          <w:rFonts w:eastAsiaTheme="minorEastAsia" w:hint="eastAsia"/>
          <w:sz w:val="22"/>
          <w:lang w:val="en-US"/>
        </w:rPr>
        <w:t xml:space="preserve">According to the agreements RAN1 made so far, PDCCH </w:t>
      </w:r>
      <w:r w:rsidR="003F433A">
        <w:rPr>
          <w:rFonts w:eastAsiaTheme="minorEastAsia"/>
          <w:sz w:val="22"/>
          <w:lang w:val="en-US"/>
        </w:rPr>
        <w:t>for eMBB is</w:t>
      </w:r>
      <w:r>
        <w:rPr>
          <w:rFonts w:eastAsiaTheme="minorEastAsia" w:hint="eastAsia"/>
          <w:sz w:val="22"/>
          <w:lang w:val="en-US"/>
        </w:rPr>
        <w:t xml:space="preserve"> designed such that it is mapped </w:t>
      </w:r>
      <w:r w:rsidR="003F433A">
        <w:rPr>
          <w:rFonts w:eastAsiaTheme="minorEastAsia"/>
          <w:sz w:val="22"/>
          <w:lang w:val="en-US"/>
        </w:rPr>
        <w:t xml:space="preserve">at least </w:t>
      </w:r>
      <w:r>
        <w:rPr>
          <w:rFonts w:eastAsiaTheme="minorEastAsia" w:hint="eastAsia"/>
          <w:sz w:val="22"/>
          <w:lang w:val="en-US"/>
        </w:rPr>
        <w:t xml:space="preserve">within one OFDM symbol. </w:t>
      </w:r>
      <w:r>
        <w:rPr>
          <w:rFonts w:eastAsiaTheme="minorEastAsia"/>
          <w:sz w:val="22"/>
          <w:lang w:val="en-US"/>
        </w:rPr>
        <w:t xml:space="preserve">Therefore, </w:t>
      </w:r>
      <w:r w:rsidR="003F433A">
        <w:rPr>
          <w:rFonts w:eastAsiaTheme="minorEastAsia"/>
          <w:sz w:val="22"/>
          <w:lang w:val="en-US"/>
        </w:rPr>
        <w:t xml:space="preserve">NR-PDCCH designed for eMBB can simply be re-used for realization 2. </w:t>
      </w:r>
    </w:p>
    <w:p w14:paraId="7CA97AEE" w14:textId="0FE37724" w:rsidR="00935A3A" w:rsidRDefault="00935A3A" w:rsidP="00A86A94">
      <w:pPr>
        <w:spacing w:afterLines="50" w:after="120"/>
        <w:jc w:val="both"/>
        <w:rPr>
          <w:rFonts w:eastAsiaTheme="minorEastAsia"/>
          <w:sz w:val="22"/>
          <w:lang w:val="en-US"/>
        </w:rPr>
      </w:pPr>
      <w:r>
        <w:rPr>
          <w:rFonts w:eastAsiaTheme="minorEastAsia"/>
          <w:sz w:val="22"/>
          <w:lang w:val="en-US"/>
        </w:rPr>
        <w:t>On the other hand, it is not clear yet whether the NR-PDCCH can still simply be re-used for realization 1. Considering the URLLC nature, the</w:t>
      </w:r>
      <w:r w:rsidR="00E02155">
        <w:rPr>
          <w:rFonts w:eastAsiaTheme="minorEastAsia"/>
          <w:sz w:val="22"/>
          <w:lang w:val="en-US"/>
        </w:rPr>
        <w:t xml:space="preserve"> typical scenario would be</w:t>
      </w:r>
      <w:r>
        <w:rPr>
          <w:rFonts w:eastAsiaTheme="minorEastAsia"/>
          <w:sz w:val="22"/>
          <w:lang w:val="en-US"/>
        </w:rPr>
        <w:t xml:space="preserve"> </w:t>
      </w:r>
      <w:r w:rsidR="00E02155">
        <w:rPr>
          <w:rFonts w:eastAsiaTheme="minorEastAsia"/>
          <w:sz w:val="22"/>
          <w:lang w:val="en-US"/>
        </w:rPr>
        <w:t xml:space="preserve">a </w:t>
      </w:r>
      <w:r>
        <w:rPr>
          <w:rFonts w:eastAsiaTheme="minorEastAsia"/>
          <w:sz w:val="22"/>
          <w:lang w:val="en-US"/>
        </w:rPr>
        <w:t>carrier frequency</w:t>
      </w:r>
      <w:r w:rsidR="00E02155">
        <w:rPr>
          <w:rFonts w:eastAsiaTheme="minorEastAsia"/>
          <w:sz w:val="22"/>
          <w:lang w:val="en-US"/>
        </w:rPr>
        <w:t xml:space="preserve"> of below 6GHz</w:t>
      </w:r>
      <w:r>
        <w:rPr>
          <w:rFonts w:eastAsiaTheme="minorEastAsia"/>
          <w:sz w:val="22"/>
          <w:lang w:val="en-US"/>
        </w:rPr>
        <w:t xml:space="preserve">. For sub-6, each carrier would have limited carrier bandwidth such as 10 MHz or 20 MHz. On the other hand, </w:t>
      </w:r>
      <w:r w:rsidR="00E02155">
        <w:rPr>
          <w:rFonts w:eastAsiaTheme="minorEastAsia"/>
          <w:sz w:val="22"/>
          <w:lang w:val="en-US"/>
        </w:rPr>
        <w:t xml:space="preserve">due to higher </w:t>
      </w:r>
      <w:r>
        <w:rPr>
          <w:rFonts w:eastAsiaTheme="minorEastAsia"/>
          <w:sz w:val="22"/>
          <w:lang w:val="en-US"/>
        </w:rPr>
        <w:t xml:space="preserve">SCS, the number of subcarriers per one OFDM symbol for realization 1 </w:t>
      </w:r>
      <w:r w:rsidR="00E02155">
        <w:rPr>
          <w:rFonts w:eastAsiaTheme="minorEastAsia"/>
          <w:sz w:val="22"/>
          <w:lang w:val="en-US"/>
        </w:rPr>
        <w:t>in the given sub-6 carrier would be</w:t>
      </w:r>
      <w:r>
        <w:rPr>
          <w:rFonts w:eastAsiaTheme="minorEastAsia"/>
          <w:sz w:val="22"/>
          <w:lang w:val="en-US"/>
        </w:rPr>
        <w:t xml:space="preserve"> limited. For example, assuming 10MHz, there would be </w:t>
      </w:r>
      <w:r w:rsidR="0042458C">
        <w:rPr>
          <w:rFonts w:eastAsiaTheme="minorEastAsia"/>
          <w:sz w:val="22"/>
          <w:lang w:val="en-US"/>
        </w:rPr>
        <w:t>12</w:t>
      </w:r>
      <w:r>
        <w:rPr>
          <w:rFonts w:eastAsiaTheme="minorEastAsia"/>
          <w:sz w:val="22"/>
          <w:lang w:val="en-US"/>
        </w:rPr>
        <w:t xml:space="preserve"> PRBs with SCS of 60kHz. </w:t>
      </w:r>
      <w:r w:rsidR="00494C1A">
        <w:rPr>
          <w:rFonts w:eastAsiaTheme="minorEastAsia"/>
          <w:sz w:val="22"/>
          <w:lang w:val="en-US"/>
        </w:rPr>
        <w:t xml:space="preserve">For NR-PDCCH, if one CCE is formed by 6 REGs, the </w:t>
      </w:r>
      <w:r w:rsidR="0042458C">
        <w:rPr>
          <w:rFonts w:eastAsiaTheme="minorEastAsia"/>
          <w:sz w:val="22"/>
          <w:lang w:val="en-US"/>
        </w:rPr>
        <w:t xml:space="preserve">number of OFDM symbols necessary to accommodate an NR-PDCCH with aggregation level 8 is 4. </w:t>
      </w:r>
      <w:r w:rsidR="00E02155">
        <w:rPr>
          <w:rFonts w:eastAsiaTheme="minorEastAsia"/>
          <w:sz w:val="22"/>
          <w:lang w:val="en-US"/>
        </w:rPr>
        <w:t>If it is desirable to limit the bandwidth of the control resource set for NR-PDCCH to be monitored by the URLLC users, such as 5 MHz, the necessary number of OFDM symbols to accommodate an NR-PDCCH with aggregation level 8 becomes 8.</w:t>
      </w:r>
    </w:p>
    <w:p w14:paraId="4C564FF0" w14:textId="4C853998" w:rsidR="00E02155" w:rsidRDefault="00E02155" w:rsidP="00A86A94">
      <w:pPr>
        <w:spacing w:afterLines="50" w:after="120"/>
        <w:jc w:val="both"/>
        <w:rPr>
          <w:rFonts w:eastAsiaTheme="minorEastAsia"/>
          <w:sz w:val="22"/>
          <w:lang w:val="en-US"/>
        </w:rPr>
      </w:pPr>
      <w:r>
        <w:rPr>
          <w:rFonts w:eastAsiaTheme="minorEastAsia"/>
          <w:sz w:val="22"/>
          <w:lang w:val="en-US"/>
        </w:rPr>
        <w:t>From eMBB point of view, the number of OFDM symbols for a given control resource set can be up to 3. However, considering the URLLC usage, the number of OFDM symbols for a given control resource should not be limited to a small number, e.g., 3, but should be extendable to a large value, e.g., 8.</w:t>
      </w:r>
    </w:p>
    <w:p w14:paraId="36B926AA" w14:textId="3425165B" w:rsidR="00AC44BA" w:rsidRPr="00F81FF3" w:rsidRDefault="00E02155" w:rsidP="00FE0C9D">
      <w:pPr>
        <w:spacing w:afterLines="50" w:after="120"/>
        <w:jc w:val="both"/>
        <w:rPr>
          <w:rFonts w:eastAsiaTheme="minorEastAsia"/>
          <w:b/>
          <w:sz w:val="22"/>
          <w:u w:val="single"/>
          <w:lang w:val="en-US"/>
        </w:rPr>
      </w:pPr>
      <w:r>
        <w:rPr>
          <w:rFonts w:eastAsiaTheme="minorEastAsia" w:hint="eastAsia"/>
          <w:b/>
          <w:sz w:val="22"/>
          <w:u w:val="single"/>
          <w:lang w:val="en-US"/>
        </w:rPr>
        <w:t>Proposal</w:t>
      </w:r>
      <w:r w:rsidR="00544C56">
        <w:rPr>
          <w:rFonts w:eastAsiaTheme="minorEastAsia"/>
          <w:b/>
          <w:sz w:val="22"/>
          <w:u w:val="single"/>
          <w:lang w:val="en-US"/>
        </w:rPr>
        <w:t xml:space="preserve"> 1</w:t>
      </w:r>
      <w:r w:rsidR="00AC44BA" w:rsidRPr="00F81FF3">
        <w:rPr>
          <w:rFonts w:eastAsiaTheme="minorEastAsia" w:hint="eastAsia"/>
          <w:b/>
          <w:sz w:val="22"/>
          <w:u w:val="single"/>
          <w:lang w:val="en-US"/>
        </w:rPr>
        <w:t>:</w:t>
      </w:r>
    </w:p>
    <w:p w14:paraId="4E752177" w14:textId="79DD200C" w:rsidR="009A7D15" w:rsidRDefault="00C447B9" w:rsidP="009A7D15">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Wide range of the number of OFDM symbols should be able to be configured for a </w:t>
      </w:r>
      <w:r w:rsidR="00E02155">
        <w:rPr>
          <w:rFonts w:eastAsiaTheme="minorEastAsia"/>
          <w:i/>
          <w:sz w:val="22"/>
          <w:lang w:val="en-US"/>
        </w:rPr>
        <w:t>control resource set</w:t>
      </w:r>
      <w:r>
        <w:rPr>
          <w:rFonts w:eastAsiaTheme="minorEastAsia"/>
          <w:i/>
          <w:sz w:val="22"/>
          <w:lang w:val="en-US"/>
        </w:rPr>
        <w:t>.</w:t>
      </w:r>
    </w:p>
    <w:p w14:paraId="33236DFD" w14:textId="0F2B61B3" w:rsidR="00C447B9" w:rsidRDefault="00C447B9" w:rsidP="00C447B9">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At least from one to four.</w:t>
      </w:r>
    </w:p>
    <w:p w14:paraId="7C62EC1D" w14:textId="5FCD472F" w:rsidR="00544C56" w:rsidRDefault="00544C56" w:rsidP="00544C56">
      <w:pPr>
        <w:spacing w:afterLines="50" w:after="120"/>
        <w:jc w:val="both"/>
        <w:rPr>
          <w:rFonts w:eastAsiaTheme="minorEastAsia"/>
          <w:sz w:val="22"/>
          <w:lang w:val="en-US"/>
        </w:rPr>
      </w:pPr>
    </w:p>
    <w:p w14:paraId="6130B981" w14:textId="0635E527" w:rsidR="00544C56" w:rsidRPr="00544C56" w:rsidRDefault="00544C56" w:rsidP="00544C56">
      <w:pPr>
        <w:pStyle w:val="1"/>
        <w:numPr>
          <w:ilvl w:val="1"/>
          <w:numId w:val="6"/>
        </w:numPr>
        <w:spacing w:after="120"/>
        <w:jc w:val="both"/>
        <w:rPr>
          <w:b/>
          <w:sz w:val="24"/>
          <w:lang w:val="en-US"/>
        </w:rPr>
      </w:pPr>
      <w:r>
        <w:rPr>
          <w:b/>
          <w:sz w:val="24"/>
          <w:lang w:val="en-US"/>
        </w:rPr>
        <w:t>PDCCH for mini-slot</w:t>
      </w:r>
    </w:p>
    <w:p w14:paraId="2D32EA05" w14:textId="77777777" w:rsidR="00544C56" w:rsidRDefault="00544C56" w:rsidP="00544C56">
      <w:pPr>
        <w:spacing w:afterLines="50" w:after="120"/>
        <w:jc w:val="both"/>
        <w:rPr>
          <w:rFonts w:eastAsiaTheme="minorEastAsia"/>
          <w:sz w:val="22"/>
          <w:lang w:val="en-US"/>
        </w:rPr>
      </w:pPr>
      <w:r>
        <w:rPr>
          <w:rFonts w:eastAsiaTheme="minorEastAsia"/>
          <w:sz w:val="22"/>
          <w:lang w:val="en-US"/>
        </w:rPr>
        <w:t xml:space="preserve">For using the mini-slot configuration for low-latency purpose, however, NR-PDCCH shall be monitored with shorter periodicity, e.g., per mini-slot. Therefore, although the NR-PDCCH structure can be common between slot-level and mini-slot-level scheduling </w:t>
      </w:r>
      <w:r>
        <w:rPr>
          <w:rFonts w:eastAsiaTheme="minorEastAsia" w:hint="eastAsia"/>
          <w:sz w:val="22"/>
          <w:lang w:val="en-US"/>
        </w:rPr>
        <w:t>operations</w:t>
      </w:r>
      <w:r>
        <w:rPr>
          <w:rFonts w:eastAsiaTheme="minorEastAsia"/>
          <w:sz w:val="22"/>
          <w:lang w:val="en-US"/>
        </w:rPr>
        <w:t xml:space="preserve">, search space configurations and monitoring procedure would be different from pure eMBB case. </w:t>
      </w:r>
    </w:p>
    <w:p w14:paraId="154883E8" w14:textId="77777777" w:rsidR="00544C56" w:rsidRDefault="00544C56" w:rsidP="00544C56">
      <w:pPr>
        <w:spacing w:afterLines="50" w:after="120"/>
        <w:jc w:val="both"/>
        <w:rPr>
          <w:rFonts w:eastAsiaTheme="minorEastAsia"/>
          <w:sz w:val="22"/>
          <w:lang w:val="en-US"/>
        </w:rPr>
      </w:pPr>
      <w:r>
        <w:rPr>
          <w:rFonts w:eastAsiaTheme="minorEastAsia"/>
          <w:sz w:val="22"/>
          <w:lang w:val="en-US"/>
        </w:rPr>
        <w:t xml:space="preserve">The simple way to do this is to support monitoring multiple control resource sets having different monitoring periodicities including per slot and per mini-slot. For example, one control resource set is configured with a </w:t>
      </w:r>
      <w:r>
        <w:rPr>
          <w:rFonts w:eastAsiaTheme="minorEastAsia"/>
          <w:sz w:val="22"/>
          <w:lang w:val="en-US"/>
        </w:rPr>
        <w:lastRenderedPageBreak/>
        <w:t>periodicity of 1 slot, while another control resource set is configured with a periodicity of 2-symbol mini-slot.</w:t>
      </w:r>
      <w:r>
        <w:rPr>
          <w:rFonts w:eastAsiaTheme="minorEastAsia" w:hint="eastAsia"/>
          <w:sz w:val="22"/>
          <w:lang w:val="en-US"/>
        </w:rPr>
        <w:t xml:space="preserve"> </w:t>
      </w:r>
      <w:r>
        <w:rPr>
          <w:rFonts w:eastAsiaTheme="minorEastAsia"/>
          <w:sz w:val="22"/>
          <w:lang w:val="en-US"/>
        </w:rPr>
        <w:t>For the slot-level eMBB operation, monitoring multiple search spaces with different periodicities would be useful []. The PDCCH monitoring for mini-slot operation can be a scaled version of that for slot-level eMBB operation.</w:t>
      </w:r>
    </w:p>
    <w:p w14:paraId="19F916B4" w14:textId="4A1642D7" w:rsidR="00544C56" w:rsidRPr="00F81FF3" w:rsidRDefault="00544C56" w:rsidP="00544C56">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2</w:t>
      </w:r>
      <w:r w:rsidRPr="00F81FF3">
        <w:rPr>
          <w:rFonts w:eastAsiaTheme="minorEastAsia" w:hint="eastAsia"/>
          <w:b/>
          <w:sz w:val="22"/>
          <w:u w:val="single"/>
          <w:lang w:val="en-US"/>
        </w:rPr>
        <w:t>:</w:t>
      </w:r>
    </w:p>
    <w:p w14:paraId="03E8AC72" w14:textId="77777777" w:rsidR="00544C56" w:rsidRDefault="00544C56" w:rsidP="00544C56">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Support control resource sets monitoring with different periodicities including per slot and per mini-slot.</w:t>
      </w:r>
    </w:p>
    <w:p w14:paraId="102C359C" w14:textId="77777777" w:rsidR="00544C56" w:rsidRDefault="00544C56" w:rsidP="00544C56">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UE can be configured with multiple control resource sets having different periodicities.</w:t>
      </w:r>
    </w:p>
    <w:p w14:paraId="78CD0A60" w14:textId="77777777" w:rsidR="00544C56" w:rsidRDefault="00544C56" w:rsidP="00544C56">
      <w:pPr>
        <w:spacing w:afterLines="50" w:after="120"/>
        <w:jc w:val="both"/>
        <w:rPr>
          <w:rFonts w:eastAsiaTheme="minorEastAsia"/>
          <w:sz w:val="22"/>
          <w:lang w:val="en-US"/>
        </w:rPr>
      </w:pPr>
    </w:p>
    <w:p w14:paraId="7A090EE4" w14:textId="549BD1D0" w:rsidR="00544C56" w:rsidRDefault="00544C56" w:rsidP="00544C56">
      <w:pPr>
        <w:spacing w:afterLines="50" w:after="120"/>
        <w:jc w:val="both"/>
        <w:rPr>
          <w:rFonts w:eastAsiaTheme="minorEastAsia"/>
          <w:sz w:val="22"/>
          <w:lang w:val="en-US"/>
        </w:rPr>
      </w:pPr>
      <w:r>
        <w:rPr>
          <w:rFonts w:eastAsiaTheme="minorEastAsia"/>
          <w:sz w:val="22"/>
          <w:lang w:val="en-US"/>
        </w:rPr>
        <w:t>For PDCCH monitoring in mini-slot operation, clarification is necessary on how to determine the number of blind decodes the UE performs. At the RAN1#88 meeting, following agreements have been made. It needs to be clarified whether the following underlined agreement is per subframe, per slot, per mini-slot, or per symbol, and whether it is per carrier or per UE (in case of CA or DC). Note that the agreement allows to define maximum number of blind decodes neither per control resource set nor per search space.</w:t>
      </w:r>
    </w:p>
    <w:tbl>
      <w:tblPr>
        <w:tblStyle w:val="afa"/>
        <w:tblW w:w="0" w:type="auto"/>
        <w:tblLook w:val="04A0" w:firstRow="1" w:lastRow="0" w:firstColumn="1" w:lastColumn="0" w:noHBand="0" w:noVBand="1"/>
      </w:tblPr>
      <w:tblGrid>
        <w:gridCol w:w="10170"/>
      </w:tblGrid>
      <w:tr w:rsidR="00544C56" w14:paraId="28752CEF" w14:textId="77777777" w:rsidTr="00B34187">
        <w:tc>
          <w:tcPr>
            <w:tcW w:w="10170" w:type="dxa"/>
          </w:tcPr>
          <w:p w14:paraId="488D327F" w14:textId="77777777" w:rsidR="00544C56" w:rsidRPr="00327908" w:rsidRDefault="00544C56" w:rsidP="00B34187">
            <w:pPr>
              <w:spacing w:after="0"/>
              <w:jc w:val="both"/>
              <w:rPr>
                <w:rFonts w:eastAsiaTheme="minorEastAsia"/>
                <w:b/>
                <w:sz w:val="22"/>
                <w:u w:val="single"/>
              </w:rPr>
            </w:pPr>
            <w:r w:rsidRPr="00327908">
              <w:rPr>
                <w:rFonts w:eastAsiaTheme="minorEastAsia"/>
                <w:b/>
                <w:sz w:val="22"/>
                <w:highlight w:val="green"/>
                <w:u w:val="single"/>
              </w:rPr>
              <w:t>Agreements:</w:t>
            </w:r>
          </w:p>
          <w:p w14:paraId="6BD6FABD" w14:textId="77777777" w:rsidR="00544C56" w:rsidRPr="00327908" w:rsidRDefault="00544C56" w:rsidP="00B34187">
            <w:pPr>
              <w:numPr>
                <w:ilvl w:val="0"/>
                <w:numId w:val="30"/>
              </w:numPr>
              <w:spacing w:after="0"/>
              <w:jc w:val="both"/>
              <w:rPr>
                <w:rFonts w:eastAsiaTheme="minorEastAsia"/>
                <w:sz w:val="22"/>
              </w:rPr>
            </w:pPr>
            <w:r w:rsidRPr="00327908">
              <w:rPr>
                <w:rFonts w:eastAsiaTheme="minorEastAsia"/>
                <w:sz w:val="22"/>
              </w:rPr>
              <w:t>Multiple control resource sets can be overlapped in frequency and time for a UE.</w:t>
            </w:r>
          </w:p>
          <w:p w14:paraId="315E253D" w14:textId="77777777" w:rsidR="00544C56" w:rsidRPr="00327908" w:rsidRDefault="00544C56" w:rsidP="00B34187">
            <w:pPr>
              <w:numPr>
                <w:ilvl w:val="0"/>
                <w:numId w:val="30"/>
              </w:numPr>
              <w:spacing w:after="0"/>
              <w:jc w:val="both"/>
              <w:rPr>
                <w:rFonts w:eastAsiaTheme="minorEastAsia"/>
                <w:sz w:val="22"/>
              </w:rPr>
            </w:pPr>
            <w:r w:rsidRPr="00327908">
              <w:rPr>
                <w:rFonts w:eastAsiaTheme="minorEastAsia"/>
                <w:sz w:val="22"/>
              </w:rPr>
              <w:t>A search space in NR is associated with a single control resource set</w:t>
            </w:r>
          </w:p>
          <w:p w14:paraId="03C76350" w14:textId="77777777" w:rsidR="00544C56" w:rsidRPr="00327908" w:rsidRDefault="00544C56" w:rsidP="00B34187">
            <w:pPr>
              <w:numPr>
                <w:ilvl w:val="0"/>
                <w:numId w:val="29"/>
              </w:numPr>
              <w:spacing w:after="0"/>
              <w:jc w:val="both"/>
              <w:rPr>
                <w:rFonts w:eastAsiaTheme="minorEastAsia"/>
                <w:sz w:val="22"/>
              </w:rPr>
            </w:pPr>
            <w:r w:rsidRPr="00327908">
              <w:rPr>
                <w:rFonts w:eastAsiaTheme="minorEastAsia"/>
                <w:sz w:val="22"/>
              </w:rPr>
              <w:t>The search spaces in different control resources sets are defined independently.</w:t>
            </w:r>
          </w:p>
          <w:p w14:paraId="1339B8DA" w14:textId="77777777" w:rsidR="00544C56" w:rsidRPr="00327908" w:rsidRDefault="00544C56" w:rsidP="00B34187">
            <w:pPr>
              <w:numPr>
                <w:ilvl w:val="0"/>
                <w:numId w:val="30"/>
              </w:numPr>
              <w:spacing w:after="0"/>
              <w:jc w:val="both"/>
              <w:rPr>
                <w:rFonts w:eastAsiaTheme="minorEastAsia"/>
                <w:sz w:val="22"/>
                <w:u w:val="single"/>
              </w:rPr>
            </w:pPr>
            <w:r w:rsidRPr="00327908">
              <w:rPr>
                <w:rFonts w:eastAsiaTheme="minorEastAsia"/>
                <w:sz w:val="22"/>
                <w:u w:val="single"/>
              </w:rPr>
              <w:t>The max number of BD candidates for a UE is defined independently of the number of control resource sets and the number of search spaces.</w:t>
            </w:r>
          </w:p>
        </w:tc>
      </w:tr>
    </w:tbl>
    <w:p w14:paraId="324986F8" w14:textId="77777777" w:rsidR="00544C56" w:rsidRDefault="00544C56" w:rsidP="00544C56">
      <w:pPr>
        <w:spacing w:afterLines="50" w:after="120"/>
        <w:jc w:val="both"/>
        <w:rPr>
          <w:rFonts w:eastAsiaTheme="minorEastAsia"/>
          <w:sz w:val="22"/>
          <w:lang w:val="en-US"/>
        </w:rPr>
      </w:pPr>
    </w:p>
    <w:p w14:paraId="49CBB022" w14:textId="77777777" w:rsidR="00544C56" w:rsidRPr="001D623A" w:rsidRDefault="00544C56" w:rsidP="00544C56">
      <w:pPr>
        <w:spacing w:afterLines="50" w:after="120"/>
        <w:jc w:val="both"/>
        <w:rPr>
          <w:rFonts w:eastAsiaTheme="minorEastAsia"/>
          <w:sz w:val="22"/>
          <w:lang w:val="en-US"/>
        </w:rPr>
      </w:pPr>
      <w:r>
        <w:rPr>
          <w:rFonts w:eastAsiaTheme="minorEastAsia"/>
          <w:sz w:val="22"/>
          <w:lang w:val="en-US"/>
        </w:rPr>
        <w:t>So far, RAN1 agreed that NR supports different minimum HARQ processing time across UEs. Besides, UEs may have narrower access bandwidth than the system bandwidth of the NR carrier. Considering that the variety of UEs can be accommodated for NR, it is not reasonable to define fixed and single value of the maximum number of BD candidates for all types of UEs. Similarly to the minimum HARQ processing time, we propose following.</w:t>
      </w:r>
    </w:p>
    <w:p w14:paraId="2630F29A" w14:textId="55290DA3" w:rsidR="00544C56" w:rsidRPr="00F81FF3" w:rsidRDefault="00544C56" w:rsidP="00544C56">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3</w:t>
      </w:r>
      <w:r w:rsidRPr="00F81FF3">
        <w:rPr>
          <w:rFonts w:eastAsiaTheme="minorEastAsia" w:hint="eastAsia"/>
          <w:b/>
          <w:sz w:val="22"/>
          <w:u w:val="single"/>
          <w:lang w:val="en-US"/>
        </w:rPr>
        <w:t>:</w:t>
      </w:r>
    </w:p>
    <w:p w14:paraId="3ED7C727" w14:textId="77777777" w:rsidR="00544C56" w:rsidRDefault="00544C56" w:rsidP="00544C56">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UE is required to indicate its capability of maximum number of blind decodes to gNB.</w:t>
      </w:r>
    </w:p>
    <w:p w14:paraId="76FFE866" w14:textId="77777777" w:rsidR="00544C56" w:rsidRDefault="00544C56" w:rsidP="00544C56">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the number is per subframe, per slot, per mini-slot, and/or per symbol.</w:t>
      </w:r>
    </w:p>
    <w:p w14:paraId="52838AF6" w14:textId="77777777" w:rsidR="00544C56" w:rsidRDefault="00544C56" w:rsidP="00544C56">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whether the number is per CC or per CC-group or per UE.</w:t>
      </w:r>
    </w:p>
    <w:p w14:paraId="1B76ED97" w14:textId="77777777" w:rsidR="00544C56" w:rsidRPr="0041070D" w:rsidRDefault="00544C56" w:rsidP="00544C56">
      <w:pPr>
        <w:pStyle w:val="afc"/>
        <w:numPr>
          <w:ilvl w:val="0"/>
          <w:numId w:val="17"/>
        </w:numPr>
        <w:spacing w:afterLines="50" w:after="120"/>
        <w:ind w:leftChars="0"/>
        <w:jc w:val="both"/>
        <w:rPr>
          <w:rFonts w:eastAsiaTheme="minorEastAsia"/>
          <w:sz w:val="22"/>
          <w:lang w:val="en-US"/>
        </w:rPr>
      </w:pPr>
      <w:r w:rsidRPr="0041070D">
        <w:rPr>
          <w:rFonts w:eastAsiaTheme="minorEastAsia"/>
          <w:i/>
          <w:sz w:val="22"/>
          <w:lang w:val="en-US"/>
        </w:rPr>
        <w:t>UE is configured to monitor PDCCH so that the total number of blind decodes does not exceed its capability.</w:t>
      </w:r>
    </w:p>
    <w:p w14:paraId="3C8574C0" w14:textId="2CEC8DCF" w:rsidR="00544C56" w:rsidRDefault="00544C56" w:rsidP="00544C56">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 xml:space="preserve">The </w:t>
      </w:r>
      <w:r>
        <w:rPr>
          <w:rFonts w:eastAsiaTheme="minorEastAsia"/>
          <w:i/>
          <w:sz w:val="22"/>
          <w:lang w:val="en-US"/>
        </w:rPr>
        <w:t xml:space="preserve">total number of blind decodes </w:t>
      </w:r>
      <w:r>
        <w:rPr>
          <w:rFonts w:eastAsiaTheme="minorEastAsia" w:hint="eastAsia"/>
          <w:i/>
          <w:sz w:val="22"/>
          <w:lang w:val="en-US"/>
        </w:rPr>
        <w:t xml:space="preserve">per control resource set </w:t>
      </w:r>
      <w:r w:rsidR="000C437F">
        <w:rPr>
          <w:rFonts w:eastAsiaTheme="minorEastAsia"/>
          <w:i/>
          <w:sz w:val="22"/>
          <w:lang w:val="en-US"/>
        </w:rPr>
        <w:t xml:space="preserve">or per search space </w:t>
      </w:r>
      <w:r>
        <w:rPr>
          <w:rFonts w:eastAsiaTheme="minorEastAsia" w:hint="eastAsia"/>
          <w:i/>
          <w:sz w:val="22"/>
          <w:lang w:val="en-US"/>
        </w:rPr>
        <w:t>is configured by higher layer.</w:t>
      </w:r>
    </w:p>
    <w:p w14:paraId="66DCBABF" w14:textId="77777777" w:rsidR="00544C56" w:rsidRDefault="00544C56" w:rsidP="00544C56">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the number is per subframe, per slot, per mini-slot, and/or per symbol.</w:t>
      </w:r>
    </w:p>
    <w:p w14:paraId="3CF518CA" w14:textId="77777777" w:rsidR="00544C56" w:rsidRDefault="00544C56" w:rsidP="00544C56">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whether the number of per CC or per CC-group or per UE.</w:t>
      </w:r>
    </w:p>
    <w:p w14:paraId="069C3652" w14:textId="7C4CF126" w:rsidR="00544C56" w:rsidRPr="00544C56" w:rsidRDefault="00544C56" w:rsidP="00CD5A2B">
      <w:pPr>
        <w:spacing w:afterLines="50" w:after="120"/>
        <w:jc w:val="both"/>
        <w:rPr>
          <w:rFonts w:eastAsia="ＭＳ 明朝"/>
          <w:sz w:val="22"/>
          <w:lang w:val="en-US"/>
        </w:rPr>
      </w:pPr>
    </w:p>
    <w:p w14:paraId="2ECC3EEF" w14:textId="77777777" w:rsidR="00544C56" w:rsidRPr="00352B55" w:rsidRDefault="00544C56"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66349660"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C447B9">
        <w:rPr>
          <w:rFonts w:eastAsia="ＭＳ 明朝"/>
          <w:sz w:val="22"/>
          <w:lang w:val="en-US"/>
        </w:rPr>
        <w:t xml:space="preserve">NR-PDCCH for URLLC </w:t>
      </w:r>
      <w:r w:rsidR="00544C56">
        <w:rPr>
          <w:rFonts w:eastAsia="ＭＳ 明朝"/>
          <w:sz w:val="22"/>
          <w:lang w:val="en-US"/>
        </w:rPr>
        <w:t>low latency is discussed</w:t>
      </w:r>
      <w:r w:rsidR="00C447B9">
        <w:rPr>
          <w:rFonts w:eastAsia="ＭＳ 明朝"/>
          <w:sz w:val="22"/>
          <w:lang w:val="en-US"/>
        </w:rPr>
        <w:t xml:space="preserve"> and following proposal</w:t>
      </w:r>
      <w:r w:rsidR="00544C56">
        <w:rPr>
          <w:rFonts w:eastAsia="ＭＳ 明朝"/>
          <w:sz w:val="22"/>
          <w:lang w:val="en-US"/>
        </w:rPr>
        <w:t>s are</w:t>
      </w:r>
      <w:r w:rsidR="00C447B9">
        <w:rPr>
          <w:rFonts w:eastAsia="ＭＳ 明朝"/>
          <w:sz w:val="22"/>
          <w:lang w:val="en-US"/>
        </w:rPr>
        <w:t xml:space="preserve"> made</w:t>
      </w:r>
      <w:r w:rsidR="00D81A0D">
        <w:rPr>
          <w:rFonts w:eastAsia="ＭＳ 明朝" w:hint="eastAsia"/>
          <w:sz w:val="22"/>
          <w:lang w:val="en-US"/>
        </w:rPr>
        <w:t>:</w:t>
      </w:r>
    </w:p>
    <w:p w14:paraId="35906A43" w14:textId="77777777" w:rsidR="00544C56" w:rsidRPr="00F81FF3" w:rsidRDefault="00544C56" w:rsidP="00544C56">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1</w:t>
      </w:r>
      <w:r w:rsidRPr="00F81FF3">
        <w:rPr>
          <w:rFonts w:eastAsiaTheme="minorEastAsia" w:hint="eastAsia"/>
          <w:b/>
          <w:sz w:val="22"/>
          <w:u w:val="single"/>
          <w:lang w:val="en-US"/>
        </w:rPr>
        <w:t>:</w:t>
      </w:r>
    </w:p>
    <w:p w14:paraId="00495DF1" w14:textId="77777777" w:rsidR="00544C56" w:rsidRDefault="00544C56" w:rsidP="00544C56">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Wide range of the number of OFDM symbols should be able to be configured for a control resource set.</w:t>
      </w:r>
    </w:p>
    <w:p w14:paraId="19A5929C" w14:textId="77777777" w:rsidR="00544C56" w:rsidRDefault="00544C56" w:rsidP="00544C56">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At least from one to four.</w:t>
      </w:r>
    </w:p>
    <w:p w14:paraId="5522986E" w14:textId="77777777" w:rsidR="000C437F" w:rsidRPr="00F81FF3" w:rsidRDefault="000C437F" w:rsidP="000C437F">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2</w:t>
      </w:r>
      <w:r w:rsidRPr="00F81FF3">
        <w:rPr>
          <w:rFonts w:eastAsiaTheme="minorEastAsia" w:hint="eastAsia"/>
          <w:b/>
          <w:sz w:val="22"/>
          <w:u w:val="single"/>
          <w:lang w:val="en-US"/>
        </w:rPr>
        <w:t>:</w:t>
      </w:r>
    </w:p>
    <w:p w14:paraId="2B3E89C1" w14:textId="77777777" w:rsidR="000C437F" w:rsidRDefault="000C437F" w:rsidP="000C437F">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lastRenderedPageBreak/>
        <w:t>Support control resource sets monitoring with different periodicities including per slot and per mini-slot.</w:t>
      </w:r>
    </w:p>
    <w:p w14:paraId="19378A21" w14:textId="77777777" w:rsidR="000C437F" w:rsidRDefault="000C437F" w:rsidP="000C437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UE can be configured with multiple control resource sets having different periodicities.</w:t>
      </w:r>
    </w:p>
    <w:p w14:paraId="5EA7E3B0" w14:textId="77777777" w:rsidR="000C437F" w:rsidRPr="00F81FF3" w:rsidRDefault="000C437F" w:rsidP="000C437F">
      <w:pPr>
        <w:spacing w:afterLines="50" w:after="120"/>
        <w:jc w:val="both"/>
        <w:rPr>
          <w:rFonts w:eastAsiaTheme="minorEastAsia"/>
          <w:b/>
          <w:sz w:val="22"/>
          <w:u w:val="single"/>
          <w:lang w:val="en-US"/>
        </w:rPr>
      </w:pPr>
      <w:r>
        <w:rPr>
          <w:rFonts w:eastAsiaTheme="minorEastAsia" w:hint="eastAsia"/>
          <w:b/>
          <w:sz w:val="22"/>
          <w:u w:val="single"/>
          <w:lang w:val="en-US"/>
        </w:rPr>
        <w:t>Proposal</w:t>
      </w:r>
      <w:r>
        <w:rPr>
          <w:rFonts w:eastAsiaTheme="minorEastAsia"/>
          <w:b/>
          <w:sz w:val="22"/>
          <w:u w:val="single"/>
          <w:lang w:val="en-US"/>
        </w:rPr>
        <w:t xml:space="preserve"> 3</w:t>
      </w:r>
      <w:r w:rsidRPr="00F81FF3">
        <w:rPr>
          <w:rFonts w:eastAsiaTheme="minorEastAsia" w:hint="eastAsia"/>
          <w:b/>
          <w:sz w:val="22"/>
          <w:u w:val="single"/>
          <w:lang w:val="en-US"/>
        </w:rPr>
        <w:t>:</w:t>
      </w:r>
    </w:p>
    <w:p w14:paraId="69D6C860" w14:textId="77777777" w:rsidR="000C437F" w:rsidRDefault="000C437F" w:rsidP="000C437F">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UE is required to indicate its capability of maximum number of blind decodes to gNB.</w:t>
      </w:r>
    </w:p>
    <w:p w14:paraId="6FD20B39" w14:textId="77777777" w:rsidR="000C437F" w:rsidRDefault="000C437F" w:rsidP="000C437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the number is per subframe, per slot, per mini-slot, and/or per symbol.</w:t>
      </w:r>
    </w:p>
    <w:p w14:paraId="68058FAD" w14:textId="77777777" w:rsidR="000C437F" w:rsidRDefault="000C437F" w:rsidP="000C437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whether the number is per CC or per CC-group or per UE.</w:t>
      </w:r>
    </w:p>
    <w:p w14:paraId="3865D75C" w14:textId="77777777" w:rsidR="000C437F" w:rsidRPr="0041070D" w:rsidRDefault="000C437F" w:rsidP="000C437F">
      <w:pPr>
        <w:pStyle w:val="afc"/>
        <w:numPr>
          <w:ilvl w:val="0"/>
          <w:numId w:val="17"/>
        </w:numPr>
        <w:spacing w:afterLines="50" w:after="120"/>
        <w:ind w:leftChars="0"/>
        <w:jc w:val="both"/>
        <w:rPr>
          <w:rFonts w:eastAsiaTheme="minorEastAsia"/>
          <w:sz w:val="22"/>
          <w:lang w:val="en-US"/>
        </w:rPr>
      </w:pPr>
      <w:r w:rsidRPr="0041070D">
        <w:rPr>
          <w:rFonts w:eastAsiaTheme="minorEastAsia"/>
          <w:i/>
          <w:sz w:val="22"/>
          <w:lang w:val="en-US"/>
        </w:rPr>
        <w:t>UE is configured to monitor PDCCH so that the total number of blind decodes does not exceed its capability.</w:t>
      </w:r>
    </w:p>
    <w:p w14:paraId="3603B366" w14:textId="77777777" w:rsidR="000C437F" w:rsidRDefault="000C437F" w:rsidP="000C437F">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 xml:space="preserve">The </w:t>
      </w:r>
      <w:r>
        <w:rPr>
          <w:rFonts w:eastAsiaTheme="minorEastAsia"/>
          <w:i/>
          <w:sz w:val="22"/>
          <w:lang w:val="en-US"/>
        </w:rPr>
        <w:t xml:space="preserve">total number of blind decodes </w:t>
      </w:r>
      <w:r>
        <w:rPr>
          <w:rFonts w:eastAsiaTheme="minorEastAsia" w:hint="eastAsia"/>
          <w:i/>
          <w:sz w:val="22"/>
          <w:lang w:val="en-US"/>
        </w:rPr>
        <w:t xml:space="preserve">per control resource set </w:t>
      </w:r>
      <w:r>
        <w:rPr>
          <w:rFonts w:eastAsiaTheme="minorEastAsia"/>
          <w:i/>
          <w:sz w:val="22"/>
          <w:lang w:val="en-US"/>
        </w:rPr>
        <w:t xml:space="preserve">or per search space </w:t>
      </w:r>
      <w:r>
        <w:rPr>
          <w:rFonts w:eastAsiaTheme="minorEastAsia" w:hint="eastAsia"/>
          <w:i/>
          <w:sz w:val="22"/>
          <w:lang w:val="en-US"/>
        </w:rPr>
        <w:t>is configured by higher layer.</w:t>
      </w:r>
    </w:p>
    <w:p w14:paraId="470614C4" w14:textId="77777777" w:rsidR="000C437F" w:rsidRDefault="000C437F" w:rsidP="000C437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the number is per subframe, per slot, per mini-slot, and/or per symbol.</w:t>
      </w:r>
    </w:p>
    <w:p w14:paraId="4F576C55" w14:textId="77777777" w:rsidR="000C437F" w:rsidRDefault="000C437F" w:rsidP="000C437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FFS: whether the number of per CC or per CC-group or per UE.</w:t>
      </w:r>
    </w:p>
    <w:p w14:paraId="7BAFD509" w14:textId="77777777" w:rsidR="005D0A85" w:rsidRPr="000C437F" w:rsidRDefault="005D0A85" w:rsidP="005D0A85">
      <w:pPr>
        <w:spacing w:afterLines="50" w:after="120"/>
        <w:jc w:val="both"/>
        <w:rPr>
          <w:rFonts w:eastAsia="ＭＳ 明朝"/>
          <w:i/>
          <w:sz w:val="22"/>
          <w:lang w:val="en-US"/>
        </w:rPr>
      </w:pPr>
    </w:p>
    <w:p w14:paraId="1E87F02D" w14:textId="2CE69950" w:rsidR="006801D5" w:rsidRPr="003E15E5" w:rsidRDefault="006801D5" w:rsidP="000C437F">
      <w:pPr>
        <w:widowControl w:val="0"/>
        <w:spacing w:after="120"/>
        <w:jc w:val="both"/>
        <w:rPr>
          <w:rFonts w:hint="eastAsia"/>
          <w:sz w:val="22"/>
          <w:szCs w:val="22"/>
          <w:lang w:val="en-US"/>
        </w:rPr>
      </w:pPr>
      <w:bookmarkStart w:id="7" w:name="_GoBack"/>
      <w:bookmarkEnd w:id="7"/>
    </w:p>
    <w:sectPr w:rsidR="006801D5" w:rsidRPr="003E15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1716E" w14:textId="77777777" w:rsidR="00716861" w:rsidRDefault="00716861">
      <w:r>
        <w:separator/>
      </w:r>
    </w:p>
  </w:endnote>
  <w:endnote w:type="continuationSeparator" w:id="0">
    <w:p w14:paraId="45390A39" w14:textId="77777777" w:rsidR="00716861" w:rsidRDefault="00716861">
      <w:r>
        <w:continuationSeparator/>
      </w:r>
    </w:p>
  </w:endnote>
  <w:endnote w:type="continuationNotice" w:id="1">
    <w:p w14:paraId="0B209814" w14:textId="77777777" w:rsidR="00716861" w:rsidRDefault="00716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5428AA0"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F14B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F14B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D0155" w14:textId="77777777" w:rsidR="00716861" w:rsidRDefault="00716861">
      <w:r>
        <w:separator/>
      </w:r>
    </w:p>
  </w:footnote>
  <w:footnote w:type="continuationSeparator" w:id="0">
    <w:p w14:paraId="6E03D3CE" w14:textId="77777777" w:rsidR="00716861" w:rsidRDefault="00716861">
      <w:r>
        <w:continuationSeparator/>
      </w:r>
    </w:p>
  </w:footnote>
  <w:footnote w:type="continuationNotice" w:id="1">
    <w:p w14:paraId="1E169D00" w14:textId="77777777" w:rsidR="00716861" w:rsidRDefault="007168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24D69"/>
    <w:multiLevelType w:val="hybridMultilevel"/>
    <w:tmpl w:val="2CC4CB18"/>
    <w:lvl w:ilvl="0" w:tplc="24204F34">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57163D16"/>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510E14"/>
    <w:multiLevelType w:val="hybridMultilevel"/>
    <w:tmpl w:val="8EC24E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8"/>
  </w:num>
  <w:num w:numId="4">
    <w:abstractNumId w:val="9"/>
  </w:num>
  <w:num w:numId="5">
    <w:abstractNumId w:val="28"/>
  </w:num>
  <w:num w:numId="6">
    <w:abstractNumId w:val="21"/>
  </w:num>
  <w:num w:numId="7">
    <w:abstractNumId w:val="10"/>
  </w:num>
  <w:num w:numId="8">
    <w:abstractNumId w:val="27"/>
  </w:num>
  <w:num w:numId="9">
    <w:abstractNumId w:val="17"/>
  </w:num>
  <w:num w:numId="10">
    <w:abstractNumId w:val="11"/>
  </w:num>
  <w:num w:numId="11">
    <w:abstractNumId w:val="7"/>
  </w:num>
  <w:num w:numId="12">
    <w:abstractNumId w:val="29"/>
  </w:num>
  <w:num w:numId="13">
    <w:abstractNumId w:val="14"/>
  </w:num>
  <w:num w:numId="14">
    <w:abstractNumId w:val="4"/>
  </w:num>
  <w:num w:numId="15">
    <w:abstractNumId w:val="2"/>
  </w:num>
  <w:num w:numId="16">
    <w:abstractNumId w:val="13"/>
  </w:num>
  <w:num w:numId="17">
    <w:abstractNumId w:val="3"/>
  </w:num>
  <w:num w:numId="18">
    <w:abstractNumId w:val="6"/>
  </w:num>
  <w:num w:numId="19">
    <w:abstractNumId w:val="25"/>
  </w:num>
  <w:num w:numId="20">
    <w:abstractNumId w:val="19"/>
  </w:num>
  <w:num w:numId="21">
    <w:abstractNumId w:val="8"/>
  </w:num>
  <w:num w:numId="22">
    <w:abstractNumId w:val="22"/>
  </w:num>
  <w:num w:numId="23">
    <w:abstractNumId w:val="16"/>
  </w:num>
  <w:num w:numId="24">
    <w:abstractNumId w:val="26"/>
  </w:num>
  <w:num w:numId="25">
    <w:abstractNumId w:val="12"/>
  </w:num>
  <w:num w:numId="26">
    <w:abstractNumId w:val="20"/>
  </w:num>
  <w:num w:numId="27">
    <w:abstractNumId w:val="1"/>
  </w:num>
  <w:num w:numId="28">
    <w:abstractNumId w:val="24"/>
  </w:num>
  <w:num w:numId="29">
    <w:abstractNumId w:val="15"/>
  </w:num>
  <w:num w:numId="3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0"/>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7F"/>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717"/>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474"/>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4E9"/>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4EB7"/>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4B3"/>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3FD0"/>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33A"/>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58C"/>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1A"/>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C56"/>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97F"/>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0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286"/>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4749"/>
    <w:rsid w:val="0071531E"/>
    <w:rsid w:val="00715620"/>
    <w:rsid w:val="0071581D"/>
    <w:rsid w:val="0071583F"/>
    <w:rsid w:val="00715AC1"/>
    <w:rsid w:val="0071672E"/>
    <w:rsid w:val="00716861"/>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871"/>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1FFA"/>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36D"/>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2A1"/>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32A"/>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A3A"/>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0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A36"/>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3D5D"/>
    <w:rsid w:val="009A4024"/>
    <w:rsid w:val="009A416D"/>
    <w:rsid w:val="009A4B50"/>
    <w:rsid w:val="009A5EC0"/>
    <w:rsid w:val="009A62ED"/>
    <w:rsid w:val="009A635C"/>
    <w:rsid w:val="009A6653"/>
    <w:rsid w:val="009A77DC"/>
    <w:rsid w:val="009A7D15"/>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9F7"/>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94"/>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81F"/>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ECF"/>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E5"/>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7B9"/>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A0D"/>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3BA"/>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155"/>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4C2"/>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984"/>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7FB"/>
    <w:rsid w:val="00EA4A92"/>
    <w:rsid w:val="00EA539C"/>
    <w:rsid w:val="00EA5636"/>
    <w:rsid w:val="00EA56E3"/>
    <w:rsid w:val="00EA572E"/>
    <w:rsid w:val="00EA5E38"/>
    <w:rsid w:val="00EA67A3"/>
    <w:rsid w:val="00EA6B06"/>
    <w:rsid w:val="00EA7121"/>
    <w:rsid w:val="00EA721C"/>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50"/>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3BBF7C6-30D9-4692-94CC-BDA99E62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9FAA3-88FD-400D-A53E-D9385835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5487</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2017-03-25T03:35:00Z</dcterms:created>
  <dcterms:modified xsi:type="dcterms:W3CDTF">2017-03-25T03:35:00Z</dcterms:modified>
</cp:coreProperties>
</file>