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0D23EC82"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346F99" w:rsidRPr="00134038">
        <w:rPr>
          <w:b/>
          <w:sz w:val="24"/>
          <w:szCs w:val="24"/>
        </w:rPr>
        <w:t>#88</w:t>
      </w:r>
      <w:r w:rsidR="002B6237" w:rsidRPr="00134038">
        <w:rPr>
          <w:b/>
          <w:sz w:val="24"/>
          <w:szCs w:val="24"/>
        </w:rPr>
        <w:t>-Bis</w:t>
      </w:r>
      <w:r w:rsidR="00CE5F5F" w:rsidRPr="00134038">
        <w:rPr>
          <w:b/>
          <w:sz w:val="24"/>
          <w:szCs w:val="24"/>
        </w:rPr>
        <w:t xml:space="preserve"> </w:t>
      </w:r>
      <w:r w:rsidR="00CE5F5F" w:rsidRPr="00134038">
        <w:rPr>
          <w:b/>
          <w:sz w:val="24"/>
          <w:szCs w:val="24"/>
        </w:rPr>
        <w:tab/>
      </w:r>
      <w:r w:rsidR="00346F99" w:rsidRPr="00134038">
        <w:rPr>
          <w:b/>
          <w:sz w:val="24"/>
          <w:szCs w:val="24"/>
        </w:rPr>
        <w:t>R1-</w:t>
      </w:r>
      <w:r w:rsidR="00FE31A3" w:rsidRPr="00134038">
        <w:rPr>
          <w:b/>
          <w:sz w:val="24"/>
          <w:szCs w:val="24"/>
        </w:rPr>
        <w:t>1705048</w:t>
      </w:r>
    </w:p>
    <w:p w14:paraId="6FE1FC1F" w14:textId="423C903F" w:rsidR="00585668" w:rsidRPr="00134038" w:rsidRDefault="002B6237" w:rsidP="00585668">
      <w:pPr>
        <w:tabs>
          <w:tab w:val="right" w:pos="9630"/>
        </w:tabs>
        <w:spacing w:after="0"/>
        <w:jc w:val="both"/>
        <w:rPr>
          <w:b/>
          <w:sz w:val="24"/>
          <w:szCs w:val="24"/>
        </w:rPr>
      </w:pPr>
      <w:r w:rsidRPr="00134038">
        <w:rPr>
          <w:b/>
          <w:sz w:val="24"/>
          <w:szCs w:val="24"/>
        </w:rPr>
        <w:t>April</w:t>
      </w:r>
      <w:r w:rsidR="00585668" w:rsidRPr="00134038">
        <w:rPr>
          <w:b/>
          <w:sz w:val="24"/>
          <w:szCs w:val="24"/>
        </w:rPr>
        <w:t xml:space="preserve"> </w:t>
      </w:r>
      <w:r w:rsidR="00346F99" w:rsidRPr="00134038">
        <w:rPr>
          <w:b/>
          <w:sz w:val="24"/>
          <w:szCs w:val="24"/>
        </w:rPr>
        <w:t>3</w:t>
      </w:r>
      <w:r w:rsidRPr="00134038">
        <w:rPr>
          <w:b/>
          <w:sz w:val="24"/>
          <w:szCs w:val="24"/>
          <w:vertAlign w:val="superscript"/>
        </w:rPr>
        <w:t>rd</w:t>
      </w:r>
      <w:r w:rsidR="00585668" w:rsidRPr="00134038">
        <w:rPr>
          <w:b/>
          <w:sz w:val="24"/>
          <w:szCs w:val="24"/>
        </w:rPr>
        <w:t xml:space="preserve"> – </w:t>
      </w:r>
      <w:r w:rsidR="00346F99" w:rsidRPr="00134038">
        <w:rPr>
          <w:b/>
          <w:sz w:val="24"/>
          <w:szCs w:val="24"/>
        </w:rPr>
        <w:t>7</w:t>
      </w:r>
      <w:r w:rsidR="00585668" w:rsidRPr="00134038">
        <w:rPr>
          <w:b/>
          <w:sz w:val="24"/>
          <w:szCs w:val="24"/>
          <w:vertAlign w:val="superscript"/>
        </w:rPr>
        <w:t>th</w:t>
      </w:r>
      <w:r w:rsidR="00585668" w:rsidRPr="00134038">
        <w:rPr>
          <w:b/>
          <w:sz w:val="24"/>
          <w:szCs w:val="24"/>
        </w:rPr>
        <w:t>, 2017</w:t>
      </w:r>
    </w:p>
    <w:p w14:paraId="2E426516" w14:textId="695FA023" w:rsidR="000C63E6" w:rsidRPr="00134038" w:rsidRDefault="002B6237" w:rsidP="000C63E6">
      <w:pPr>
        <w:tabs>
          <w:tab w:val="right" w:pos="10000"/>
        </w:tabs>
        <w:spacing w:after="0"/>
        <w:rPr>
          <w:b/>
          <w:sz w:val="24"/>
          <w:szCs w:val="24"/>
        </w:rPr>
      </w:pPr>
      <w:r w:rsidRPr="00134038">
        <w:rPr>
          <w:b/>
          <w:sz w:val="24"/>
          <w:szCs w:val="24"/>
        </w:rPr>
        <w:t>Spokane, USA</w:t>
      </w:r>
    </w:p>
    <w:p w14:paraId="2F2D8718" w14:textId="77777777" w:rsidR="00CE5F5F" w:rsidRPr="00134038" w:rsidRDefault="00CE5F5F" w:rsidP="00CE5F5F">
      <w:pPr>
        <w:pStyle w:val="Footer"/>
        <w:jc w:val="both"/>
        <w:rPr>
          <w:rFonts w:ascii="Times New Roman" w:hAnsi="Times New Roman"/>
          <w:noProof w:val="0"/>
        </w:rPr>
      </w:pPr>
    </w:p>
    <w:p w14:paraId="00A480DC" w14:textId="28368064"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346F99" w:rsidRPr="00134038">
        <w:rPr>
          <w:sz w:val="24"/>
        </w:rPr>
        <w:t>8</w:t>
      </w:r>
      <w:r w:rsidRPr="00134038">
        <w:rPr>
          <w:sz w:val="24"/>
        </w:rPr>
        <w:t>.1.</w:t>
      </w:r>
      <w:r w:rsidR="00FE31A3" w:rsidRPr="00134038">
        <w:rPr>
          <w:sz w:val="24"/>
        </w:rPr>
        <w:t>3.3.3</w:t>
      </w:r>
    </w:p>
    <w:p w14:paraId="41F022EE" w14:textId="4DE8417D"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21B3481E"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F34514" w:rsidRPr="00134038">
        <w:rPr>
          <w:sz w:val="24"/>
        </w:rPr>
        <w:t>Number of HARQ processes</w:t>
      </w:r>
      <w:r w:rsidR="002B6237" w:rsidRPr="00134038">
        <w:rPr>
          <w:sz w:val="24"/>
        </w:rPr>
        <w:t xml:space="preserve"> and UE category</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Pr="00134038"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1F74E0D3" w14:textId="251DA4A5" w:rsidR="00847F0E" w:rsidRPr="00134038" w:rsidRDefault="00CC6D47" w:rsidP="00A37D0C">
      <w:pPr>
        <w:jc w:val="both"/>
        <w:rPr>
          <w:sz w:val="22"/>
        </w:rPr>
      </w:pPr>
      <w:r w:rsidRPr="00134038">
        <w:rPr>
          <w:sz w:val="22"/>
        </w:rPr>
        <w:t xml:space="preserve">The number of HARQ processes supported </w:t>
      </w:r>
      <w:r w:rsidR="00C01914" w:rsidRPr="00134038">
        <w:rPr>
          <w:sz w:val="22"/>
        </w:rPr>
        <w:t xml:space="preserve">in NR is </w:t>
      </w:r>
      <w:r w:rsidRPr="00134038">
        <w:rPr>
          <w:sz w:val="22"/>
        </w:rPr>
        <w:t xml:space="preserve">different from LTE, where UE and </w:t>
      </w:r>
      <w:proofErr w:type="spellStart"/>
      <w:r w:rsidRPr="00134038">
        <w:rPr>
          <w:sz w:val="22"/>
        </w:rPr>
        <w:t>eNB</w:t>
      </w:r>
      <w:proofErr w:type="spellEnd"/>
      <w:r w:rsidRPr="00134038">
        <w:rPr>
          <w:sz w:val="22"/>
        </w:rPr>
        <w:t xml:space="preserve"> budget the processing delay and soft buffer size assuming a fixed 8 parallel HARQ processes (at least for FDD).</w:t>
      </w:r>
    </w:p>
    <w:p w14:paraId="5D96B139" w14:textId="7A93798E" w:rsidR="00F34514" w:rsidRPr="00134038" w:rsidRDefault="00F34514" w:rsidP="00A37D0C">
      <w:pPr>
        <w:jc w:val="both"/>
        <w:rPr>
          <w:sz w:val="22"/>
        </w:rPr>
      </w:pPr>
      <w:r w:rsidRPr="00134038">
        <w:rPr>
          <w:sz w:val="22"/>
        </w:rPr>
        <w:t xml:space="preserve">In </w:t>
      </w:r>
      <w:r w:rsidR="00CC6D47" w:rsidRPr="00134038">
        <w:rPr>
          <w:sz w:val="22"/>
        </w:rPr>
        <w:t>NR, it was already agreed</w:t>
      </w:r>
      <w:r w:rsidR="00C07D56" w:rsidRPr="00134038">
        <w:rPr>
          <w:sz w:val="22"/>
        </w:rPr>
        <w:t xml:space="preserve"> that NR will support different n</w:t>
      </w:r>
      <w:bookmarkStart w:id="0" w:name="_GoBack"/>
      <w:bookmarkEnd w:id="0"/>
      <w:r w:rsidR="00C07D56" w:rsidRPr="00134038">
        <w:rPr>
          <w:sz w:val="22"/>
        </w:rPr>
        <w:t>umber of HA</w:t>
      </w:r>
      <w:r w:rsidR="00D56431" w:rsidRPr="00134038">
        <w:rPr>
          <w:sz w:val="22"/>
        </w:rPr>
        <w:t>RQ processers on a per UE basis, as in the following agreement</w:t>
      </w:r>
      <w:r w:rsidR="00C07D56" w:rsidRPr="00134038">
        <w:rPr>
          <w:sz w:val="22"/>
        </w:rPr>
        <w:t xml:space="preserve"> </w:t>
      </w:r>
      <w:r w:rsidR="00D56431" w:rsidRPr="00134038">
        <w:rPr>
          <w:sz w:val="22"/>
        </w:rPr>
        <w:fldChar w:fldCharType="begin"/>
      </w:r>
      <w:r w:rsidR="00D56431" w:rsidRPr="00134038">
        <w:rPr>
          <w:sz w:val="22"/>
        </w:rPr>
        <w:instrText xml:space="preserve"> REF _Ref477210907 \n \h </w:instrText>
      </w:r>
      <w:r w:rsidR="00D56431" w:rsidRPr="00134038">
        <w:rPr>
          <w:sz w:val="22"/>
        </w:rPr>
      </w:r>
      <w:r w:rsidR="00134038">
        <w:rPr>
          <w:sz w:val="22"/>
        </w:rPr>
        <w:instrText xml:space="preserve"> \* MERGEFORMAT </w:instrText>
      </w:r>
      <w:r w:rsidR="00D56431" w:rsidRPr="00134038">
        <w:rPr>
          <w:sz w:val="22"/>
        </w:rPr>
        <w:fldChar w:fldCharType="separate"/>
      </w:r>
      <w:r w:rsidR="00D56431" w:rsidRPr="00134038">
        <w:rPr>
          <w:sz w:val="22"/>
        </w:rPr>
        <w:t>[1]</w:t>
      </w:r>
      <w:r w:rsidR="00D56431" w:rsidRPr="00134038">
        <w:rPr>
          <w:sz w:val="22"/>
        </w:rPr>
        <w:fldChar w:fldCharType="end"/>
      </w:r>
      <w:r w:rsidR="00D56431" w:rsidRPr="00134038">
        <w:rPr>
          <w:sz w:val="22"/>
        </w:rPr>
        <w:t>.</w:t>
      </w:r>
    </w:p>
    <w:p w14:paraId="135F00E8" w14:textId="3EB27429" w:rsidR="00D56431" w:rsidRPr="00134038" w:rsidRDefault="00D56431" w:rsidP="00A37D0C">
      <w:pPr>
        <w:jc w:val="both"/>
        <w:rPr>
          <w:sz w:val="22"/>
          <w:u w:val="single"/>
        </w:rPr>
      </w:pPr>
      <w:r w:rsidRPr="00134038">
        <w:rPr>
          <w:sz w:val="22"/>
          <w:u w:val="single"/>
        </w:rPr>
        <w:t>Agreements:</w:t>
      </w:r>
    </w:p>
    <w:p w14:paraId="29180908" w14:textId="77777777" w:rsidR="00BB3B9F" w:rsidRPr="00134038" w:rsidRDefault="00BB3B9F" w:rsidP="00BB3B9F">
      <w:pPr>
        <w:numPr>
          <w:ilvl w:val="0"/>
          <w:numId w:val="42"/>
        </w:numPr>
        <w:overflowPunct/>
        <w:autoSpaceDE/>
        <w:autoSpaceDN/>
        <w:adjustRightInd/>
        <w:spacing w:after="0"/>
        <w:textAlignment w:val="auto"/>
        <w:rPr>
          <w:rFonts w:eastAsia="ＭＳ 明朝"/>
          <w:lang w:eastAsia="ja-JP"/>
        </w:rPr>
      </w:pPr>
      <w:r w:rsidRPr="00134038">
        <w:rPr>
          <w:rFonts w:eastAsia="ＭＳ 明朝"/>
          <w:lang w:eastAsia="ja-JP"/>
        </w:rPr>
        <w:t>NR UE supports a set of minimum HARQ processing time</w:t>
      </w:r>
    </w:p>
    <w:p w14:paraId="1A1F3C8B"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FFS: set size</w:t>
      </w:r>
    </w:p>
    <w:p w14:paraId="3B6262A9" w14:textId="77777777" w:rsidR="00BB3B9F" w:rsidRPr="00134038" w:rsidRDefault="00BB3B9F" w:rsidP="00BB3B9F">
      <w:pPr>
        <w:numPr>
          <w:ilvl w:val="0"/>
          <w:numId w:val="42"/>
        </w:numPr>
        <w:overflowPunct/>
        <w:autoSpaceDE/>
        <w:autoSpaceDN/>
        <w:adjustRightInd/>
        <w:spacing w:after="0"/>
        <w:textAlignment w:val="auto"/>
        <w:rPr>
          <w:rFonts w:eastAsia="ＭＳ 明朝"/>
          <w:lang w:eastAsia="ja-JP"/>
        </w:rPr>
      </w:pPr>
      <w:r w:rsidRPr="00134038">
        <w:rPr>
          <w:rFonts w:eastAsia="ＭＳ 明朝"/>
          <w:lang w:eastAsia="ja-JP"/>
        </w:rPr>
        <w:t>NR supports different minimum HARQ processing time at least for across UEs</w:t>
      </w:r>
    </w:p>
    <w:p w14:paraId="486FAFC8"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The HARQ processing time at least includes:</w:t>
      </w:r>
    </w:p>
    <w:p w14:paraId="7FB762F2" w14:textId="77777777" w:rsidR="00BB3B9F" w:rsidRPr="00134038" w:rsidRDefault="00BB3B9F" w:rsidP="00BB3B9F">
      <w:pPr>
        <w:numPr>
          <w:ilvl w:val="2"/>
          <w:numId w:val="42"/>
        </w:numPr>
        <w:overflowPunct/>
        <w:autoSpaceDE/>
        <w:autoSpaceDN/>
        <w:adjustRightInd/>
        <w:spacing w:after="0"/>
        <w:textAlignment w:val="auto"/>
        <w:rPr>
          <w:rFonts w:eastAsia="ＭＳ 明朝"/>
          <w:lang w:eastAsia="ja-JP"/>
        </w:rPr>
      </w:pPr>
      <w:r w:rsidRPr="00134038">
        <w:rPr>
          <w:rFonts w:eastAsia="ＭＳ 明朝"/>
          <w:lang w:eastAsia="ja-JP"/>
        </w:rPr>
        <w:t>Delay between DL data reception timing to the corresponding HARQ-ACK transmission timing</w:t>
      </w:r>
    </w:p>
    <w:p w14:paraId="395BCF35" w14:textId="77777777" w:rsidR="00BB3B9F" w:rsidRPr="00134038" w:rsidRDefault="00BB3B9F" w:rsidP="00BB3B9F">
      <w:pPr>
        <w:numPr>
          <w:ilvl w:val="2"/>
          <w:numId w:val="42"/>
        </w:numPr>
        <w:overflowPunct/>
        <w:autoSpaceDE/>
        <w:autoSpaceDN/>
        <w:adjustRightInd/>
        <w:spacing w:after="0"/>
        <w:textAlignment w:val="auto"/>
        <w:rPr>
          <w:rFonts w:eastAsia="ＭＳ 明朝"/>
          <w:lang w:eastAsia="ja-JP"/>
        </w:rPr>
      </w:pPr>
      <w:r w:rsidRPr="00134038">
        <w:rPr>
          <w:rFonts w:eastAsia="ＭＳ 明朝"/>
          <w:lang w:eastAsia="ja-JP"/>
        </w:rPr>
        <w:t xml:space="preserve">Delay between UL grant reception timing to the corresponding </w:t>
      </w:r>
      <w:r w:rsidRPr="00134038">
        <w:rPr>
          <w:rFonts w:eastAsia="ＭＳ 明朝"/>
          <w:lang w:eastAsia="ja-JP"/>
        </w:rPr>
        <w:br/>
        <w:t>UL data transmission timing</w:t>
      </w:r>
    </w:p>
    <w:p w14:paraId="1228F04F"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 xml:space="preserve">NR UE is required to indicate its capability of minimum HARQ processing time to </w:t>
      </w:r>
      <w:proofErr w:type="spellStart"/>
      <w:r w:rsidRPr="00134038">
        <w:rPr>
          <w:rFonts w:eastAsia="ＭＳ 明朝"/>
          <w:lang w:eastAsia="ja-JP"/>
        </w:rPr>
        <w:t>gNB</w:t>
      </w:r>
      <w:proofErr w:type="spellEnd"/>
    </w:p>
    <w:p w14:paraId="4797C830" w14:textId="77777777" w:rsidR="00BB3B9F" w:rsidRPr="00134038" w:rsidRDefault="00BB3B9F" w:rsidP="00BB3B9F">
      <w:pPr>
        <w:numPr>
          <w:ilvl w:val="2"/>
          <w:numId w:val="42"/>
        </w:numPr>
        <w:overflowPunct/>
        <w:autoSpaceDE/>
        <w:autoSpaceDN/>
        <w:adjustRightInd/>
        <w:spacing w:after="0"/>
        <w:textAlignment w:val="auto"/>
        <w:rPr>
          <w:rFonts w:eastAsia="ＭＳ 明朝"/>
          <w:lang w:eastAsia="ja-JP"/>
        </w:rPr>
      </w:pPr>
      <w:r w:rsidRPr="00134038">
        <w:rPr>
          <w:rFonts w:eastAsia="ＭＳ 明朝"/>
          <w:lang w:eastAsia="ja-JP"/>
        </w:rPr>
        <w:t>FFS how the capability is indicated by UE</w:t>
      </w:r>
    </w:p>
    <w:p w14:paraId="24E7A9D6" w14:textId="77777777" w:rsidR="00BB3B9F" w:rsidRPr="00134038" w:rsidRDefault="00BB3B9F" w:rsidP="00BB3B9F">
      <w:pPr>
        <w:numPr>
          <w:ilvl w:val="3"/>
          <w:numId w:val="42"/>
        </w:numPr>
        <w:overflowPunct/>
        <w:autoSpaceDE/>
        <w:autoSpaceDN/>
        <w:adjustRightInd/>
        <w:spacing w:after="0"/>
        <w:textAlignment w:val="auto"/>
        <w:rPr>
          <w:rFonts w:eastAsia="ＭＳ 明朝"/>
          <w:lang w:eastAsia="ja-JP"/>
        </w:rPr>
      </w:pPr>
      <w:r w:rsidRPr="00134038">
        <w:rPr>
          <w:rFonts w:eastAsia="ＭＳ 明朝"/>
          <w:lang w:eastAsia="ja-JP"/>
        </w:rPr>
        <w:t>e.g. reported processing time granularity</w:t>
      </w:r>
    </w:p>
    <w:p w14:paraId="666B4CC2" w14:textId="77777777" w:rsidR="00BB3B9F" w:rsidRPr="00134038" w:rsidRDefault="00BB3B9F" w:rsidP="00BB3B9F">
      <w:pPr>
        <w:numPr>
          <w:ilvl w:val="3"/>
          <w:numId w:val="42"/>
        </w:numPr>
        <w:overflowPunct/>
        <w:autoSpaceDE/>
        <w:autoSpaceDN/>
        <w:adjustRightInd/>
        <w:spacing w:after="0"/>
        <w:textAlignment w:val="auto"/>
        <w:rPr>
          <w:rFonts w:eastAsia="ＭＳ 明朝"/>
          <w:lang w:eastAsia="ja-JP"/>
        </w:rPr>
      </w:pPr>
      <w:r w:rsidRPr="00134038">
        <w:rPr>
          <w:rFonts w:eastAsia="ＭＳ 明朝"/>
          <w:lang w:eastAsia="ja-JP"/>
        </w:rPr>
        <w:t>e.g. dependency of DMRS pattern configuration</w:t>
      </w:r>
    </w:p>
    <w:p w14:paraId="3D6C9C66"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FFS definition of minimum HARQ processing time</w:t>
      </w:r>
    </w:p>
    <w:p w14:paraId="5E1D0BC4" w14:textId="77777777" w:rsidR="00D82B64" w:rsidRPr="00134038" w:rsidRDefault="00D82B64" w:rsidP="00283137">
      <w:pPr>
        <w:rPr>
          <w:sz w:val="22"/>
        </w:rPr>
      </w:pPr>
    </w:p>
    <w:p w14:paraId="52DBB778" w14:textId="51A37F05" w:rsidR="00C07D56" w:rsidRPr="00134038" w:rsidRDefault="00D82B64" w:rsidP="00A37D0C">
      <w:pPr>
        <w:jc w:val="both"/>
        <w:rPr>
          <w:sz w:val="22"/>
        </w:rPr>
      </w:pPr>
      <w:r w:rsidRPr="00134038">
        <w:rPr>
          <w:sz w:val="22"/>
        </w:rPr>
        <w:t xml:space="preserve">Further, it was </w:t>
      </w:r>
      <w:r w:rsidR="00F67533" w:rsidRPr="00134038">
        <w:rPr>
          <w:sz w:val="22"/>
        </w:rPr>
        <w:t>also a</w:t>
      </w:r>
      <w:r w:rsidRPr="00134038">
        <w:rPr>
          <w:sz w:val="22"/>
        </w:rPr>
        <w:t xml:space="preserve">greed that some UEs will be able to support </w:t>
      </w:r>
      <w:r w:rsidR="00F67533" w:rsidRPr="00134038">
        <w:rPr>
          <w:sz w:val="22"/>
        </w:rPr>
        <w:t>one HARQ operation (e.g. with self-contained slot):</w:t>
      </w:r>
    </w:p>
    <w:p w14:paraId="0E00A26B" w14:textId="06AB2A5C" w:rsidR="00C07D56" w:rsidRPr="00134038" w:rsidRDefault="00C07D56" w:rsidP="00283137">
      <w:pPr>
        <w:rPr>
          <w:sz w:val="22"/>
        </w:rPr>
      </w:pPr>
      <w:r w:rsidRPr="00134038">
        <w:rPr>
          <w:sz w:val="22"/>
          <w:u w:val="single"/>
        </w:rPr>
        <w:t>Agreements</w:t>
      </w:r>
      <w:r w:rsidRPr="00134038">
        <w:rPr>
          <w:sz w:val="22"/>
        </w:rPr>
        <w:t xml:space="preserve">: </w:t>
      </w:r>
      <w:r w:rsidR="00BC05BE" w:rsidRPr="00134038">
        <w:rPr>
          <w:sz w:val="22"/>
        </w:rPr>
        <w:fldChar w:fldCharType="begin"/>
      </w:r>
      <w:r w:rsidR="00BC05BE" w:rsidRPr="00134038">
        <w:rPr>
          <w:sz w:val="22"/>
        </w:rPr>
        <w:instrText xml:space="preserve"> REF _Ref478051053 \r \h </w:instrText>
      </w:r>
      <w:r w:rsidR="00BC05BE" w:rsidRPr="00134038">
        <w:rPr>
          <w:sz w:val="22"/>
        </w:rPr>
      </w:r>
      <w:r w:rsidR="00134038">
        <w:rPr>
          <w:sz w:val="22"/>
        </w:rPr>
        <w:instrText xml:space="preserve"> \* MERGEFORMAT </w:instrText>
      </w:r>
      <w:r w:rsidR="00BC05BE" w:rsidRPr="00134038">
        <w:rPr>
          <w:sz w:val="22"/>
        </w:rPr>
        <w:fldChar w:fldCharType="separate"/>
      </w:r>
      <w:r w:rsidR="00BC05BE" w:rsidRPr="00134038">
        <w:rPr>
          <w:sz w:val="22"/>
        </w:rPr>
        <w:t>[2]</w:t>
      </w:r>
      <w:r w:rsidR="00BC05BE" w:rsidRPr="00134038">
        <w:rPr>
          <w:sz w:val="22"/>
        </w:rPr>
        <w:fldChar w:fldCharType="end"/>
      </w:r>
    </w:p>
    <w:p w14:paraId="5DAAB470" w14:textId="009FAEA4" w:rsidR="0040609D" w:rsidRPr="00134038" w:rsidRDefault="0040609D" w:rsidP="0040609D">
      <w:pPr>
        <w:numPr>
          <w:ilvl w:val="0"/>
          <w:numId w:val="37"/>
        </w:numPr>
        <w:overflowPunct/>
        <w:autoSpaceDE/>
        <w:autoSpaceDN/>
        <w:adjustRightInd/>
        <w:spacing w:after="0"/>
        <w:textAlignment w:val="auto"/>
      </w:pPr>
      <w:r w:rsidRPr="00134038">
        <w:t>NR supports operation of one DL HARQ process for some UEs</w:t>
      </w:r>
    </w:p>
    <w:p w14:paraId="78D91390" w14:textId="77777777" w:rsidR="0040609D" w:rsidRPr="00134038" w:rsidRDefault="0040609D" w:rsidP="0040609D">
      <w:pPr>
        <w:numPr>
          <w:ilvl w:val="0"/>
          <w:numId w:val="37"/>
        </w:numPr>
        <w:overflowPunct/>
        <w:autoSpaceDE/>
        <w:autoSpaceDN/>
        <w:adjustRightInd/>
        <w:spacing w:after="0"/>
        <w:textAlignment w:val="auto"/>
      </w:pPr>
      <w:r w:rsidRPr="00134038">
        <w:t>NR supports operation of one UL HARQ process for some UEs</w:t>
      </w:r>
    </w:p>
    <w:p w14:paraId="3AD06436" w14:textId="7D38327B" w:rsidR="0040609D" w:rsidRPr="00134038" w:rsidRDefault="0040609D" w:rsidP="0040609D">
      <w:pPr>
        <w:numPr>
          <w:ilvl w:val="0"/>
          <w:numId w:val="37"/>
        </w:numPr>
        <w:overflowPunct/>
        <w:autoSpaceDE/>
        <w:autoSpaceDN/>
        <w:adjustRightInd/>
        <w:spacing w:after="0"/>
        <w:textAlignment w:val="auto"/>
      </w:pPr>
      <w:r w:rsidRPr="00134038">
        <w:t>FFS: Conditions on supporting above 2 bullets</w:t>
      </w:r>
    </w:p>
    <w:p w14:paraId="67A150D8" w14:textId="008932C5" w:rsidR="0040609D" w:rsidRPr="00134038" w:rsidRDefault="0040609D" w:rsidP="0040609D">
      <w:pPr>
        <w:numPr>
          <w:ilvl w:val="0"/>
          <w:numId w:val="37"/>
        </w:numPr>
        <w:overflowPunct/>
        <w:autoSpaceDE/>
        <w:autoSpaceDN/>
        <w:adjustRightInd/>
        <w:spacing w:after="0"/>
        <w:textAlignment w:val="auto"/>
      </w:pPr>
      <w:r w:rsidRPr="00134038">
        <w:t xml:space="preserve">Note: This does not mean the </w:t>
      </w:r>
      <w:proofErr w:type="spellStart"/>
      <w:r w:rsidRPr="00134038">
        <w:t>gNB</w:t>
      </w:r>
      <w:proofErr w:type="spellEnd"/>
      <w:r w:rsidRPr="00134038">
        <w:t xml:space="preserve"> has to schedule back-to-back</w:t>
      </w:r>
    </w:p>
    <w:p w14:paraId="32A75785" w14:textId="104F3F11" w:rsidR="0040609D" w:rsidRPr="00134038" w:rsidRDefault="0040609D" w:rsidP="0040609D">
      <w:pPr>
        <w:numPr>
          <w:ilvl w:val="0"/>
          <w:numId w:val="37"/>
        </w:numPr>
        <w:overflowPunct/>
        <w:autoSpaceDE/>
        <w:autoSpaceDN/>
        <w:adjustRightInd/>
        <w:spacing w:after="0"/>
        <w:textAlignment w:val="auto"/>
      </w:pPr>
      <w:r w:rsidRPr="00134038">
        <w:t>Note: This does not mean the UE has to support K1=0 and/or K2 = 0</w:t>
      </w:r>
    </w:p>
    <w:p w14:paraId="270782A7" w14:textId="77777777" w:rsidR="005F5AE1" w:rsidRPr="00134038" w:rsidRDefault="005F5AE1" w:rsidP="00017928">
      <w:pPr>
        <w:rPr>
          <w:sz w:val="22"/>
        </w:rPr>
      </w:pPr>
    </w:p>
    <w:p w14:paraId="1AEE57E4" w14:textId="77777777" w:rsidR="00A45A9A" w:rsidRPr="00134038" w:rsidRDefault="005E24B0" w:rsidP="00A37D0C">
      <w:pPr>
        <w:jc w:val="both"/>
        <w:rPr>
          <w:sz w:val="22"/>
        </w:rPr>
      </w:pPr>
      <w:r w:rsidRPr="00134038">
        <w:rPr>
          <w:sz w:val="22"/>
        </w:rPr>
        <w:t>Therefore, it is very important for UE to correctly indicate its capabilities to the network, and this also requires appropriate definition of UE category.</w:t>
      </w:r>
      <w:r w:rsidR="002D1224" w:rsidRPr="00134038">
        <w:rPr>
          <w:sz w:val="22"/>
        </w:rPr>
        <w:t xml:space="preserve"> </w:t>
      </w:r>
    </w:p>
    <w:p w14:paraId="3B4D2EFC" w14:textId="0BE6D968" w:rsidR="001D0EEE" w:rsidRPr="00134038" w:rsidRDefault="005E24B0" w:rsidP="00A37D0C">
      <w:pPr>
        <w:jc w:val="both"/>
        <w:rPr>
          <w:sz w:val="22"/>
        </w:rPr>
      </w:pPr>
      <w:r w:rsidRPr="00134038">
        <w:rPr>
          <w:sz w:val="22"/>
        </w:rPr>
        <w:t>What potentially make</w:t>
      </w:r>
      <w:r w:rsidR="00BC05BE" w:rsidRPr="00134038">
        <w:rPr>
          <w:sz w:val="22"/>
        </w:rPr>
        <w:t>s</w:t>
      </w:r>
      <w:r w:rsidRPr="00134038">
        <w:rPr>
          <w:sz w:val="22"/>
        </w:rPr>
        <w:t xml:space="preserve"> such efforts more complicated </w:t>
      </w:r>
      <w:r w:rsidR="0097434D" w:rsidRPr="00134038">
        <w:rPr>
          <w:sz w:val="22"/>
        </w:rPr>
        <w:t>in NR is that NR can support</w:t>
      </w:r>
      <w:r w:rsidRPr="00134038">
        <w:rPr>
          <w:sz w:val="22"/>
        </w:rPr>
        <w:t xml:space="preserve"> different (scaled) numerologies</w:t>
      </w:r>
      <w:r w:rsidR="001D0EEE" w:rsidRPr="00134038">
        <w:rPr>
          <w:sz w:val="22"/>
        </w:rPr>
        <w:t xml:space="preserve"> at least from SCS=15kHz to 480kHz</w:t>
      </w:r>
      <w:r w:rsidRPr="00134038">
        <w:rPr>
          <w:sz w:val="22"/>
        </w:rPr>
        <w:t xml:space="preserve">, which leads to variable </w:t>
      </w:r>
      <w:r w:rsidR="001D0EEE" w:rsidRPr="00134038">
        <w:rPr>
          <w:sz w:val="22"/>
        </w:rPr>
        <w:t>TTI lengths accordingly. Therefore, it remains to be decided</w:t>
      </w:r>
      <w:r w:rsidR="00B5742D" w:rsidRPr="00134038">
        <w:rPr>
          <w:sz w:val="22"/>
        </w:rPr>
        <w:t xml:space="preserve"> in RAN1</w:t>
      </w:r>
      <w:r w:rsidR="001D0EEE" w:rsidRPr="00134038">
        <w:rPr>
          <w:sz w:val="22"/>
        </w:rPr>
        <w:t xml:space="preserve">: </w:t>
      </w:r>
    </w:p>
    <w:p w14:paraId="5CD1A955" w14:textId="27BF1C91" w:rsidR="001D0EEE" w:rsidRPr="00134038" w:rsidRDefault="00BC05BE" w:rsidP="00A37D0C">
      <w:pPr>
        <w:pStyle w:val="ListParagraph"/>
        <w:numPr>
          <w:ilvl w:val="0"/>
          <w:numId w:val="44"/>
        </w:numPr>
        <w:jc w:val="both"/>
        <w:rPr>
          <w:rFonts w:ascii="Times New Roman" w:hAnsi="Times New Roman"/>
        </w:rPr>
      </w:pPr>
      <w:r w:rsidRPr="00134038">
        <w:rPr>
          <w:rFonts w:ascii="Times New Roman" w:hAnsi="Times New Roman"/>
        </w:rPr>
        <w:t>I</w:t>
      </w:r>
      <w:r w:rsidR="00B5742D" w:rsidRPr="00134038">
        <w:rPr>
          <w:rFonts w:ascii="Times New Roman" w:hAnsi="Times New Roman"/>
        </w:rPr>
        <w:t xml:space="preserve">s the </w:t>
      </w:r>
      <w:r w:rsidRPr="00134038">
        <w:rPr>
          <w:rFonts w:ascii="Times New Roman" w:hAnsi="Times New Roman"/>
        </w:rPr>
        <w:t xml:space="preserve">(maximum) supportable </w:t>
      </w:r>
      <w:r w:rsidR="001D0EEE" w:rsidRPr="00134038">
        <w:rPr>
          <w:rFonts w:ascii="Times New Roman" w:hAnsi="Times New Roman"/>
        </w:rPr>
        <w:t>number of HARQ processes numerology dependent? And</w:t>
      </w:r>
    </w:p>
    <w:p w14:paraId="56FF5F69" w14:textId="400D5BA5" w:rsidR="00752AA5" w:rsidRPr="00134038" w:rsidRDefault="00BC05BE" w:rsidP="001D0EEE">
      <w:pPr>
        <w:pStyle w:val="ListParagraph"/>
        <w:numPr>
          <w:ilvl w:val="0"/>
          <w:numId w:val="44"/>
        </w:numPr>
        <w:rPr>
          <w:rFonts w:ascii="Times New Roman" w:hAnsi="Times New Roman"/>
        </w:rPr>
      </w:pPr>
      <w:r w:rsidRPr="00134038">
        <w:rPr>
          <w:rFonts w:ascii="Times New Roman" w:hAnsi="Times New Roman"/>
        </w:rPr>
        <w:lastRenderedPageBreak/>
        <w:t>H</w:t>
      </w:r>
      <w:r w:rsidR="001D0EEE" w:rsidRPr="00134038">
        <w:rPr>
          <w:rFonts w:ascii="Times New Roman" w:hAnsi="Times New Roman"/>
        </w:rPr>
        <w:t xml:space="preserve">ow does the UE efficiently notify </w:t>
      </w:r>
      <w:proofErr w:type="spellStart"/>
      <w:r w:rsidR="001D0EEE" w:rsidRPr="00134038">
        <w:rPr>
          <w:rFonts w:ascii="Times New Roman" w:hAnsi="Times New Roman"/>
        </w:rPr>
        <w:t>eNB</w:t>
      </w:r>
      <w:proofErr w:type="spellEnd"/>
      <w:r w:rsidR="001D0EEE" w:rsidRPr="00134038">
        <w:rPr>
          <w:rFonts w:ascii="Times New Roman" w:hAnsi="Times New Roman"/>
        </w:rPr>
        <w:t xml:space="preserve"> its capability, i.e. how to efficiently define NR UE categories? </w:t>
      </w:r>
    </w:p>
    <w:p w14:paraId="36609B56" w14:textId="77777777" w:rsidR="00956770" w:rsidRPr="00134038" w:rsidRDefault="00956770" w:rsidP="00017928">
      <w:pPr>
        <w:rPr>
          <w:sz w:val="22"/>
        </w:rPr>
      </w:pPr>
    </w:p>
    <w:p w14:paraId="0A31AEA2" w14:textId="47FE4880" w:rsidR="00F237BB" w:rsidRPr="00134038" w:rsidRDefault="00D7144B" w:rsidP="00F237BB">
      <w:pPr>
        <w:pStyle w:val="Heading1"/>
        <w:rPr>
          <w:rFonts w:ascii="Times New Roman" w:hAnsi="Times New Roman"/>
          <w:sz w:val="40"/>
          <w:lang w:val="en-US"/>
        </w:rPr>
      </w:pPr>
      <w:r w:rsidRPr="00134038">
        <w:rPr>
          <w:rFonts w:ascii="Times New Roman" w:hAnsi="Times New Roman"/>
          <w:sz w:val="40"/>
          <w:lang w:val="en-US"/>
        </w:rPr>
        <w:t>Maximum Number of HARQ Processes</w:t>
      </w:r>
    </w:p>
    <w:p w14:paraId="7002BCBB" w14:textId="0D223A30" w:rsidR="00F56780" w:rsidRPr="00134038" w:rsidRDefault="00F56780" w:rsidP="00A37D0C">
      <w:pPr>
        <w:jc w:val="both"/>
        <w:rPr>
          <w:sz w:val="22"/>
        </w:rPr>
      </w:pPr>
      <w:r w:rsidRPr="00134038">
        <w:rPr>
          <w:sz w:val="22"/>
        </w:rPr>
        <w:t>The number of HARQ processes a UE can support depends on several factors, including at least:</w:t>
      </w:r>
    </w:p>
    <w:p w14:paraId="57DE629B" w14:textId="55DDEA0F" w:rsidR="00F56780" w:rsidRPr="00134038" w:rsidRDefault="00F56780" w:rsidP="00F56780">
      <w:pPr>
        <w:pStyle w:val="ListParagraph"/>
        <w:numPr>
          <w:ilvl w:val="0"/>
          <w:numId w:val="43"/>
        </w:numPr>
        <w:rPr>
          <w:rFonts w:ascii="Times New Roman" w:hAnsi="Times New Roman"/>
        </w:rPr>
      </w:pPr>
      <w:r w:rsidRPr="00134038">
        <w:rPr>
          <w:rFonts w:ascii="Times New Roman" w:hAnsi="Times New Roman"/>
        </w:rPr>
        <w:t>Service dependent requirements</w:t>
      </w:r>
    </w:p>
    <w:p w14:paraId="53E6BC98" w14:textId="07483507" w:rsidR="00F56780" w:rsidRPr="00134038" w:rsidRDefault="00F56780" w:rsidP="00F56780">
      <w:pPr>
        <w:pStyle w:val="ListParagraph"/>
        <w:numPr>
          <w:ilvl w:val="0"/>
          <w:numId w:val="43"/>
        </w:numPr>
        <w:rPr>
          <w:rFonts w:ascii="Times New Roman" w:hAnsi="Times New Roman"/>
        </w:rPr>
      </w:pPr>
      <w:r w:rsidRPr="00134038">
        <w:rPr>
          <w:rFonts w:ascii="Times New Roman" w:hAnsi="Times New Roman"/>
        </w:rPr>
        <w:t>UE processing power (i.e. processing delay)</w:t>
      </w:r>
    </w:p>
    <w:p w14:paraId="3D692F4B" w14:textId="78270CC8" w:rsidR="00F56780" w:rsidRPr="00134038" w:rsidRDefault="00F56780" w:rsidP="00F56780">
      <w:pPr>
        <w:pStyle w:val="ListParagraph"/>
        <w:numPr>
          <w:ilvl w:val="0"/>
          <w:numId w:val="43"/>
        </w:numPr>
        <w:rPr>
          <w:rFonts w:ascii="Times New Roman" w:hAnsi="Times New Roman"/>
        </w:rPr>
      </w:pPr>
      <w:r w:rsidRPr="00134038">
        <w:rPr>
          <w:rFonts w:ascii="Times New Roman" w:hAnsi="Times New Roman"/>
        </w:rPr>
        <w:t>UE soft buffer size</w:t>
      </w:r>
    </w:p>
    <w:p w14:paraId="751EFBB5" w14:textId="315A4927" w:rsidR="00F56780" w:rsidRPr="00134038" w:rsidRDefault="00F56780" w:rsidP="00A37D0C">
      <w:pPr>
        <w:jc w:val="both"/>
        <w:rPr>
          <w:sz w:val="22"/>
        </w:rPr>
      </w:pPr>
      <w:r w:rsidRPr="00134038">
        <w:rPr>
          <w:sz w:val="22"/>
        </w:rPr>
        <w:t>It is expected that NR should</w:t>
      </w:r>
      <w:r w:rsidR="004E5398" w:rsidRPr="00134038">
        <w:rPr>
          <w:sz w:val="22"/>
        </w:rPr>
        <w:t xml:space="preserve"> enable </w:t>
      </w:r>
      <w:r w:rsidR="002947A6" w:rsidRPr="00134038">
        <w:rPr>
          <w:sz w:val="22"/>
        </w:rPr>
        <w:t>services with shorter delay compared to existing LTE</w:t>
      </w:r>
      <w:r w:rsidR="00F3038C" w:rsidRPr="00134038">
        <w:rPr>
          <w:sz w:val="22"/>
        </w:rPr>
        <w:t xml:space="preserve">. Therefore, </w:t>
      </w:r>
      <w:r w:rsidR="00380839" w:rsidRPr="00134038">
        <w:rPr>
          <w:sz w:val="22"/>
        </w:rPr>
        <w:t>it is desirable that NR can support smaller number of HARQ processes than 8, at least when configured with 15kHz SCS.</w:t>
      </w:r>
    </w:p>
    <w:p w14:paraId="6CC08925" w14:textId="4E90AA71" w:rsidR="00380839" w:rsidRPr="00134038" w:rsidRDefault="00380839" w:rsidP="00A37D0C">
      <w:pPr>
        <w:jc w:val="both"/>
        <w:rPr>
          <w:sz w:val="22"/>
        </w:rPr>
      </w:pPr>
      <w:r w:rsidRPr="00134038">
        <w:rPr>
          <w:sz w:val="22"/>
        </w:rPr>
        <w:t>The number of (DL) HARQ process</w:t>
      </w:r>
      <w:r w:rsidR="005263E7" w:rsidRPr="00134038">
        <w:rPr>
          <w:sz w:val="22"/>
        </w:rPr>
        <w:t>es</w:t>
      </w:r>
      <w:r w:rsidRPr="00134038">
        <w:rPr>
          <w:sz w:val="22"/>
        </w:rPr>
        <w:t xml:space="preserve"> that a UE can support also depends on the individual UE’s processing power, as well as the pipelining architecture</w:t>
      </w:r>
      <w:r w:rsidR="008E3EF8" w:rsidRPr="00134038">
        <w:rPr>
          <w:sz w:val="22"/>
        </w:rPr>
        <w:t>. A simple example is illustrated below:</w:t>
      </w:r>
    </w:p>
    <w:p w14:paraId="55ACC9A7" w14:textId="2051069D" w:rsidR="005332A0" w:rsidRPr="00134038" w:rsidRDefault="005332A0" w:rsidP="005332A0">
      <w:pPr>
        <w:jc w:val="center"/>
        <w:rPr>
          <w:sz w:val="22"/>
        </w:rPr>
      </w:pPr>
      <w:r w:rsidRPr="00134038">
        <w:rPr>
          <w:noProof/>
          <w:sz w:val="22"/>
        </w:rPr>
        <w:drawing>
          <wp:inline distT="0" distB="0" distL="0" distR="0" wp14:anchorId="5F7775D9" wp14:editId="75626976">
            <wp:extent cx="5184648" cy="1298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84648" cy="1298448"/>
                    </a:xfrm>
                    <a:prstGeom prst="rect">
                      <a:avLst/>
                    </a:prstGeom>
                  </pic:spPr>
                </pic:pic>
              </a:graphicData>
            </a:graphic>
          </wp:inline>
        </w:drawing>
      </w:r>
    </w:p>
    <w:p w14:paraId="5B74CED3" w14:textId="5EB16853" w:rsidR="005332A0" w:rsidRPr="00134038" w:rsidRDefault="005332A0" w:rsidP="005332A0">
      <w:pPr>
        <w:pStyle w:val="Caption"/>
        <w:jc w:val="center"/>
        <w:rPr>
          <w:sz w:val="22"/>
        </w:rPr>
      </w:pPr>
      <w:bookmarkStart w:id="1" w:name="_Ref477189463"/>
      <w:r w:rsidRPr="00134038">
        <w:t xml:space="preserve">Figure </w:t>
      </w:r>
      <w:fldSimple w:instr=" SEQ Figure \* ARABIC ">
        <w:r w:rsidRPr="00134038">
          <w:rPr>
            <w:noProof/>
          </w:rPr>
          <w:t>1</w:t>
        </w:r>
      </w:fldSimple>
      <w:bookmarkEnd w:id="1"/>
      <w:r w:rsidRPr="00134038">
        <w:t xml:space="preserve"> UE processing delay</w:t>
      </w:r>
    </w:p>
    <w:p w14:paraId="56FC2EFD" w14:textId="6F84C2F1" w:rsidR="005332A0" w:rsidRPr="00134038" w:rsidRDefault="00A37D0C" w:rsidP="00A37D0C">
      <w:pPr>
        <w:jc w:val="both"/>
        <w:rPr>
          <w:sz w:val="22"/>
        </w:rPr>
      </w:pPr>
      <w:r w:rsidRPr="00134038">
        <w:rPr>
          <w:sz w:val="22"/>
        </w:rPr>
        <w:t xml:space="preserve">For simple illustration, </w:t>
      </w:r>
      <w:r w:rsidRPr="00134038">
        <w:rPr>
          <w:sz w:val="22"/>
        </w:rPr>
        <w:fldChar w:fldCharType="begin"/>
      </w:r>
      <w:r w:rsidRPr="00134038">
        <w:rPr>
          <w:sz w:val="22"/>
        </w:rPr>
        <w:instrText xml:space="preserve"> REF _Ref477189463 \h </w:instrText>
      </w:r>
      <w:r w:rsidRPr="00134038">
        <w:rPr>
          <w:sz w:val="22"/>
        </w:rPr>
      </w:r>
      <w:r w:rsidR="00134038">
        <w:rPr>
          <w:sz w:val="22"/>
        </w:rPr>
        <w:instrText xml:space="preserve"> \* MERGEFORMAT </w:instrText>
      </w:r>
      <w:r w:rsidRPr="00134038">
        <w:rPr>
          <w:sz w:val="22"/>
        </w:rPr>
        <w:fldChar w:fldCharType="separate"/>
      </w:r>
      <w:r w:rsidRPr="00134038">
        <w:t xml:space="preserve">Figure </w:t>
      </w:r>
      <w:r w:rsidRPr="00134038">
        <w:rPr>
          <w:noProof/>
        </w:rPr>
        <w:t>1</w:t>
      </w:r>
      <w:r w:rsidRPr="00134038">
        <w:rPr>
          <w:sz w:val="22"/>
        </w:rPr>
        <w:fldChar w:fldCharType="end"/>
      </w:r>
      <w:r w:rsidRPr="00134038">
        <w:rPr>
          <w:sz w:val="22"/>
        </w:rPr>
        <w:t xml:space="preserve"> assumes a simplified UE architecture with two steps: front-end processing and back-end processing. Specifically, it also assumes pipelining resolution of TTI</w:t>
      </w:r>
      <w:r w:rsidRPr="00134038">
        <w:rPr>
          <w:rStyle w:val="FootnoteReference"/>
        </w:rPr>
        <w:footnoteReference w:id="2"/>
      </w:r>
      <w:r w:rsidRPr="00134038">
        <w:rPr>
          <w:sz w:val="22"/>
        </w:rPr>
        <w:t xml:space="preserve">. </w:t>
      </w:r>
      <w:r w:rsidR="005332A0" w:rsidRPr="00134038">
        <w:rPr>
          <w:sz w:val="22"/>
        </w:rPr>
        <w:t xml:space="preserve">With a </w:t>
      </w:r>
      <w:r w:rsidRPr="00134038">
        <w:rPr>
          <w:sz w:val="22"/>
        </w:rPr>
        <w:t xml:space="preserve">fixed TBS per TTI (i.e. same data throughput), UE-1 </w:t>
      </w:r>
      <w:r w:rsidR="005332A0" w:rsidRPr="00134038">
        <w:rPr>
          <w:sz w:val="22"/>
        </w:rPr>
        <w:t xml:space="preserve">with faster </w:t>
      </w:r>
      <w:r w:rsidRPr="00134038">
        <w:rPr>
          <w:sz w:val="22"/>
        </w:rPr>
        <w:t>processing speed can support 1 HARQ processing delay, while UE w with slower processing speed only supports 2 HARQ delay. Obviously, UE-1 will potentially be more complicated and costly.</w:t>
      </w:r>
    </w:p>
    <w:p w14:paraId="67636379" w14:textId="64024D0F" w:rsidR="005263E7" w:rsidRPr="00134038" w:rsidRDefault="005263E7" w:rsidP="00A37D0C">
      <w:pPr>
        <w:jc w:val="both"/>
        <w:rPr>
          <w:sz w:val="22"/>
        </w:rPr>
      </w:pPr>
      <w:r w:rsidRPr="00134038">
        <w:rPr>
          <w:sz w:val="22"/>
        </w:rPr>
        <w:t>The number of (DL) HARQ processes that a UE can support also depends on the total soft buffer size available, s</w:t>
      </w:r>
      <w:r w:rsidR="00E80C3D" w:rsidRPr="00134038">
        <w:rPr>
          <w:sz w:val="22"/>
        </w:rPr>
        <w:t>imila</w:t>
      </w:r>
      <w:r w:rsidR="00C11591" w:rsidRPr="00134038">
        <w:rPr>
          <w:sz w:val="22"/>
        </w:rPr>
        <w:t>r as in LTE. In general, the soft buffer size is proportional to the data rate a UE can support, as well as the number of parallel HARQ processes:</w:t>
      </w:r>
    </w:p>
    <w:p w14:paraId="47532BEA" w14:textId="49DCC26F" w:rsidR="00C11591" w:rsidRPr="00134038" w:rsidRDefault="00E157C9" w:rsidP="00A37D0C">
      <w:pPr>
        <w:jc w:val="both"/>
        <w:rPr>
          <w:sz w:val="22"/>
        </w:rPr>
      </w:pPr>
      <m:oMathPara>
        <m:oMath>
          <m:sSub>
            <m:sSubPr>
              <m:ctrlPr>
                <w:rPr>
                  <w:rFonts w:ascii="Cambria Math" w:hAnsi="Cambria Math"/>
                  <w:i/>
                  <w:sz w:val="22"/>
                </w:rPr>
              </m:ctrlPr>
            </m:sSubPr>
            <m:e>
              <m:r>
                <w:rPr>
                  <w:rFonts w:ascii="Cambria Math" w:hAnsi="Cambria Math"/>
                  <w:sz w:val="22"/>
                </w:rPr>
                <m:t>N</m:t>
              </m:r>
            </m:e>
            <m:sub>
              <m:r>
                <w:rPr>
                  <w:rFonts w:ascii="Cambria Math" w:hAnsi="Cambria Math"/>
                  <w:sz w:val="22"/>
                </w:rPr>
                <m:t>soft-bits</m:t>
              </m:r>
            </m:sub>
          </m:sSub>
          <m:r>
            <w:rPr>
              <w:rFonts w:ascii="Cambria Math" w:hAnsi="Cambria Math"/>
              <w:sz w:val="22"/>
            </w:rPr>
            <m:t>∝</m:t>
          </m:r>
          <m:f>
            <m:fPr>
              <m:ctrlPr>
                <w:rPr>
                  <w:rFonts w:ascii="Cambria Math" w:hAnsi="Cambria Math"/>
                  <w:i/>
                  <w:sz w:val="22"/>
                </w:rPr>
              </m:ctrlPr>
            </m:fPr>
            <m:num>
              <m:r>
                <w:rPr>
                  <w:rFonts w:ascii="Cambria Math" w:hAnsi="Cambria Math"/>
                  <w:sz w:val="22"/>
                </w:rPr>
                <m:t>bits</m:t>
              </m:r>
            </m:num>
            <m:den>
              <m:r>
                <w:rPr>
                  <w:rFonts w:ascii="Cambria Math" w:hAnsi="Cambria Math"/>
                  <w:sz w:val="22"/>
                </w:rPr>
                <m:t>TTI</m:t>
              </m:r>
            </m:den>
          </m:f>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HARQ</m:t>
              </m:r>
            </m:sub>
          </m:sSub>
          <m:r>
            <w:rPr>
              <w:rFonts w:ascii="Cambria Math" w:hAnsi="Cambria Math"/>
              <w:sz w:val="22"/>
            </w:rPr>
            <m:t>∝R</m:t>
          </m:r>
          <m:d>
            <m:dPr>
              <m:ctrlPr>
                <w:rPr>
                  <w:rFonts w:ascii="Cambria Math" w:hAnsi="Cambria Math"/>
                  <w:i/>
                  <w:sz w:val="22"/>
                </w:rPr>
              </m:ctrlPr>
            </m:dPr>
            <m:e>
              <m:r>
                <w:rPr>
                  <w:rFonts w:ascii="Cambria Math" w:hAnsi="Cambria Math"/>
                  <w:sz w:val="22"/>
                </w:rPr>
                <m:t>bps</m:t>
              </m:r>
            </m:e>
          </m:d>
          <m:r>
            <w:rPr>
              <w:rFonts w:ascii="Cambria Math" w:hAnsi="Cambria Math"/>
              <w:sz w:val="22"/>
            </w:rPr>
            <m:t>∙</m:t>
          </m:r>
          <m:sSub>
            <m:sSubPr>
              <m:ctrlPr>
                <w:rPr>
                  <w:rFonts w:ascii="Cambria Math" w:hAnsi="Cambria Math"/>
                  <w:i/>
                  <w:sz w:val="22"/>
                </w:rPr>
              </m:ctrlPr>
            </m:sSubPr>
            <m:e>
              <m:r>
                <w:rPr>
                  <w:rFonts w:ascii="Cambria Math" w:hAnsi="Cambria Math"/>
                  <w:sz w:val="22"/>
                </w:rPr>
                <m:t>T</m:t>
              </m:r>
            </m:e>
            <m:sub>
              <m:r>
                <w:rPr>
                  <w:rFonts w:ascii="Cambria Math" w:hAnsi="Cambria Math"/>
                  <w:sz w:val="22"/>
                </w:rPr>
                <m:t>HARQ</m:t>
              </m:r>
            </m:sub>
          </m:sSub>
          <m:d>
            <m:dPr>
              <m:ctrlPr>
                <w:rPr>
                  <w:rFonts w:ascii="Cambria Math" w:hAnsi="Cambria Math"/>
                  <w:i/>
                  <w:sz w:val="22"/>
                </w:rPr>
              </m:ctrlPr>
            </m:dPr>
            <m:e>
              <m:r>
                <w:rPr>
                  <w:rFonts w:ascii="Cambria Math" w:hAnsi="Cambria Math"/>
                  <w:sz w:val="22"/>
                </w:rPr>
                <m:t>s</m:t>
              </m:r>
            </m:e>
          </m:d>
        </m:oMath>
      </m:oMathPara>
    </w:p>
    <w:p w14:paraId="5509B434" w14:textId="5337883E" w:rsidR="00E87A97" w:rsidRPr="00134038" w:rsidRDefault="00842C79" w:rsidP="00C323B0">
      <w:pPr>
        <w:jc w:val="both"/>
        <w:rPr>
          <w:sz w:val="22"/>
        </w:rPr>
      </w:pPr>
      <w:r w:rsidRPr="00134038">
        <w:rPr>
          <w:sz w:val="22"/>
        </w:rPr>
        <w:t xml:space="preserve">If a UE is </w:t>
      </w:r>
      <w:r w:rsidR="00075959" w:rsidRPr="00134038">
        <w:rPr>
          <w:sz w:val="22"/>
        </w:rPr>
        <w:t>soft buffer size</w:t>
      </w:r>
      <w:r w:rsidRPr="00134038">
        <w:rPr>
          <w:sz w:val="22"/>
        </w:rPr>
        <w:t xml:space="preserve"> limited</w:t>
      </w:r>
      <w:r w:rsidR="00075959" w:rsidRPr="00134038">
        <w:rPr>
          <w:sz w:val="22"/>
        </w:rPr>
        <w:t xml:space="preserve">, higher throughput can only be supported with a smaller number of HARQ processes. NR is expected to </w:t>
      </w:r>
      <w:r w:rsidRPr="00134038">
        <w:rPr>
          <w:sz w:val="22"/>
        </w:rPr>
        <w:t>support much wider bandwidth</w:t>
      </w:r>
      <w:r w:rsidR="003132D7" w:rsidRPr="00134038">
        <w:rPr>
          <w:sz w:val="22"/>
        </w:rPr>
        <w:t xml:space="preserve"> than LTE</w:t>
      </w:r>
      <w:r w:rsidRPr="00134038">
        <w:rPr>
          <w:sz w:val="22"/>
        </w:rPr>
        <w:t xml:space="preserve">, </w:t>
      </w:r>
      <w:r w:rsidR="005A45B6" w:rsidRPr="00134038">
        <w:rPr>
          <w:sz w:val="22"/>
        </w:rPr>
        <w:t>and</w:t>
      </w:r>
      <w:r w:rsidRPr="00134038">
        <w:rPr>
          <w:sz w:val="22"/>
        </w:rPr>
        <w:t xml:space="preserve"> </w:t>
      </w:r>
      <w:r w:rsidR="00796D14" w:rsidRPr="00134038">
        <w:rPr>
          <w:sz w:val="22"/>
        </w:rPr>
        <w:t>potential peak</w:t>
      </w:r>
      <w:r w:rsidR="003132D7" w:rsidRPr="00134038">
        <w:rPr>
          <w:sz w:val="22"/>
        </w:rPr>
        <w:t xml:space="preserve"> </w:t>
      </w:r>
      <w:r w:rsidR="00796D14" w:rsidRPr="00134038">
        <w:rPr>
          <w:sz w:val="22"/>
        </w:rPr>
        <w:t>data rate</w:t>
      </w:r>
      <w:r w:rsidRPr="00134038">
        <w:rPr>
          <w:sz w:val="22"/>
        </w:rPr>
        <w:t xml:space="preserve"> </w:t>
      </w:r>
      <w:r w:rsidR="003132D7" w:rsidRPr="00134038">
        <w:rPr>
          <w:sz w:val="22"/>
        </w:rPr>
        <w:t xml:space="preserve">as high as </w:t>
      </w:r>
      <w:r w:rsidR="00796D14" w:rsidRPr="00134038">
        <w:rPr>
          <w:sz w:val="22"/>
        </w:rPr>
        <w:t xml:space="preserve">20Gbps </w:t>
      </w:r>
      <w:r w:rsidR="00796D14" w:rsidRPr="00134038">
        <w:rPr>
          <w:sz w:val="22"/>
        </w:rPr>
        <w:fldChar w:fldCharType="begin"/>
      </w:r>
      <w:r w:rsidR="00796D14" w:rsidRPr="00134038">
        <w:rPr>
          <w:sz w:val="22"/>
        </w:rPr>
        <w:instrText xml:space="preserve"> REF _Ref477193355 \n \h </w:instrText>
      </w:r>
      <w:r w:rsidR="00796D14" w:rsidRPr="00134038">
        <w:rPr>
          <w:sz w:val="22"/>
        </w:rPr>
      </w:r>
      <w:r w:rsidR="00134038">
        <w:rPr>
          <w:sz w:val="22"/>
        </w:rPr>
        <w:instrText xml:space="preserve"> \* MERGEFORMAT </w:instrText>
      </w:r>
      <w:r w:rsidR="00796D14" w:rsidRPr="00134038">
        <w:rPr>
          <w:sz w:val="22"/>
        </w:rPr>
        <w:fldChar w:fldCharType="separate"/>
      </w:r>
      <w:r w:rsidR="00796D14" w:rsidRPr="00134038">
        <w:rPr>
          <w:sz w:val="22"/>
        </w:rPr>
        <w:t>[2]</w:t>
      </w:r>
      <w:r w:rsidR="00796D14" w:rsidRPr="00134038">
        <w:rPr>
          <w:sz w:val="22"/>
        </w:rPr>
        <w:fldChar w:fldCharType="end"/>
      </w:r>
      <w:r w:rsidR="00796D14" w:rsidRPr="00134038">
        <w:rPr>
          <w:sz w:val="22"/>
        </w:rPr>
        <w:t xml:space="preserve"> to meet IMT2020 requirement. To support such a high </w:t>
      </w:r>
      <w:r w:rsidR="00C323B0" w:rsidRPr="00134038">
        <w:rPr>
          <w:sz w:val="22"/>
        </w:rPr>
        <w:t xml:space="preserve">peak </w:t>
      </w:r>
      <w:r w:rsidR="00796D14" w:rsidRPr="00134038">
        <w:rPr>
          <w:sz w:val="22"/>
        </w:rPr>
        <w:t>throughput, it is desirable to reduce the number of parallel HARQ processes</w:t>
      </w:r>
      <w:r w:rsidR="00C323B0" w:rsidRPr="00134038">
        <w:rPr>
          <w:sz w:val="22"/>
        </w:rPr>
        <w:t xml:space="preserve"> to reduce the required amount of soft buffer. This doesn’t prevent the scenario where larger number of parallel HARQ processes needs to be configured, but UE needs to reduce the data rate accordingly.</w:t>
      </w:r>
    </w:p>
    <w:p w14:paraId="2840C025" w14:textId="02A3D9E7" w:rsidR="00C323B0" w:rsidRPr="00134038" w:rsidRDefault="00C323B0" w:rsidP="00C323B0">
      <w:pPr>
        <w:jc w:val="both"/>
        <w:rPr>
          <w:sz w:val="22"/>
        </w:rPr>
      </w:pPr>
      <w:r w:rsidRPr="00134038">
        <w:rPr>
          <w:b/>
          <w:i/>
          <w:sz w:val="22"/>
          <w:u w:val="single"/>
        </w:rPr>
        <w:t>Proposal</w:t>
      </w:r>
      <w:r w:rsidR="00B5742D" w:rsidRPr="00134038">
        <w:rPr>
          <w:b/>
          <w:i/>
          <w:sz w:val="22"/>
          <w:u w:val="single"/>
        </w:rPr>
        <w:t xml:space="preserve"> 1</w:t>
      </w:r>
      <w:r w:rsidRPr="00134038">
        <w:rPr>
          <w:b/>
          <w:i/>
          <w:sz w:val="22"/>
          <w:u w:val="single"/>
        </w:rPr>
        <w:t>:</w:t>
      </w:r>
      <w:r w:rsidRPr="00134038">
        <w:rPr>
          <w:b/>
          <w:i/>
          <w:sz w:val="22"/>
        </w:rPr>
        <w:t xml:space="preserve"> </w:t>
      </w:r>
      <w:r w:rsidR="006E241F" w:rsidRPr="00134038">
        <w:rPr>
          <w:b/>
          <w:i/>
          <w:sz w:val="22"/>
        </w:rPr>
        <w:t xml:space="preserve"> UE should</w:t>
      </w:r>
      <w:r w:rsidRPr="00134038">
        <w:rPr>
          <w:b/>
          <w:i/>
          <w:sz w:val="22"/>
        </w:rPr>
        <w:t xml:space="preserve"> support only</w:t>
      </w:r>
      <w:r w:rsidR="003F5E42" w:rsidRPr="00134038">
        <w:rPr>
          <w:b/>
          <w:i/>
          <w:sz w:val="22"/>
        </w:rPr>
        <w:t xml:space="preserve"> </w:t>
      </w:r>
      <w:r w:rsidR="00D56431" w:rsidRPr="00134038">
        <w:rPr>
          <w:b/>
          <w:i/>
          <w:sz w:val="22"/>
        </w:rPr>
        <w:t xml:space="preserve">a </w:t>
      </w:r>
      <w:r w:rsidR="00FE31A3" w:rsidRPr="00134038">
        <w:rPr>
          <w:b/>
          <w:i/>
          <w:sz w:val="22"/>
        </w:rPr>
        <w:t>small number</w:t>
      </w:r>
      <w:r w:rsidRPr="00134038">
        <w:rPr>
          <w:b/>
          <w:i/>
          <w:sz w:val="22"/>
        </w:rPr>
        <w:t xml:space="preserve"> of parallel HARQ pr</w:t>
      </w:r>
      <w:r w:rsidR="00D56431" w:rsidRPr="00134038">
        <w:rPr>
          <w:b/>
          <w:i/>
          <w:sz w:val="22"/>
        </w:rPr>
        <w:t>ocesses at peak data rate, and</w:t>
      </w:r>
      <w:r w:rsidRPr="00134038">
        <w:rPr>
          <w:b/>
          <w:i/>
          <w:sz w:val="22"/>
        </w:rPr>
        <w:t xml:space="preserve"> reduce the </w:t>
      </w:r>
      <w:r w:rsidR="00D56431" w:rsidRPr="00134038">
        <w:rPr>
          <w:b/>
          <w:i/>
          <w:sz w:val="22"/>
        </w:rPr>
        <w:t xml:space="preserve">supportable </w:t>
      </w:r>
      <w:r w:rsidRPr="00134038">
        <w:rPr>
          <w:b/>
          <w:i/>
          <w:sz w:val="22"/>
        </w:rPr>
        <w:t xml:space="preserve">data rate accordingly if </w:t>
      </w:r>
      <w:r w:rsidR="00623AE1" w:rsidRPr="00134038">
        <w:rPr>
          <w:b/>
          <w:i/>
          <w:sz w:val="22"/>
        </w:rPr>
        <w:t xml:space="preserve">a </w:t>
      </w:r>
      <w:r w:rsidRPr="00134038">
        <w:rPr>
          <w:b/>
          <w:i/>
          <w:sz w:val="22"/>
        </w:rPr>
        <w:t>larger number of parallel HARQ processes needs to be configured by the network</w:t>
      </w:r>
      <w:r w:rsidRPr="00134038">
        <w:rPr>
          <w:sz w:val="22"/>
        </w:rPr>
        <w:t>.</w:t>
      </w:r>
      <w:r w:rsidR="003F5E42" w:rsidRPr="00134038">
        <w:rPr>
          <w:sz w:val="22"/>
        </w:rPr>
        <w:t xml:space="preserve"> </w:t>
      </w:r>
    </w:p>
    <w:p w14:paraId="22735C61" w14:textId="77777777" w:rsidR="003F5E42" w:rsidRPr="00134038" w:rsidRDefault="003F5E42" w:rsidP="00C323B0">
      <w:pPr>
        <w:jc w:val="both"/>
        <w:rPr>
          <w:sz w:val="22"/>
        </w:rPr>
      </w:pPr>
    </w:p>
    <w:p w14:paraId="5E9F5B03" w14:textId="6CC80B37" w:rsidR="003F5E42" w:rsidRPr="00134038" w:rsidRDefault="00FB6DB8" w:rsidP="003F5E42">
      <w:pPr>
        <w:pStyle w:val="Heading1"/>
        <w:rPr>
          <w:rFonts w:ascii="Times New Roman" w:hAnsi="Times New Roman"/>
        </w:rPr>
      </w:pPr>
      <w:r w:rsidRPr="00134038">
        <w:rPr>
          <w:rFonts w:ascii="Times New Roman" w:hAnsi="Times New Roman"/>
        </w:rPr>
        <w:t>UE Capability Indication</w:t>
      </w:r>
    </w:p>
    <w:p w14:paraId="7DD99534" w14:textId="77777777" w:rsidR="000262A1" w:rsidRPr="00134038" w:rsidRDefault="003F5E42" w:rsidP="003F5E42">
      <w:pPr>
        <w:rPr>
          <w:lang w:val="en-GB"/>
        </w:rPr>
      </w:pPr>
      <w:r w:rsidRPr="00134038">
        <w:rPr>
          <w:lang w:val="en-GB"/>
        </w:rPr>
        <w:t xml:space="preserve">In LTE, the UE capability is characterised by the UE category, and is reported to </w:t>
      </w:r>
      <w:proofErr w:type="spellStart"/>
      <w:r w:rsidRPr="00134038">
        <w:rPr>
          <w:lang w:val="en-GB"/>
        </w:rPr>
        <w:t>eNB</w:t>
      </w:r>
      <w:proofErr w:type="spellEnd"/>
      <w:r w:rsidRPr="00134038">
        <w:rPr>
          <w:lang w:val="en-GB"/>
        </w:rPr>
        <w:t xml:space="preserve"> for scheduling purpose.</w:t>
      </w:r>
      <w:r w:rsidR="000262A1" w:rsidRPr="00134038">
        <w:rPr>
          <w:lang w:val="en-GB"/>
        </w:rPr>
        <w:t xml:space="preserve"> The UE capability is simply categorized by:</w:t>
      </w:r>
    </w:p>
    <w:p w14:paraId="7D0A1725" w14:textId="02C504BD" w:rsidR="000262A1" w:rsidRPr="00134038" w:rsidRDefault="000262A1" w:rsidP="000262A1">
      <w:pPr>
        <w:pStyle w:val="ListParagraph"/>
        <w:numPr>
          <w:ilvl w:val="0"/>
          <w:numId w:val="43"/>
        </w:numPr>
        <w:rPr>
          <w:rFonts w:ascii="Times New Roman" w:hAnsi="Times New Roman"/>
          <w:lang w:val="en-GB"/>
        </w:rPr>
      </w:pPr>
      <w:r w:rsidRPr="00134038">
        <w:rPr>
          <w:rFonts w:ascii="Times New Roman" w:hAnsi="Times New Roman"/>
          <w:lang w:val="en-GB"/>
        </w:rPr>
        <w:t xml:space="preserve">Maximum </w:t>
      </w:r>
      <w:r w:rsidR="00682FC2" w:rsidRPr="00134038">
        <w:rPr>
          <w:rFonts w:ascii="Times New Roman" w:hAnsi="Times New Roman"/>
          <w:lang w:val="en-GB"/>
        </w:rPr>
        <w:t xml:space="preserve">number of DL-SCH transport block bits (as well as </w:t>
      </w:r>
      <w:r w:rsidR="00491E34" w:rsidRPr="00134038">
        <w:rPr>
          <w:rFonts w:ascii="Times New Roman" w:hAnsi="Times New Roman"/>
          <w:lang w:val="en-GB"/>
        </w:rPr>
        <w:t>per</w:t>
      </w:r>
      <w:r w:rsidR="00682FC2" w:rsidRPr="00134038">
        <w:rPr>
          <w:rFonts w:ascii="Times New Roman" w:hAnsi="Times New Roman"/>
          <w:lang w:val="en-GB"/>
        </w:rPr>
        <w:t xml:space="preserve"> transport block) receives within a TTI</w:t>
      </w:r>
    </w:p>
    <w:p w14:paraId="7D3FB1DD" w14:textId="5513478E" w:rsidR="00682FC2" w:rsidRPr="00134038" w:rsidRDefault="00682FC2" w:rsidP="000262A1">
      <w:pPr>
        <w:pStyle w:val="ListParagraph"/>
        <w:numPr>
          <w:ilvl w:val="0"/>
          <w:numId w:val="43"/>
        </w:numPr>
        <w:rPr>
          <w:rFonts w:ascii="Times New Roman" w:hAnsi="Times New Roman"/>
          <w:lang w:val="en-GB"/>
        </w:rPr>
      </w:pPr>
      <w:r w:rsidRPr="00134038">
        <w:rPr>
          <w:rFonts w:ascii="Times New Roman" w:hAnsi="Times New Roman"/>
          <w:lang w:val="en-GB"/>
        </w:rPr>
        <w:t>Total size of DL-SCH soft channel bits</w:t>
      </w:r>
    </w:p>
    <w:p w14:paraId="0273548C" w14:textId="0B994C14" w:rsidR="00FB3672" w:rsidRPr="00134038" w:rsidRDefault="00FB3672" w:rsidP="000262A1">
      <w:pPr>
        <w:pStyle w:val="ListParagraph"/>
        <w:numPr>
          <w:ilvl w:val="0"/>
          <w:numId w:val="43"/>
        </w:numPr>
        <w:rPr>
          <w:rFonts w:ascii="Times New Roman" w:hAnsi="Times New Roman"/>
          <w:lang w:val="en-GB"/>
        </w:rPr>
      </w:pPr>
      <w:r w:rsidRPr="00134038">
        <w:rPr>
          <w:rFonts w:ascii="Times New Roman" w:hAnsi="Times New Roman"/>
          <w:lang w:val="en-GB"/>
        </w:rPr>
        <w:t>Total number of layers</w:t>
      </w:r>
    </w:p>
    <w:p w14:paraId="3EABCA5B" w14:textId="7D6EAD19" w:rsidR="003F5E42" w:rsidRPr="00134038" w:rsidRDefault="000262A1" w:rsidP="003F5E42">
      <w:pPr>
        <w:rPr>
          <w:lang w:val="en-GB"/>
        </w:rPr>
      </w:pPr>
      <w:r w:rsidRPr="00134038">
        <w:rPr>
          <w:lang w:val="en-GB"/>
        </w:rPr>
        <w:t xml:space="preserve">The UE category definition is straightforward </w:t>
      </w:r>
      <w:r w:rsidR="00FB3672" w:rsidRPr="00134038">
        <w:rPr>
          <w:lang w:val="en-GB"/>
        </w:rPr>
        <w:t>in LTE due to the fact</w:t>
      </w:r>
      <w:r w:rsidR="00005F62" w:rsidRPr="00134038">
        <w:rPr>
          <w:lang w:val="en-GB"/>
        </w:rPr>
        <w:t>s</w:t>
      </w:r>
      <w:r w:rsidR="00FB3672" w:rsidRPr="00134038">
        <w:rPr>
          <w:lang w:val="en-GB"/>
        </w:rPr>
        <w:t xml:space="preserve"> that</w:t>
      </w:r>
      <w:r w:rsidR="00005F62" w:rsidRPr="00134038">
        <w:rPr>
          <w:lang w:val="en-GB"/>
        </w:rPr>
        <w:t>:</w:t>
      </w:r>
      <w:r w:rsidR="00FB3672" w:rsidRPr="00134038">
        <w:rPr>
          <w:lang w:val="en-GB"/>
        </w:rPr>
        <w:t xml:space="preserve"> </w:t>
      </w:r>
    </w:p>
    <w:p w14:paraId="691E71B1" w14:textId="2CD83D52" w:rsidR="00FB3672" w:rsidRPr="00134038" w:rsidRDefault="00FB3672" w:rsidP="00FB3672">
      <w:pPr>
        <w:pStyle w:val="ListParagraph"/>
        <w:numPr>
          <w:ilvl w:val="0"/>
          <w:numId w:val="43"/>
        </w:numPr>
        <w:rPr>
          <w:rFonts w:ascii="Times New Roman" w:hAnsi="Times New Roman"/>
          <w:lang w:val="en-GB"/>
        </w:rPr>
      </w:pPr>
      <w:r w:rsidRPr="00134038">
        <w:rPr>
          <w:rFonts w:ascii="Times New Roman" w:hAnsi="Times New Roman"/>
          <w:lang w:val="en-GB"/>
        </w:rPr>
        <w:t>LTE supports fixed numerology: e.g. SCS=15kHz</w:t>
      </w:r>
    </w:p>
    <w:p w14:paraId="5BBAEB0D" w14:textId="0AF2CE53" w:rsidR="00FB3672" w:rsidRPr="00134038" w:rsidRDefault="00FB3672" w:rsidP="00FB3672">
      <w:pPr>
        <w:pStyle w:val="ListParagraph"/>
        <w:numPr>
          <w:ilvl w:val="0"/>
          <w:numId w:val="43"/>
        </w:numPr>
        <w:rPr>
          <w:rFonts w:ascii="Times New Roman" w:hAnsi="Times New Roman"/>
          <w:lang w:val="en-GB"/>
        </w:rPr>
      </w:pPr>
      <w:r w:rsidRPr="00134038">
        <w:rPr>
          <w:rFonts w:ascii="Times New Roman" w:hAnsi="Times New Roman"/>
          <w:lang w:val="en-GB"/>
        </w:rPr>
        <w:t>LTE assumes fixed number parallel HARQ processes: 8 (in FDD), with roughly equal split of UE/</w:t>
      </w:r>
      <w:proofErr w:type="spellStart"/>
      <w:r w:rsidRPr="00134038">
        <w:rPr>
          <w:rFonts w:ascii="Times New Roman" w:hAnsi="Times New Roman"/>
          <w:lang w:val="en-GB"/>
        </w:rPr>
        <w:t>eNB</w:t>
      </w:r>
      <w:proofErr w:type="spellEnd"/>
      <w:r w:rsidRPr="00134038">
        <w:rPr>
          <w:rFonts w:ascii="Times New Roman" w:hAnsi="Times New Roman"/>
          <w:lang w:val="en-GB"/>
        </w:rPr>
        <w:t xml:space="preserve"> processing margin. This translate a fixed processing delay requirement for UE (</w:t>
      </w:r>
      <w:proofErr w:type="spellStart"/>
      <w:r w:rsidRPr="00134038">
        <w:rPr>
          <w:rFonts w:ascii="Times New Roman" w:hAnsi="Times New Roman"/>
          <w:lang w:val="en-GB"/>
        </w:rPr>
        <w:t>eNB</w:t>
      </w:r>
      <w:proofErr w:type="spellEnd"/>
      <w:r w:rsidRPr="00134038">
        <w:rPr>
          <w:rFonts w:ascii="Times New Roman" w:hAnsi="Times New Roman"/>
          <w:lang w:val="en-GB"/>
        </w:rPr>
        <w:t>)</w:t>
      </w:r>
    </w:p>
    <w:p w14:paraId="1343F175" w14:textId="7F1C0954" w:rsidR="00FB3672" w:rsidRPr="00134038" w:rsidRDefault="00FB3672" w:rsidP="00F34514">
      <w:pPr>
        <w:rPr>
          <w:sz w:val="22"/>
        </w:rPr>
      </w:pPr>
      <w:r w:rsidRPr="00134038">
        <w:rPr>
          <w:sz w:val="22"/>
        </w:rPr>
        <w:t xml:space="preserve">In NR, however, </w:t>
      </w:r>
      <w:r w:rsidR="006C692D" w:rsidRPr="00134038">
        <w:rPr>
          <w:sz w:val="22"/>
        </w:rPr>
        <w:t>settings</w:t>
      </w:r>
      <w:r w:rsidRPr="00134038">
        <w:rPr>
          <w:sz w:val="22"/>
        </w:rPr>
        <w:t xml:space="preserve"> </w:t>
      </w:r>
      <w:r w:rsidR="006C692D" w:rsidRPr="00134038">
        <w:rPr>
          <w:sz w:val="22"/>
        </w:rPr>
        <w:t>can be more flexible. For example</w:t>
      </w:r>
      <w:r w:rsidRPr="00134038">
        <w:rPr>
          <w:sz w:val="22"/>
        </w:rPr>
        <w:t>:</w:t>
      </w:r>
    </w:p>
    <w:p w14:paraId="1FE1F5BC" w14:textId="6FB7C94A" w:rsidR="00FB3672" w:rsidRPr="00134038" w:rsidRDefault="00FB3672" w:rsidP="00FB3672">
      <w:pPr>
        <w:pStyle w:val="ListParagraph"/>
        <w:numPr>
          <w:ilvl w:val="0"/>
          <w:numId w:val="43"/>
        </w:numPr>
        <w:rPr>
          <w:rFonts w:ascii="Times New Roman" w:hAnsi="Times New Roman"/>
        </w:rPr>
      </w:pPr>
      <w:r w:rsidRPr="00134038">
        <w:rPr>
          <w:rFonts w:ascii="Times New Roman" w:hAnsi="Times New Roman"/>
        </w:rPr>
        <w:t xml:space="preserve">TTI length is variable: due to the support of scalable SCS in </w:t>
      </w:r>
      <m:oMath>
        <m:r>
          <w:rPr>
            <w:rFonts w:ascii="Cambria Math" w:hAnsi="Cambria Math"/>
          </w:rPr>
          <m:t>15kHz∙</m:t>
        </m:r>
        <m:sSup>
          <m:sSupPr>
            <m:ctrlPr>
              <w:rPr>
                <w:rFonts w:ascii="Cambria Math" w:hAnsi="Cambria Math"/>
                <w:i/>
              </w:rPr>
            </m:ctrlPr>
          </m:sSupPr>
          <m:e>
            <m:r>
              <w:rPr>
                <w:rFonts w:ascii="Cambria Math" w:hAnsi="Cambria Math"/>
              </w:rPr>
              <m:t>2</m:t>
            </m:r>
          </m:e>
          <m:sup>
            <m:r>
              <w:rPr>
                <w:rFonts w:ascii="Cambria Math" w:hAnsi="Cambria Math"/>
              </w:rPr>
              <m:t>k</m:t>
            </m:r>
          </m:sup>
        </m:sSup>
      </m:oMath>
      <w:r w:rsidRPr="00134038">
        <w:rPr>
          <w:rFonts w:ascii="Times New Roman" w:hAnsi="Times New Roman"/>
        </w:rPr>
        <w:t>, including at least from 15kHz to 480kHz.</w:t>
      </w:r>
    </w:p>
    <w:p w14:paraId="78B20D65" w14:textId="6F6C9BAC" w:rsidR="00FB3672" w:rsidRPr="00134038" w:rsidRDefault="00FB3672" w:rsidP="00FB3672">
      <w:pPr>
        <w:pStyle w:val="ListParagraph"/>
        <w:numPr>
          <w:ilvl w:val="0"/>
          <w:numId w:val="43"/>
        </w:numPr>
        <w:rPr>
          <w:rFonts w:ascii="Times New Roman" w:hAnsi="Times New Roman"/>
        </w:rPr>
      </w:pPr>
      <w:r w:rsidRPr="00134038">
        <w:rPr>
          <w:rFonts w:ascii="Times New Roman" w:hAnsi="Times New Roman"/>
        </w:rPr>
        <w:t>Network can configure different num</w:t>
      </w:r>
      <w:r w:rsidR="003D733A" w:rsidRPr="00134038">
        <w:rPr>
          <w:rFonts w:ascii="Times New Roman" w:hAnsi="Times New Roman"/>
        </w:rPr>
        <w:t>ber of parallel HARQ processes across different UEs.</w:t>
      </w:r>
    </w:p>
    <w:p w14:paraId="6C13A797" w14:textId="77777777" w:rsidR="00834154" w:rsidRPr="00134038" w:rsidRDefault="00834154" w:rsidP="00F34514">
      <w:pPr>
        <w:rPr>
          <w:sz w:val="22"/>
        </w:rPr>
      </w:pPr>
      <w:r w:rsidRPr="00134038">
        <w:rPr>
          <w:sz w:val="22"/>
        </w:rPr>
        <w:t xml:space="preserve">Therefore, it is important for NR to decide on </w:t>
      </w:r>
    </w:p>
    <w:p w14:paraId="3823E73F" w14:textId="62A0731E" w:rsidR="00834154" w:rsidRPr="00134038" w:rsidRDefault="00834154" w:rsidP="00F34514">
      <w:pPr>
        <w:rPr>
          <w:sz w:val="22"/>
        </w:rPr>
      </w:pPr>
      <w:r w:rsidRPr="00134038">
        <w:rPr>
          <w:sz w:val="22"/>
        </w:rPr>
        <w:t xml:space="preserve">1) how to efficiently notify </w:t>
      </w:r>
      <w:proofErr w:type="spellStart"/>
      <w:r w:rsidRPr="00134038">
        <w:rPr>
          <w:sz w:val="22"/>
        </w:rPr>
        <w:t>eNB</w:t>
      </w:r>
      <w:proofErr w:type="spellEnd"/>
      <w:r w:rsidRPr="00134038">
        <w:rPr>
          <w:sz w:val="22"/>
        </w:rPr>
        <w:t xml:space="preserve"> what UEs’ capability is under different network settings; and </w:t>
      </w:r>
    </w:p>
    <w:p w14:paraId="406D3FF5" w14:textId="77777777" w:rsidR="00834154" w:rsidRPr="00134038" w:rsidRDefault="00834154" w:rsidP="00F34514">
      <w:pPr>
        <w:rPr>
          <w:sz w:val="22"/>
        </w:rPr>
      </w:pPr>
      <w:r w:rsidRPr="00134038">
        <w:rPr>
          <w:sz w:val="22"/>
        </w:rPr>
        <w:t xml:space="preserve">2) whether the existing way of defining UE category is still sufficient for </w:t>
      </w:r>
      <w:proofErr w:type="gramStart"/>
      <w:r w:rsidRPr="00134038">
        <w:rPr>
          <w:sz w:val="22"/>
        </w:rPr>
        <w:t>NR?.</w:t>
      </w:r>
      <w:proofErr w:type="gramEnd"/>
      <w:r w:rsidRPr="00134038">
        <w:rPr>
          <w:sz w:val="22"/>
        </w:rPr>
        <w:t xml:space="preserve"> </w:t>
      </w:r>
    </w:p>
    <w:p w14:paraId="06BE8DE4" w14:textId="2ED4679F" w:rsidR="00005F62" w:rsidRPr="00134038" w:rsidRDefault="00834154" w:rsidP="00F34514">
      <w:pPr>
        <w:rPr>
          <w:sz w:val="22"/>
        </w:rPr>
      </w:pPr>
      <w:r w:rsidRPr="00134038">
        <w:rPr>
          <w:sz w:val="22"/>
        </w:rPr>
        <w:t xml:space="preserve">For </w:t>
      </w:r>
      <w:r w:rsidR="009B471E" w:rsidRPr="00134038">
        <w:rPr>
          <w:sz w:val="22"/>
        </w:rPr>
        <w:t>example, a UE that</w:t>
      </w:r>
      <w:r w:rsidRPr="00134038">
        <w:rPr>
          <w:sz w:val="22"/>
        </w:rPr>
        <w:t xml:space="preserve"> support</w:t>
      </w:r>
      <w:r w:rsidR="009B471E" w:rsidRPr="00134038">
        <w:rPr>
          <w:sz w:val="22"/>
        </w:rPr>
        <w:t>s</w:t>
      </w:r>
      <w:r w:rsidRPr="00134038">
        <w:rPr>
          <w:sz w:val="22"/>
        </w:rPr>
        <w:t xml:space="preserve"> maximal TBS=600k at peak throughput with SCS=15kHz may only support maximal TBS=300k with SCS=30kHz, due to </w:t>
      </w:r>
      <w:r w:rsidR="008F4521" w:rsidRPr="00134038">
        <w:rPr>
          <w:sz w:val="22"/>
        </w:rPr>
        <w:t>hardware limitation</w:t>
      </w:r>
      <w:r w:rsidRPr="00134038">
        <w:rPr>
          <w:sz w:val="22"/>
        </w:rPr>
        <w:t>.</w:t>
      </w:r>
      <w:r w:rsidR="00491E34" w:rsidRPr="00134038">
        <w:rPr>
          <w:sz w:val="22"/>
        </w:rPr>
        <w:t xml:space="preserve"> Similarly, a UE than supports maximal TBS=600k with 1 HARQ interlace may only supports maximal TBS=300k with 2 parallel HARQ interlaces due to soft buffer limitation. Therefore, a single setting of maximum number of DL-SCH transport block bits</w:t>
      </w:r>
      <w:r w:rsidRPr="00134038">
        <w:rPr>
          <w:sz w:val="22"/>
        </w:rPr>
        <w:t xml:space="preserve"> </w:t>
      </w:r>
      <w:r w:rsidR="00491E34" w:rsidRPr="00134038">
        <w:rPr>
          <w:sz w:val="22"/>
        </w:rPr>
        <w:t>(as well as per transport block) may not be sufficient for NR UE categorization.</w:t>
      </w:r>
    </w:p>
    <w:p w14:paraId="5B5389A5" w14:textId="393288FE" w:rsidR="00491E34" w:rsidRPr="00134038" w:rsidRDefault="00491E34" w:rsidP="00F34514">
      <w:pPr>
        <w:rPr>
          <w:b/>
          <w:i/>
          <w:sz w:val="22"/>
        </w:rPr>
      </w:pPr>
      <w:r w:rsidRPr="00134038">
        <w:rPr>
          <w:b/>
          <w:i/>
          <w:sz w:val="22"/>
          <w:u w:val="single"/>
        </w:rPr>
        <w:t>Proposal</w:t>
      </w:r>
      <w:r w:rsidR="00B5742D" w:rsidRPr="00134038">
        <w:rPr>
          <w:b/>
          <w:i/>
          <w:sz w:val="22"/>
          <w:u w:val="single"/>
        </w:rPr>
        <w:t xml:space="preserve"> 2</w:t>
      </w:r>
      <w:r w:rsidRPr="00134038">
        <w:rPr>
          <w:b/>
          <w:i/>
          <w:sz w:val="22"/>
        </w:rPr>
        <w:t xml:space="preserve">: NR </w:t>
      </w:r>
      <w:r w:rsidR="00C527DD" w:rsidRPr="00134038">
        <w:rPr>
          <w:b/>
          <w:i/>
          <w:sz w:val="22"/>
        </w:rPr>
        <w:t xml:space="preserve">should </w:t>
      </w:r>
      <w:r w:rsidR="009B4F98" w:rsidRPr="00134038">
        <w:rPr>
          <w:b/>
          <w:i/>
          <w:sz w:val="22"/>
        </w:rPr>
        <w:t xml:space="preserve">study how to </w:t>
      </w:r>
      <w:r w:rsidR="00C527DD" w:rsidRPr="00134038">
        <w:rPr>
          <w:b/>
          <w:i/>
          <w:sz w:val="22"/>
        </w:rPr>
        <w:t xml:space="preserve">define UE categories to efficiently indicate to </w:t>
      </w:r>
      <w:proofErr w:type="spellStart"/>
      <w:r w:rsidR="00C527DD" w:rsidRPr="00134038">
        <w:rPr>
          <w:b/>
          <w:i/>
          <w:sz w:val="22"/>
        </w:rPr>
        <w:t>eNB</w:t>
      </w:r>
      <w:proofErr w:type="spellEnd"/>
      <w:r w:rsidR="0000351C" w:rsidRPr="00134038">
        <w:rPr>
          <w:b/>
          <w:i/>
          <w:sz w:val="22"/>
        </w:rPr>
        <w:t xml:space="preserve"> on</w:t>
      </w:r>
      <w:r w:rsidR="00C527DD" w:rsidRPr="00134038">
        <w:rPr>
          <w:b/>
          <w:i/>
          <w:sz w:val="22"/>
        </w:rPr>
        <w:t xml:space="preserve"> </w:t>
      </w:r>
      <w:r w:rsidR="00CD06C9" w:rsidRPr="00134038">
        <w:rPr>
          <w:b/>
          <w:i/>
          <w:sz w:val="22"/>
        </w:rPr>
        <w:t>the maximum supportable number transport block bits</w:t>
      </w:r>
      <w:r w:rsidR="0000351C" w:rsidRPr="00134038">
        <w:rPr>
          <w:b/>
          <w:i/>
          <w:sz w:val="22"/>
        </w:rPr>
        <w:t xml:space="preserve"> corresponding</w:t>
      </w:r>
      <w:r w:rsidR="00CD06C9" w:rsidRPr="00134038">
        <w:rPr>
          <w:b/>
          <w:i/>
          <w:sz w:val="22"/>
        </w:rPr>
        <w:t xml:space="preserve"> different </w:t>
      </w:r>
      <w:r w:rsidR="0000351C" w:rsidRPr="00134038">
        <w:rPr>
          <w:b/>
          <w:i/>
          <w:sz w:val="22"/>
        </w:rPr>
        <w:t xml:space="preserve">network configurations (e.g. SCS, UE processing delay, and total </w:t>
      </w:r>
      <w:r w:rsidR="00CD06C9" w:rsidRPr="00134038">
        <w:rPr>
          <w:b/>
          <w:i/>
          <w:sz w:val="22"/>
        </w:rPr>
        <w:t xml:space="preserve">number of </w:t>
      </w:r>
      <w:r w:rsidR="0000351C" w:rsidRPr="00134038">
        <w:rPr>
          <w:b/>
          <w:i/>
          <w:sz w:val="22"/>
        </w:rPr>
        <w:t xml:space="preserve">parallel </w:t>
      </w:r>
      <w:r w:rsidR="00CD06C9" w:rsidRPr="00134038">
        <w:rPr>
          <w:b/>
          <w:i/>
          <w:sz w:val="22"/>
        </w:rPr>
        <w:t>HARQ processes</w:t>
      </w:r>
      <w:r w:rsidR="0000351C" w:rsidRPr="00134038">
        <w:rPr>
          <w:b/>
          <w:i/>
          <w:sz w:val="22"/>
        </w:rPr>
        <w:t>)</w:t>
      </w:r>
      <w:r w:rsidR="00CD06C9" w:rsidRPr="00134038">
        <w:rPr>
          <w:b/>
          <w:i/>
          <w:sz w:val="22"/>
        </w:rPr>
        <w:t>.</w:t>
      </w:r>
    </w:p>
    <w:p w14:paraId="4D04ADD5" w14:textId="0F99EC13" w:rsidR="00956770" w:rsidRPr="00134038" w:rsidRDefault="00956770" w:rsidP="00A811FE">
      <w:pPr>
        <w:overflowPunct/>
        <w:autoSpaceDE/>
        <w:autoSpaceDN/>
        <w:adjustRightInd/>
        <w:spacing w:before="100" w:beforeAutospacing="1" w:after="100" w:afterAutospacing="1"/>
        <w:textAlignment w:val="auto"/>
        <w:rPr>
          <w:sz w:val="22"/>
        </w:rPr>
      </w:pPr>
    </w:p>
    <w:p w14:paraId="5BE0AC90" w14:textId="77777777" w:rsidR="00FC6D8C" w:rsidRPr="00134038" w:rsidRDefault="003A38AC" w:rsidP="00AA0D9A">
      <w:pPr>
        <w:pStyle w:val="Heading1"/>
        <w:rPr>
          <w:rFonts w:ascii="Times New Roman" w:hAnsi="Times New Roman"/>
          <w:sz w:val="40"/>
        </w:rPr>
      </w:pPr>
      <w:bookmarkStart w:id="2" w:name="_Ref378529477"/>
      <w:r w:rsidRPr="00134038">
        <w:rPr>
          <w:rFonts w:ascii="Times New Roman" w:hAnsi="Times New Roman"/>
          <w:sz w:val="40"/>
        </w:rPr>
        <w:t>C</w:t>
      </w:r>
      <w:r w:rsidR="001021DD" w:rsidRPr="00134038">
        <w:rPr>
          <w:rFonts w:ascii="Times New Roman" w:hAnsi="Times New Roman"/>
          <w:sz w:val="40"/>
        </w:rPr>
        <w:t>onclusions</w:t>
      </w:r>
    </w:p>
    <w:p w14:paraId="6BCDBBBB" w14:textId="5CDE2991" w:rsidR="00B930AA" w:rsidRPr="00134038" w:rsidRDefault="00B930AA" w:rsidP="00B930AA">
      <w:pPr>
        <w:rPr>
          <w:lang w:val="en-GB"/>
        </w:rPr>
      </w:pPr>
      <w:r w:rsidRPr="00134038">
        <w:rPr>
          <w:lang w:val="en-GB"/>
        </w:rPr>
        <w:t xml:space="preserve">In this contribution, we </w:t>
      </w:r>
      <w:r w:rsidR="006E241F" w:rsidRPr="00134038">
        <w:rPr>
          <w:lang w:val="en-GB"/>
        </w:rPr>
        <w:t>consider the factors that impacting the supportable number of parallel HARQ processes. We also consider the potential differences between NR and existing LTE, which may impact how UE capabilities should be indicated to the network. Specifically, we propose the following:</w:t>
      </w:r>
    </w:p>
    <w:bookmarkEnd w:id="2"/>
    <w:p w14:paraId="48DE0A36" w14:textId="67995EAE" w:rsidR="006E241F" w:rsidRPr="00134038" w:rsidRDefault="006E241F" w:rsidP="006E241F">
      <w:pPr>
        <w:jc w:val="both"/>
        <w:rPr>
          <w:sz w:val="22"/>
        </w:rPr>
      </w:pPr>
      <w:r w:rsidRPr="00134038">
        <w:rPr>
          <w:b/>
          <w:i/>
          <w:sz w:val="22"/>
          <w:u w:val="single"/>
        </w:rPr>
        <w:t>Proposal 1:</w:t>
      </w:r>
      <w:r w:rsidRPr="00134038">
        <w:rPr>
          <w:b/>
          <w:i/>
          <w:sz w:val="22"/>
        </w:rPr>
        <w:t xml:space="preserve">  UE should support only a </w:t>
      </w:r>
      <w:r w:rsidR="00FE31A3" w:rsidRPr="00134038">
        <w:rPr>
          <w:b/>
          <w:i/>
          <w:sz w:val="22"/>
        </w:rPr>
        <w:t>small number</w:t>
      </w:r>
      <w:r w:rsidRPr="00134038">
        <w:rPr>
          <w:b/>
          <w:i/>
          <w:sz w:val="22"/>
        </w:rPr>
        <w:t xml:space="preserve"> of parallel HARQ processes at peak data rate, and reduce the supportable data rate accordingly if a larger number of parallel HARQ processes needs to be configured by the network</w:t>
      </w:r>
      <w:r w:rsidRPr="00134038">
        <w:rPr>
          <w:sz w:val="22"/>
        </w:rPr>
        <w:t xml:space="preserve">. </w:t>
      </w:r>
    </w:p>
    <w:p w14:paraId="29F5219F" w14:textId="77777777" w:rsidR="006E241F" w:rsidRPr="00134038" w:rsidRDefault="006E241F" w:rsidP="006E241F">
      <w:pPr>
        <w:rPr>
          <w:b/>
          <w:i/>
          <w:sz w:val="22"/>
        </w:rPr>
      </w:pPr>
      <w:r w:rsidRPr="00134038">
        <w:rPr>
          <w:b/>
          <w:i/>
          <w:sz w:val="22"/>
          <w:u w:val="single"/>
        </w:rPr>
        <w:t>Proposal 2</w:t>
      </w:r>
      <w:r w:rsidRPr="00134038">
        <w:rPr>
          <w:b/>
          <w:i/>
          <w:sz w:val="22"/>
        </w:rPr>
        <w:t xml:space="preserve">: NR should study how to define UE categories to efficiently indicate to </w:t>
      </w:r>
      <w:proofErr w:type="spellStart"/>
      <w:r w:rsidRPr="00134038">
        <w:rPr>
          <w:b/>
          <w:i/>
          <w:sz w:val="22"/>
        </w:rPr>
        <w:t>eNB</w:t>
      </w:r>
      <w:proofErr w:type="spellEnd"/>
      <w:r w:rsidRPr="00134038">
        <w:rPr>
          <w:b/>
          <w:i/>
          <w:sz w:val="22"/>
        </w:rPr>
        <w:t xml:space="preserve"> on the maximum supportable number transport block bits corresponding different network configurations (e.g. SCS, UE processing delay, and total number of parallel HARQ processes).</w:t>
      </w: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lastRenderedPageBreak/>
        <w:t>References</w:t>
      </w:r>
    </w:p>
    <w:p w14:paraId="20F98EA8" w14:textId="482ABDC1" w:rsidR="00D610F8" w:rsidRPr="00134038" w:rsidRDefault="00BB3B9F" w:rsidP="005D4043">
      <w:pPr>
        <w:numPr>
          <w:ilvl w:val="0"/>
          <w:numId w:val="2"/>
        </w:numPr>
        <w:spacing w:before="100" w:beforeAutospacing="1" w:after="100" w:afterAutospacing="1"/>
        <w:ind w:left="562" w:hanging="562"/>
        <w:rPr>
          <w:sz w:val="22"/>
          <w:szCs w:val="22"/>
        </w:rPr>
      </w:pPr>
      <w:bookmarkStart w:id="3" w:name="_Ref458548305"/>
      <w:bookmarkStart w:id="4" w:name="_Ref477210907"/>
      <w:bookmarkStart w:id="5" w:name="_Ref430766234"/>
      <w:r w:rsidRPr="00134038">
        <w:rPr>
          <w:sz w:val="22"/>
          <w:szCs w:val="22"/>
        </w:rPr>
        <w:t xml:space="preserve">3GPP </w:t>
      </w:r>
      <w:r w:rsidR="001F2982" w:rsidRPr="00134038">
        <w:rPr>
          <w:sz w:val="22"/>
          <w:szCs w:val="22"/>
        </w:rPr>
        <w:t>RAN1</w:t>
      </w:r>
      <w:r w:rsidRPr="00134038">
        <w:rPr>
          <w:sz w:val="22"/>
          <w:szCs w:val="22"/>
        </w:rPr>
        <w:t xml:space="preserve"> NR</w:t>
      </w:r>
      <w:r w:rsidR="001F2982" w:rsidRPr="00134038">
        <w:rPr>
          <w:sz w:val="22"/>
          <w:szCs w:val="22"/>
        </w:rPr>
        <w:t xml:space="preserve"> </w:t>
      </w:r>
      <w:proofErr w:type="spellStart"/>
      <w:r w:rsidRPr="00134038">
        <w:rPr>
          <w:sz w:val="22"/>
          <w:szCs w:val="22"/>
        </w:rPr>
        <w:t>AdHoc</w:t>
      </w:r>
      <w:proofErr w:type="spellEnd"/>
      <w:r w:rsidR="001F2982" w:rsidRPr="00134038">
        <w:rPr>
          <w:sz w:val="22"/>
          <w:szCs w:val="22"/>
        </w:rPr>
        <w:t xml:space="preserve"> </w:t>
      </w:r>
      <w:r w:rsidR="00D610F8" w:rsidRPr="00134038">
        <w:rPr>
          <w:sz w:val="22"/>
          <w:szCs w:val="22"/>
        </w:rPr>
        <w:t>Chairman Notes</w:t>
      </w:r>
      <w:bookmarkEnd w:id="3"/>
      <w:r w:rsidRPr="00134038">
        <w:rPr>
          <w:sz w:val="22"/>
          <w:szCs w:val="22"/>
        </w:rPr>
        <w:t>, “Chairman’s Notes RAN1_NRadhoc_final”, January 16</w:t>
      </w:r>
      <w:r w:rsidRPr="00134038">
        <w:rPr>
          <w:sz w:val="22"/>
          <w:szCs w:val="22"/>
          <w:vertAlign w:val="superscript"/>
        </w:rPr>
        <w:t>th</w:t>
      </w:r>
      <w:r w:rsidRPr="00134038">
        <w:rPr>
          <w:sz w:val="22"/>
          <w:szCs w:val="22"/>
        </w:rPr>
        <w:t>-20</w:t>
      </w:r>
      <w:r w:rsidRPr="00134038">
        <w:rPr>
          <w:sz w:val="22"/>
          <w:szCs w:val="22"/>
          <w:vertAlign w:val="superscript"/>
        </w:rPr>
        <w:t>th</w:t>
      </w:r>
      <w:r w:rsidRPr="00134038">
        <w:rPr>
          <w:sz w:val="22"/>
          <w:szCs w:val="22"/>
        </w:rPr>
        <w:t xml:space="preserve">, </w:t>
      </w:r>
      <w:proofErr w:type="gramStart"/>
      <w:r w:rsidRPr="00134038">
        <w:rPr>
          <w:sz w:val="22"/>
          <w:szCs w:val="22"/>
        </w:rPr>
        <w:t>2017,  Spokane</w:t>
      </w:r>
      <w:proofErr w:type="gramEnd"/>
      <w:r w:rsidRPr="00134038">
        <w:rPr>
          <w:sz w:val="22"/>
          <w:szCs w:val="22"/>
        </w:rPr>
        <w:t>, USA.</w:t>
      </w:r>
      <w:bookmarkEnd w:id="4"/>
    </w:p>
    <w:p w14:paraId="251F6AC0" w14:textId="251E2A56" w:rsidR="0045054D" w:rsidRPr="00134038" w:rsidRDefault="0045054D" w:rsidP="005D4043">
      <w:pPr>
        <w:numPr>
          <w:ilvl w:val="0"/>
          <w:numId w:val="2"/>
        </w:numPr>
        <w:spacing w:before="100" w:beforeAutospacing="1" w:after="100" w:afterAutospacing="1"/>
        <w:ind w:left="562" w:hanging="562"/>
        <w:rPr>
          <w:sz w:val="22"/>
          <w:szCs w:val="22"/>
        </w:rPr>
      </w:pPr>
      <w:bookmarkStart w:id="6" w:name="_Ref478051053"/>
      <w:r w:rsidRPr="00134038">
        <w:rPr>
          <w:sz w:val="22"/>
          <w:szCs w:val="22"/>
        </w:rPr>
        <w:t xml:space="preserve">3GPP RAN1 </w:t>
      </w:r>
      <w:r w:rsidR="00747BA9" w:rsidRPr="00134038">
        <w:rPr>
          <w:sz w:val="22"/>
          <w:szCs w:val="22"/>
        </w:rPr>
        <w:t>#86</w:t>
      </w:r>
      <w:r w:rsidRPr="00134038">
        <w:rPr>
          <w:sz w:val="22"/>
          <w:szCs w:val="22"/>
        </w:rPr>
        <w:t xml:space="preserve"> Chairman Notes, “Chairman’s Notes RAN1_</w:t>
      </w:r>
      <w:r w:rsidR="00747BA9" w:rsidRPr="00134038">
        <w:rPr>
          <w:sz w:val="22"/>
          <w:szCs w:val="22"/>
        </w:rPr>
        <w:t>86</w:t>
      </w:r>
      <w:r w:rsidRPr="00134038">
        <w:rPr>
          <w:sz w:val="22"/>
          <w:szCs w:val="22"/>
        </w:rPr>
        <w:t xml:space="preserve">_final”, </w:t>
      </w:r>
      <w:r w:rsidR="00BC05BE" w:rsidRPr="00134038">
        <w:rPr>
          <w:sz w:val="22"/>
          <w:szCs w:val="22"/>
        </w:rPr>
        <w:t>August</w:t>
      </w:r>
      <w:r w:rsidRPr="00134038">
        <w:rPr>
          <w:sz w:val="22"/>
          <w:szCs w:val="22"/>
        </w:rPr>
        <w:t xml:space="preserve"> </w:t>
      </w:r>
      <w:r w:rsidR="00BC05BE" w:rsidRPr="00134038">
        <w:rPr>
          <w:sz w:val="22"/>
          <w:szCs w:val="22"/>
        </w:rPr>
        <w:t>22</w:t>
      </w:r>
      <w:r w:rsidR="00BC05BE" w:rsidRPr="00134038">
        <w:rPr>
          <w:sz w:val="22"/>
          <w:szCs w:val="22"/>
          <w:vertAlign w:val="superscript"/>
        </w:rPr>
        <w:t>nd</w:t>
      </w:r>
      <w:r w:rsidRPr="00134038">
        <w:rPr>
          <w:sz w:val="22"/>
          <w:szCs w:val="22"/>
        </w:rPr>
        <w:t>-2</w:t>
      </w:r>
      <w:r w:rsidR="00BC05BE" w:rsidRPr="00134038">
        <w:rPr>
          <w:sz w:val="22"/>
          <w:szCs w:val="22"/>
        </w:rPr>
        <w:t>6</w:t>
      </w:r>
      <w:r w:rsidRPr="00134038">
        <w:rPr>
          <w:sz w:val="22"/>
          <w:szCs w:val="22"/>
          <w:vertAlign w:val="superscript"/>
        </w:rPr>
        <w:t>th</w:t>
      </w:r>
      <w:r w:rsidR="00BC05BE" w:rsidRPr="00134038">
        <w:rPr>
          <w:sz w:val="22"/>
          <w:szCs w:val="22"/>
        </w:rPr>
        <w:t xml:space="preserve">, </w:t>
      </w:r>
      <w:proofErr w:type="gramStart"/>
      <w:r w:rsidR="00BC05BE" w:rsidRPr="00134038">
        <w:rPr>
          <w:sz w:val="22"/>
          <w:szCs w:val="22"/>
        </w:rPr>
        <w:t>2016</w:t>
      </w:r>
      <w:r w:rsidRPr="00134038">
        <w:rPr>
          <w:sz w:val="22"/>
          <w:szCs w:val="22"/>
        </w:rPr>
        <w:t xml:space="preserve">,  </w:t>
      </w:r>
      <w:r w:rsidR="00BC05BE" w:rsidRPr="00134038">
        <w:rPr>
          <w:sz w:val="22"/>
          <w:szCs w:val="22"/>
        </w:rPr>
        <w:t>Gothenburg</w:t>
      </w:r>
      <w:proofErr w:type="gramEnd"/>
      <w:r w:rsidRPr="00134038">
        <w:rPr>
          <w:sz w:val="22"/>
          <w:szCs w:val="22"/>
        </w:rPr>
        <w:t xml:space="preserve">, </w:t>
      </w:r>
      <w:r w:rsidR="00BC05BE" w:rsidRPr="00134038">
        <w:rPr>
          <w:sz w:val="22"/>
          <w:szCs w:val="22"/>
        </w:rPr>
        <w:t>Sweden.</w:t>
      </w:r>
      <w:bookmarkEnd w:id="6"/>
    </w:p>
    <w:p w14:paraId="5DDF0D30" w14:textId="668A3173" w:rsidR="00796D14" w:rsidRPr="00134038" w:rsidRDefault="00796D14" w:rsidP="005D4043">
      <w:pPr>
        <w:numPr>
          <w:ilvl w:val="0"/>
          <w:numId w:val="2"/>
        </w:numPr>
        <w:spacing w:before="100" w:beforeAutospacing="1" w:after="100" w:afterAutospacing="1"/>
        <w:ind w:left="562" w:hanging="562"/>
        <w:rPr>
          <w:sz w:val="22"/>
          <w:szCs w:val="22"/>
        </w:rPr>
      </w:pPr>
      <w:bookmarkStart w:id="7" w:name="_Ref477193355"/>
      <w:r w:rsidRPr="00134038">
        <w:rPr>
          <w:sz w:val="22"/>
          <w:szCs w:val="22"/>
        </w:rPr>
        <w:t>3GPP TR 38.913 “Study on scenarios and Requirements for next generation access technologies”.</w:t>
      </w:r>
      <w:bookmarkEnd w:id="7"/>
    </w:p>
    <w:bookmarkEnd w:id="5"/>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58F8A" w14:textId="77777777" w:rsidR="00E157C9" w:rsidRDefault="00E157C9">
      <w:r>
        <w:separator/>
      </w:r>
    </w:p>
  </w:endnote>
  <w:endnote w:type="continuationSeparator" w:id="0">
    <w:p w14:paraId="01582B99" w14:textId="77777777" w:rsidR="00E157C9" w:rsidRDefault="00E157C9">
      <w:r>
        <w:continuationSeparator/>
      </w:r>
    </w:p>
  </w:endnote>
  <w:endnote w:type="continuationNotice" w:id="1">
    <w:p w14:paraId="7B49D7D8" w14:textId="77777777" w:rsidR="00E157C9" w:rsidRDefault="00E15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F1F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1F51">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873FA" w14:textId="77777777" w:rsidR="00E157C9" w:rsidRDefault="00E157C9">
      <w:r>
        <w:separator/>
      </w:r>
    </w:p>
  </w:footnote>
  <w:footnote w:type="continuationSeparator" w:id="0">
    <w:p w14:paraId="70A8120E" w14:textId="77777777" w:rsidR="00E157C9" w:rsidRDefault="00E157C9">
      <w:r>
        <w:continuationSeparator/>
      </w:r>
    </w:p>
  </w:footnote>
  <w:footnote w:type="continuationNotice" w:id="1">
    <w:p w14:paraId="2514196D" w14:textId="77777777" w:rsidR="00E157C9" w:rsidRDefault="00E157C9">
      <w:pPr>
        <w:spacing w:after="0"/>
      </w:pPr>
    </w:p>
  </w:footnote>
  <w:footnote w:id="2">
    <w:p w14:paraId="63975BE3" w14:textId="615CFD8F" w:rsidR="00A37D0C" w:rsidRDefault="00A37D0C">
      <w:pPr>
        <w:pStyle w:val="FootnoteText"/>
      </w:pPr>
      <w:r>
        <w:rPr>
          <w:rStyle w:val="FootnoteReference"/>
        </w:rPr>
        <w:footnoteRef/>
      </w:r>
      <w:r>
        <w:t xml:space="preserve"> In practice, the pipeline resolution can be smaller, e.g. per-symbol, which leads to more efficient pipeline architecture with shorter delay.</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23430E"/>
    <w:multiLevelType w:val="hybridMultilevel"/>
    <w:tmpl w:val="CE009074"/>
    <w:lvl w:ilvl="0" w:tplc="328229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1">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5">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7">
    <w:nsid w:val="3FD75162"/>
    <w:multiLevelType w:val="hybridMultilevel"/>
    <w:tmpl w:val="432E8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9">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3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3">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39">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2"/>
  </w:num>
  <w:num w:numId="4">
    <w:abstractNumId w:val="23"/>
  </w:num>
  <w:num w:numId="5">
    <w:abstractNumId w:val="3"/>
  </w:num>
  <w:num w:numId="6">
    <w:abstractNumId w:val="13"/>
  </w:num>
  <w:num w:numId="7">
    <w:abstractNumId w:val="15"/>
  </w:num>
  <w:num w:numId="8">
    <w:abstractNumId w:val="1"/>
  </w:num>
  <w:num w:numId="9">
    <w:abstractNumId w:val="5"/>
  </w:num>
  <w:num w:numId="10">
    <w:abstractNumId w:val="4"/>
  </w:num>
  <w:num w:numId="11">
    <w:abstractNumId w:val="39"/>
  </w:num>
  <w:num w:numId="12">
    <w:abstractNumId w:val="30"/>
  </w:num>
  <w:num w:numId="13">
    <w:abstractNumId w:val="16"/>
  </w:num>
  <w:num w:numId="14">
    <w:abstractNumId w:val="10"/>
  </w:num>
  <w:num w:numId="15">
    <w:abstractNumId w:val="8"/>
  </w:num>
  <w:num w:numId="16">
    <w:abstractNumId w:val="12"/>
  </w:num>
  <w:num w:numId="17">
    <w:abstractNumId w:val="24"/>
  </w:num>
  <w:num w:numId="18">
    <w:abstractNumId w:val="35"/>
  </w:num>
  <w:num w:numId="19">
    <w:abstractNumId w:val="21"/>
  </w:num>
  <w:num w:numId="20">
    <w:abstractNumId w:val="7"/>
  </w:num>
  <w:num w:numId="21">
    <w:abstractNumId w:val="11"/>
  </w:num>
  <w:num w:numId="22">
    <w:abstractNumId w:val="34"/>
  </w:num>
  <w:num w:numId="23">
    <w:abstractNumId w:val="33"/>
  </w:num>
  <w:num w:numId="24">
    <w:abstractNumId w:val="28"/>
  </w:num>
  <w:num w:numId="25">
    <w:abstractNumId w:val="31"/>
  </w:num>
  <w:num w:numId="26">
    <w:abstractNumId w:val="40"/>
  </w:num>
  <w:num w:numId="27">
    <w:abstractNumId w:val="36"/>
  </w:num>
  <w:num w:numId="28">
    <w:abstractNumId w:val="2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2"/>
  </w:num>
  <w:num w:numId="32">
    <w:abstractNumId w:val="19"/>
  </w:num>
  <w:num w:numId="33">
    <w:abstractNumId w:val="14"/>
  </w:num>
  <w:num w:numId="34">
    <w:abstractNumId w:val="2"/>
  </w:num>
  <w:num w:numId="35">
    <w:abstractNumId w:val="41"/>
  </w:num>
  <w:num w:numId="36">
    <w:abstractNumId w:val="26"/>
  </w:num>
  <w:num w:numId="37">
    <w:abstractNumId w:val="38"/>
  </w:num>
  <w:num w:numId="38">
    <w:abstractNumId w:val="29"/>
  </w:num>
  <w:num w:numId="39">
    <w:abstractNumId w:val="20"/>
  </w:num>
  <w:num w:numId="40">
    <w:abstractNumId w:val="32"/>
  </w:num>
  <w:num w:numId="41">
    <w:abstractNumId w:val="32"/>
  </w:num>
  <w:num w:numId="42">
    <w:abstractNumId w:val="9"/>
  </w:num>
  <w:num w:numId="43">
    <w:abstractNumId w:val="17"/>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41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2B64"/>
    <w:rsid w:val="00D83401"/>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672"/>
    <w:rsid w:val="00FB3CD6"/>
    <w:rsid w:val="00FB3DC0"/>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250306C8-6B30-2840-A747-3584D70AB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294</TotalTime>
  <Pages>4</Pages>
  <Words>1147</Words>
  <Characters>6540</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11</cp:revision>
  <cp:lastPrinted>2014-11-07T05:38:00Z</cp:lastPrinted>
  <dcterms:created xsi:type="dcterms:W3CDTF">2017-03-13T22:26:00Z</dcterms:created>
  <dcterms:modified xsi:type="dcterms:W3CDTF">2017-03-24T01:51:00Z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