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E93EA8" w14:textId="1C8DCF4F" w:rsidR="00D660DA" w:rsidRPr="00D77ACE" w:rsidRDefault="00D660DA" w:rsidP="00D660DA">
      <w:pPr>
        <w:tabs>
          <w:tab w:val="right" w:pos="9360"/>
        </w:tabs>
        <w:spacing w:after="0"/>
        <w:rPr>
          <w:rFonts w:ascii="Arial" w:hAnsi="Arial" w:cs="Arial"/>
          <w:b/>
          <w:sz w:val="24"/>
          <w:szCs w:val="24"/>
          <w:lang w:val="en-US"/>
        </w:rPr>
      </w:pPr>
      <w:r>
        <w:rPr>
          <w:rFonts w:ascii="Arial" w:hAnsi="Arial" w:cs="Arial"/>
          <w:b/>
          <w:sz w:val="24"/>
          <w:szCs w:val="24"/>
          <w:lang w:val="en-US"/>
        </w:rPr>
        <w:t>3GPP TSG-RAN WG1 #8</w:t>
      </w:r>
      <w:r w:rsidR="00F47318">
        <w:rPr>
          <w:rFonts w:ascii="Arial" w:hAnsi="Arial" w:cs="Arial"/>
          <w:b/>
          <w:sz w:val="24"/>
          <w:szCs w:val="24"/>
          <w:lang w:val="en-US"/>
        </w:rPr>
        <w:t>8bis</w:t>
      </w:r>
      <w:r>
        <w:rPr>
          <w:rFonts w:ascii="Arial" w:hAnsi="Arial" w:cs="Arial"/>
          <w:b/>
          <w:sz w:val="24"/>
          <w:szCs w:val="24"/>
          <w:lang w:val="en-US"/>
        </w:rPr>
        <w:t xml:space="preserve">                                                          </w:t>
      </w:r>
      <w:r>
        <w:rPr>
          <w:rFonts w:ascii="Arial" w:hAnsi="Arial" w:cs="Arial"/>
          <w:b/>
          <w:sz w:val="24"/>
          <w:szCs w:val="24"/>
          <w:lang w:val="en-US"/>
        </w:rPr>
        <w:tab/>
        <w:t xml:space="preserve">            </w:t>
      </w:r>
      <w:r w:rsidR="00F47318" w:rsidRPr="00F47318">
        <w:rPr>
          <w:rFonts w:ascii="Arial" w:hAnsi="Arial" w:cs="Arial"/>
          <w:b/>
          <w:sz w:val="24"/>
          <w:szCs w:val="24"/>
          <w:lang w:val="en-US"/>
        </w:rPr>
        <w:t>R1-1705002</w:t>
      </w:r>
    </w:p>
    <w:p w14:paraId="15251CEF" w14:textId="56F98D3B" w:rsidR="00995160" w:rsidRPr="001033C9" w:rsidRDefault="00F47318" w:rsidP="00995160">
      <w:pPr>
        <w:tabs>
          <w:tab w:val="right" w:pos="9360"/>
        </w:tabs>
        <w:spacing w:after="0"/>
        <w:rPr>
          <w:rFonts w:ascii="Arial" w:hAnsi="Arial" w:cs="Arial"/>
          <w:b/>
          <w:sz w:val="24"/>
          <w:szCs w:val="24"/>
          <w:lang w:val="en-US"/>
        </w:rPr>
      </w:pPr>
      <w:r>
        <w:rPr>
          <w:rFonts w:ascii="Arial" w:hAnsi="Arial" w:cs="Arial"/>
          <w:b/>
          <w:sz w:val="24"/>
          <w:szCs w:val="24"/>
          <w:lang w:val="en-US"/>
        </w:rPr>
        <w:t>3rd</w:t>
      </w:r>
      <w:r w:rsidR="00995160">
        <w:rPr>
          <w:rFonts w:ascii="Arial" w:hAnsi="Arial" w:cs="Arial"/>
          <w:b/>
          <w:sz w:val="24"/>
          <w:szCs w:val="24"/>
          <w:lang w:val="en-US"/>
        </w:rPr>
        <w:t xml:space="preserve"> –</w:t>
      </w:r>
      <w:r>
        <w:rPr>
          <w:rFonts w:ascii="Arial" w:hAnsi="Arial" w:cs="Arial"/>
          <w:b/>
          <w:sz w:val="24"/>
          <w:szCs w:val="24"/>
          <w:lang w:val="en-US"/>
        </w:rPr>
        <w:t xml:space="preserve"> </w:t>
      </w:r>
      <w:r w:rsidR="00EC3C6A">
        <w:rPr>
          <w:rFonts w:ascii="Arial" w:hAnsi="Arial" w:cs="Arial"/>
          <w:b/>
          <w:sz w:val="24"/>
          <w:szCs w:val="24"/>
          <w:lang w:val="en-US"/>
        </w:rPr>
        <w:t>7</w:t>
      </w:r>
      <w:r w:rsidR="00995160">
        <w:rPr>
          <w:rFonts w:ascii="Arial" w:hAnsi="Arial" w:cs="Arial"/>
          <w:b/>
          <w:sz w:val="24"/>
          <w:szCs w:val="24"/>
          <w:lang w:val="en-US"/>
        </w:rPr>
        <w:t xml:space="preserve">th </w:t>
      </w:r>
      <w:r>
        <w:rPr>
          <w:rFonts w:ascii="Arial" w:hAnsi="Arial" w:cs="Arial"/>
          <w:b/>
          <w:sz w:val="24"/>
          <w:szCs w:val="24"/>
          <w:lang w:val="en-US"/>
        </w:rPr>
        <w:t>April</w:t>
      </w:r>
      <w:r w:rsidR="00995160" w:rsidRPr="001033C9">
        <w:rPr>
          <w:rFonts w:ascii="Arial" w:hAnsi="Arial" w:cs="Arial"/>
          <w:b/>
          <w:sz w:val="24"/>
          <w:szCs w:val="24"/>
          <w:lang w:val="en-US"/>
        </w:rPr>
        <w:t>, 201</w:t>
      </w:r>
      <w:r w:rsidR="00EC3C6A">
        <w:rPr>
          <w:rFonts w:ascii="Arial" w:hAnsi="Arial" w:cs="Arial"/>
          <w:b/>
          <w:sz w:val="24"/>
          <w:szCs w:val="24"/>
          <w:lang w:val="en-US"/>
        </w:rPr>
        <w:t>7</w:t>
      </w:r>
    </w:p>
    <w:p w14:paraId="4BD3BC4A" w14:textId="12F52810" w:rsidR="00995160" w:rsidRDefault="00F47318" w:rsidP="00995160">
      <w:pPr>
        <w:tabs>
          <w:tab w:val="right" w:pos="9360"/>
        </w:tabs>
        <w:spacing w:after="0"/>
        <w:rPr>
          <w:rFonts w:ascii="Arial" w:hAnsi="Arial" w:cs="Arial"/>
          <w:b/>
          <w:sz w:val="24"/>
          <w:szCs w:val="24"/>
          <w:lang w:val="en-US"/>
        </w:rPr>
      </w:pPr>
      <w:r>
        <w:rPr>
          <w:rFonts w:ascii="Arial" w:hAnsi="Arial" w:cs="Arial"/>
          <w:b/>
          <w:sz w:val="24"/>
          <w:szCs w:val="24"/>
          <w:lang w:val="en-US"/>
        </w:rPr>
        <w:t>Spokane, USA</w:t>
      </w:r>
    </w:p>
    <w:p w14:paraId="4283AD23" w14:textId="77777777" w:rsidR="00DB74FF" w:rsidRDefault="00DB74FF" w:rsidP="00317899">
      <w:pPr>
        <w:tabs>
          <w:tab w:val="right" w:pos="10000"/>
        </w:tabs>
        <w:spacing w:after="0"/>
        <w:rPr>
          <w:rFonts w:ascii="Arial" w:hAnsi="Arial" w:cs="Arial"/>
          <w:b/>
          <w:sz w:val="24"/>
          <w:szCs w:val="24"/>
          <w:lang w:val="en-US"/>
        </w:rPr>
      </w:pPr>
    </w:p>
    <w:p w14:paraId="5095F84C" w14:textId="34096DC2"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0" w:name="Source"/>
      <w:bookmarkEnd w:id="0"/>
      <w:r w:rsidR="00F47318" w:rsidRPr="00F47318">
        <w:rPr>
          <w:rFonts w:ascii="Arial" w:hAnsi="Arial"/>
          <w:sz w:val="24"/>
          <w:lang w:val="en-US"/>
        </w:rPr>
        <w:t>7.2.3.2</w:t>
      </w:r>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12984587" w14:textId="4F93B307" w:rsidR="00317899" w:rsidRPr="005D0F9B" w:rsidRDefault="00317899" w:rsidP="00317899">
      <w:pPr>
        <w:ind w:left="1988" w:hanging="1988"/>
        <w:rPr>
          <w:rFonts w:ascii="Arial" w:hAnsi="Arial"/>
          <w:sz w:val="24"/>
          <w:szCs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F47318" w:rsidRPr="00F47318">
        <w:rPr>
          <w:rFonts w:ascii="Arial" w:hAnsi="Arial"/>
          <w:sz w:val="24"/>
          <w:lang w:val="en-US"/>
        </w:rPr>
        <w:t>Feasibility and gain of PC5 operation with Transmit Diversity</w:t>
      </w:r>
    </w:p>
    <w:p w14:paraId="76B0159F" w14:textId="77777777" w:rsidR="00317899" w:rsidRPr="00E21680" w:rsidRDefault="00317899" w:rsidP="00317899">
      <w:pPr>
        <w:jc w:val="both"/>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5C3A5CD6" w14:textId="66099049" w:rsidR="00410201" w:rsidRDefault="00317899" w:rsidP="001C534A">
      <w:pPr>
        <w:pStyle w:val="Heading1"/>
        <w:numPr>
          <w:ilvl w:val="0"/>
          <w:numId w:val="2"/>
        </w:numPr>
      </w:pPr>
      <w:r>
        <w:t>Introduction</w:t>
      </w:r>
    </w:p>
    <w:p w14:paraId="58FB0DFD" w14:textId="0DE919FD" w:rsidR="0049078E" w:rsidRDefault="00054B46" w:rsidP="00F873E4">
      <w:pPr>
        <w:jc w:val="both"/>
      </w:pPr>
      <w:r>
        <w:t xml:space="preserve">In </w:t>
      </w:r>
      <w:r w:rsidR="0049078E">
        <w:t xml:space="preserve">RAN #75, </w:t>
      </w:r>
      <w:r w:rsidR="004E16D7">
        <w:t xml:space="preserve">one of the objective in the agreed V2X Phase 2 WI is to </w:t>
      </w:r>
      <w:r w:rsidR="0049078E">
        <w:t>study and specify (if justified) transmit diversity for PC5 operation [RP-170798]:</w:t>
      </w:r>
    </w:p>
    <w:tbl>
      <w:tblPr>
        <w:tblStyle w:val="TableGrid"/>
        <w:tblW w:w="0" w:type="auto"/>
        <w:tblInd w:w="265" w:type="dxa"/>
        <w:tblLook w:val="04A0" w:firstRow="1" w:lastRow="0" w:firstColumn="1" w:lastColumn="0" w:noHBand="0" w:noVBand="1"/>
      </w:tblPr>
      <w:tblGrid>
        <w:gridCol w:w="9085"/>
      </w:tblGrid>
      <w:tr w:rsidR="0049078E" w14:paraId="2EDD8B11" w14:textId="77777777" w:rsidTr="0049078E">
        <w:tc>
          <w:tcPr>
            <w:tcW w:w="9085" w:type="dxa"/>
          </w:tcPr>
          <w:p w14:paraId="1299BC68" w14:textId="1E6B33A7" w:rsidR="0049078E" w:rsidRPr="0049078E" w:rsidRDefault="0049078E" w:rsidP="00F873E4">
            <w:pPr>
              <w:jc w:val="both"/>
              <w:rPr>
                <w:i/>
              </w:rPr>
            </w:pPr>
            <w:r w:rsidRPr="0049078E">
              <w:rPr>
                <w:i/>
              </w:rPr>
              <w:t>Study the feasibility and gain of PC5 operation with Transmit Diversity, assuming this PC5 functionality would co-exist in the same resource pools as Rel-14 functionality and use the same scheduling assignment format (which can be decoded by Rel-14 UEs), without causing significant degradation to Rel-14 PC5 operation compared to that of Rel-14 UEs, and specify this PC5 functionality if justified. [RAN1, RAN2, RAN4]</w:t>
            </w:r>
          </w:p>
        </w:tc>
      </w:tr>
    </w:tbl>
    <w:p w14:paraId="244DAEEA" w14:textId="77777777" w:rsidR="0049078E" w:rsidRDefault="0049078E" w:rsidP="0049078E">
      <w:pPr>
        <w:jc w:val="both"/>
      </w:pPr>
    </w:p>
    <w:p w14:paraId="24DE1374" w14:textId="7FF951C7" w:rsidR="003A17AE" w:rsidRDefault="0049078E" w:rsidP="0049078E">
      <w:pPr>
        <w:jc w:val="both"/>
      </w:pPr>
      <w:r>
        <w:t xml:space="preserve">In this contribution, we provide </w:t>
      </w:r>
      <w:r w:rsidR="008F1C2C">
        <w:t>some preliminary</w:t>
      </w:r>
      <w:r>
        <w:t xml:space="preserve"> </w:t>
      </w:r>
      <w:r w:rsidR="008F1C2C">
        <w:t xml:space="preserve">discussion </w:t>
      </w:r>
      <w:r>
        <w:t>on this objective.</w:t>
      </w:r>
    </w:p>
    <w:p w14:paraId="6D10FA08" w14:textId="39537AE4" w:rsidR="008B368F" w:rsidRDefault="004E16D7" w:rsidP="001C534A">
      <w:pPr>
        <w:pStyle w:val="Heading1"/>
        <w:numPr>
          <w:ilvl w:val="0"/>
          <w:numId w:val="2"/>
        </w:numPr>
      </w:pPr>
      <w:r>
        <w:t>Transmit diversity for V2X</w:t>
      </w:r>
    </w:p>
    <w:p w14:paraId="1761DE28" w14:textId="7336E49D" w:rsidR="007E787A" w:rsidRDefault="00297268" w:rsidP="001C534A">
      <w:pPr>
        <w:pStyle w:val="Heading2"/>
        <w:numPr>
          <w:ilvl w:val="1"/>
          <w:numId w:val="2"/>
        </w:numPr>
        <w:ind w:left="0" w:firstLine="0"/>
      </w:pPr>
      <w:r>
        <w:t>Potential gains: link level performance with single-port Rel-14 transmissions</w:t>
      </w:r>
    </w:p>
    <w:p w14:paraId="78253267" w14:textId="0223B213" w:rsidR="00241BBA" w:rsidRDefault="00A442EC" w:rsidP="00A442EC">
      <w:pPr>
        <w:jc w:val="both"/>
      </w:pPr>
      <w:r>
        <w:t xml:space="preserve">While not explicitly stated in the objective, the primary intention of this work (in our understanding) was to study and introduce (if justified) a transmit diversity scheme for data channel (PSSCH). </w:t>
      </w:r>
      <w:r w:rsidR="00E20A2B">
        <w:t>With the</w:t>
      </w:r>
      <w:r>
        <w:t xml:space="preserve"> Rel-14 PSCCH link curves </w:t>
      </w:r>
      <w:r w:rsidR="00E20A2B">
        <w:t xml:space="preserve">being </w:t>
      </w:r>
      <w:r>
        <w:t xml:space="preserve">unchanged (ideally), we </w:t>
      </w:r>
      <w:r w:rsidR="00E20A2B">
        <w:t xml:space="preserve">can then </w:t>
      </w:r>
      <w:r>
        <w:t xml:space="preserve">look at the link curves for PSSCH for different MCS to investigate if </w:t>
      </w:r>
      <w:r w:rsidR="00241BBA">
        <w:t>there are any gains to be exploited using transmit diversity for data.</w:t>
      </w:r>
    </w:p>
    <w:p w14:paraId="15581D81" w14:textId="18AB32CE" w:rsidR="00B9262F" w:rsidRDefault="00B9262F" w:rsidP="00A442EC">
      <w:pPr>
        <w:jc w:val="both"/>
      </w:pPr>
      <w:r>
        <w:fldChar w:fldCharType="begin"/>
      </w:r>
      <w:r>
        <w:instrText xml:space="preserve"> REF _Ref478104762 \h </w:instrText>
      </w:r>
      <w:r>
        <w:fldChar w:fldCharType="separate"/>
      </w:r>
      <w:r w:rsidR="00E20A2B">
        <w:t xml:space="preserve">Figure </w:t>
      </w:r>
      <w:r w:rsidR="00E20A2B">
        <w:rPr>
          <w:noProof/>
        </w:rPr>
        <w:t>1</w:t>
      </w:r>
      <w:r>
        <w:fldChar w:fldCharType="end"/>
      </w:r>
      <w:r>
        <w:t xml:space="preserve"> and </w:t>
      </w:r>
      <w:r>
        <w:fldChar w:fldCharType="begin"/>
      </w:r>
      <w:r>
        <w:instrText xml:space="preserve"> REF _Ref478104765 \h </w:instrText>
      </w:r>
      <w:r>
        <w:fldChar w:fldCharType="separate"/>
      </w:r>
      <w:r w:rsidR="00E20A2B">
        <w:t xml:space="preserve">Figure </w:t>
      </w:r>
      <w:r w:rsidR="00E20A2B">
        <w:rPr>
          <w:noProof/>
        </w:rPr>
        <w:t>2</w:t>
      </w:r>
      <w:r>
        <w:fldChar w:fldCharType="end"/>
      </w:r>
      <w:r>
        <w:t xml:space="preserve"> compare the link level performance of PSCCH and PSSCH for low Doppler (speed of 15kmphr) and high Doppler (speed of 250kmphr) channels, respectively. MCS 0…10 are simulated for PSSCH with the number of RBs fixed to 10 RBs, and TBS size determined by the MCS. Further note that the link curve for PSCCH does not account for PSD boosting – thus for a given link, the PSCCH SNR is 3dB better than for PSSCH. In other words, from viewpoint of a single link, the effective PSCCH link curve is improved by 3dB SNR boost.</w:t>
      </w:r>
    </w:p>
    <w:p w14:paraId="7C74F460" w14:textId="2F1D760B" w:rsidR="00B9262F" w:rsidRDefault="00B9262F" w:rsidP="00A442EC">
      <w:pPr>
        <w:jc w:val="both"/>
      </w:pPr>
      <w:r>
        <w:t xml:space="preserve">We observe that PSSCH </w:t>
      </w:r>
      <w:r w:rsidR="008A23CC">
        <w:t xml:space="preserve">link performance </w:t>
      </w:r>
      <w:r>
        <w:t xml:space="preserve">can be the bottleneck in many cases compared to PSCCH, and it might be worth exploring transmit diversity schemes for PSSCH. </w:t>
      </w:r>
      <w:r w:rsidR="008A23CC">
        <w:t>In high speeds, channel estimation becomes quite challenging and impacts the performance of PSSCH and PSCCH. Hence the impact of introducing transmit diversity in high-Doppler channels should also be investigated.</w:t>
      </w:r>
    </w:p>
    <w:p w14:paraId="18466089" w14:textId="5EF227C2" w:rsidR="008A23CC" w:rsidRDefault="008A23CC" w:rsidP="00A442EC">
      <w:pPr>
        <w:jc w:val="both"/>
      </w:pPr>
    </w:p>
    <w:p w14:paraId="1EF98815" w14:textId="3488A214" w:rsidR="008A23CC" w:rsidRDefault="008A23CC" w:rsidP="008A23CC">
      <w:pPr>
        <w:tabs>
          <w:tab w:val="left" w:pos="2154"/>
        </w:tabs>
        <w:jc w:val="both"/>
      </w:pPr>
      <w:r w:rsidRPr="00DF25D1">
        <w:rPr>
          <w:b/>
        </w:rPr>
        <w:t xml:space="preserve">Observation </w:t>
      </w:r>
      <w:r>
        <w:rPr>
          <w:b/>
        </w:rPr>
        <w:t xml:space="preserve">1: </w:t>
      </w:r>
      <w:r>
        <w:t>Transmit diversity for PSSCH may provide potential gains to link performance; however, the achievable gains need to be investigated in both low- and high-Doppler channels.</w:t>
      </w:r>
    </w:p>
    <w:p w14:paraId="0AEC1BF7" w14:textId="77777777" w:rsidR="008A23CC" w:rsidRDefault="008A23CC" w:rsidP="00A442EC">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977F88" w14:paraId="551BE618" w14:textId="77777777" w:rsidTr="008A23CC">
        <w:tc>
          <w:tcPr>
            <w:tcW w:w="9350" w:type="dxa"/>
          </w:tcPr>
          <w:p w14:paraId="66EBBF3F" w14:textId="0C3D1788" w:rsidR="00A608E2" w:rsidRDefault="00E20A2B" w:rsidP="00A608E2">
            <w:pPr>
              <w:keepNext/>
              <w:jc w:val="center"/>
            </w:pPr>
            <w:r w:rsidRPr="00E20A2B">
              <w:rPr>
                <w:noProof/>
                <w:lang w:val="en-US"/>
              </w:rPr>
              <w:lastRenderedPageBreak/>
              <w:drawing>
                <wp:inline distT="0" distB="0" distL="0" distR="0" wp14:anchorId="549F8C18" wp14:editId="2C7E818F">
                  <wp:extent cx="5934075" cy="2838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4075" cy="2838450"/>
                          </a:xfrm>
                          <a:prstGeom prst="rect">
                            <a:avLst/>
                          </a:prstGeom>
                          <a:noFill/>
                          <a:ln>
                            <a:noFill/>
                          </a:ln>
                        </pic:spPr>
                      </pic:pic>
                    </a:graphicData>
                  </a:graphic>
                </wp:inline>
              </w:drawing>
            </w:r>
          </w:p>
          <w:p w14:paraId="57BBA7A9" w14:textId="26644701" w:rsidR="00977F88" w:rsidRDefault="00A608E2" w:rsidP="00A608E2">
            <w:pPr>
              <w:pStyle w:val="Caption"/>
              <w:jc w:val="center"/>
            </w:pPr>
            <w:bookmarkStart w:id="2" w:name="_Ref478104762"/>
            <w:r>
              <w:t xml:space="preserve">Figure </w:t>
            </w:r>
            <w:r>
              <w:fldChar w:fldCharType="begin"/>
            </w:r>
            <w:r>
              <w:instrText xml:space="preserve"> SEQ Figure \* ARABIC </w:instrText>
            </w:r>
            <w:r>
              <w:fldChar w:fldCharType="separate"/>
            </w:r>
            <w:r w:rsidR="00E20A2B">
              <w:rPr>
                <w:noProof/>
              </w:rPr>
              <w:t>1</w:t>
            </w:r>
            <w:r>
              <w:fldChar w:fldCharType="end"/>
            </w:r>
            <w:bookmarkEnd w:id="2"/>
            <w:r>
              <w:t xml:space="preserve">: </w:t>
            </w:r>
            <w:r w:rsidRPr="00EC47CE">
              <w:t>Link level performance of PSCCH and PSSCH (MCS 0...10; NRB = 10); Speed = 15kmphr (opposite direction Tx-Rx)</w:t>
            </w:r>
          </w:p>
        </w:tc>
      </w:tr>
      <w:tr w:rsidR="00977F88" w14:paraId="68FC25C1" w14:textId="77777777" w:rsidTr="008A23CC">
        <w:tc>
          <w:tcPr>
            <w:tcW w:w="9350" w:type="dxa"/>
          </w:tcPr>
          <w:p w14:paraId="576D16FD" w14:textId="3E42CEBB" w:rsidR="0043085C" w:rsidRDefault="00CF34D9" w:rsidP="0043085C">
            <w:pPr>
              <w:keepNext/>
              <w:jc w:val="both"/>
            </w:pPr>
            <w:bookmarkStart w:id="3" w:name="_GoBack"/>
            <w:r w:rsidRPr="00CF34D9">
              <w:rPr>
                <w:noProof/>
                <w:lang w:val="en-US"/>
              </w:rPr>
              <w:drawing>
                <wp:inline distT="0" distB="0" distL="0" distR="0" wp14:anchorId="164C3247" wp14:editId="74DC30A3">
                  <wp:extent cx="5934075" cy="2847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4075" cy="2847975"/>
                          </a:xfrm>
                          <a:prstGeom prst="rect">
                            <a:avLst/>
                          </a:prstGeom>
                          <a:noFill/>
                          <a:ln>
                            <a:noFill/>
                          </a:ln>
                        </pic:spPr>
                      </pic:pic>
                    </a:graphicData>
                  </a:graphic>
                </wp:inline>
              </w:drawing>
            </w:r>
            <w:bookmarkEnd w:id="3"/>
          </w:p>
          <w:p w14:paraId="2A570F8C" w14:textId="14C1B3EA" w:rsidR="00977F88" w:rsidRDefault="0043085C" w:rsidP="0043085C">
            <w:pPr>
              <w:pStyle w:val="Caption"/>
              <w:jc w:val="center"/>
            </w:pPr>
            <w:bookmarkStart w:id="4" w:name="_Ref478104765"/>
            <w:r>
              <w:t xml:space="preserve">Figure </w:t>
            </w:r>
            <w:r>
              <w:fldChar w:fldCharType="begin"/>
            </w:r>
            <w:r>
              <w:instrText xml:space="preserve"> SEQ Figure \* ARABIC </w:instrText>
            </w:r>
            <w:r>
              <w:fldChar w:fldCharType="separate"/>
            </w:r>
            <w:r w:rsidR="00E20A2B">
              <w:rPr>
                <w:noProof/>
              </w:rPr>
              <w:t>2</w:t>
            </w:r>
            <w:r>
              <w:fldChar w:fldCharType="end"/>
            </w:r>
            <w:bookmarkEnd w:id="4"/>
            <w:r>
              <w:t xml:space="preserve">: </w:t>
            </w:r>
            <w:r w:rsidRPr="00EC47CE">
              <w:t>Link level performance of PSCCH and PSSCH (MCS 0...10; N</w:t>
            </w:r>
            <w:r>
              <w:t>RB = 10); Speed = 250</w:t>
            </w:r>
            <w:r w:rsidRPr="00EC47CE">
              <w:t>kmphr (opposite direction Tx-Rx)</w:t>
            </w:r>
          </w:p>
        </w:tc>
      </w:tr>
    </w:tbl>
    <w:p w14:paraId="0289AFF2" w14:textId="73B8DB21" w:rsidR="00E6499D" w:rsidRDefault="00E6499D" w:rsidP="001C534A">
      <w:pPr>
        <w:pStyle w:val="Heading2"/>
        <w:numPr>
          <w:ilvl w:val="1"/>
          <w:numId w:val="2"/>
        </w:numPr>
        <w:ind w:left="0" w:firstLine="0"/>
      </w:pPr>
      <w:r>
        <w:t xml:space="preserve">Transmit diversity for </w:t>
      </w:r>
      <w:r w:rsidR="00F60A8A">
        <w:t>d</w:t>
      </w:r>
      <w:r>
        <w:t>ata</w:t>
      </w:r>
      <w:r w:rsidR="00E51CE3">
        <w:t xml:space="preserve"> </w:t>
      </w:r>
      <w:r w:rsidR="00F60A8A">
        <w:t xml:space="preserve">channel </w:t>
      </w:r>
      <w:r w:rsidR="00E51CE3">
        <w:t>(PSSCH)</w:t>
      </w:r>
    </w:p>
    <w:p w14:paraId="1EF92617" w14:textId="1F9BCC5D" w:rsidR="00955E0A" w:rsidRDefault="00850187" w:rsidP="00955E0A">
      <w:pPr>
        <w:jc w:val="both"/>
      </w:pPr>
      <w:r>
        <w:t>Transmit diversity schemes for SC-FDM waveform (LTE</w:t>
      </w:r>
      <w:r w:rsidR="00955E0A">
        <w:t>-A</w:t>
      </w:r>
      <w:r>
        <w:t xml:space="preserve"> UL and recently NR) has been quite </w:t>
      </w:r>
      <w:r w:rsidR="00955E0A">
        <w:t xml:space="preserve">extensively </w:t>
      </w:r>
      <w:r>
        <w:t>studied in 3GPP</w:t>
      </w:r>
      <w:r w:rsidR="00955E0A">
        <w:t xml:space="preserve"> (e.g. for PUSCH:</w:t>
      </w:r>
      <w:r>
        <w:t xml:space="preserve"> </w:t>
      </w:r>
      <w:r w:rsidR="00955E0A" w:rsidRPr="00955E0A">
        <w:t>R1</w:t>
      </w:r>
      <w:r w:rsidR="00955E0A" w:rsidRPr="00955E0A">
        <w:rPr>
          <w:rFonts w:ascii="Cambria Math" w:hAnsi="Cambria Math" w:cs="Cambria Math"/>
        </w:rPr>
        <w:t>‑</w:t>
      </w:r>
      <w:r w:rsidR="00955E0A" w:rsidRPr="00955E0A">
        <w:t>091463, R1</w:t>
      </w:r>
      <w:r w:rsidR="00955E0A" w:rsidRPr="00955E0A">
        <w:rPr>
          <w:rFonts w:ascii="Cambria Math" w:hAnsi="Cambria Math" w:cs="Cambria Math"/>
        </w:rPr>
        <w:t>‑</w:t>
      </w:r>
      <w:r w:rsidR="00955E0A" w:rsidRPr="00955E0A">
        <w:t>091546, R1</w:t>
      </w:r>
      <w:r w:rsidR="00955E0A" w:rsidRPr="00955E0A">
        <w:rPr>
          <w:rFonts w:ascii="Cambria Math" w:hAnsi="Cambria Math" w:cs="Cambria Math"/>
        </w:rPr>
        <w:t>‑</w:t>
      </w:r>
      <w:r w:rsidR="00955E0A" w:rsidRPr="00955E0A">
        <w:t>091212, R1</w:t>
      </w:r>
      <w:r w:rsidR="00955E0A" w:rsidRPr="00955E0A">
        <w:rPr>
          <w:rFonts w:ascii="Cambria Math" w:hAnsi="Cambria Math" w:cs="Cambria Math"/>
        </w:rPr>
        <w:t>‑</w:t>
      </w:r>
      <w:r w:rsidR="00955E0A" w:rsidRPr="00955E0A">
        <w:t>091244, R1</w:t>
      </w:r>
      <w:r w:rsidR="00955E0A" w:rsidRPr="00955E0A">
        <w:rPr>
          <w:rFonts w:ascii="Cambria Math" w:hAnsi="Cambria Math" w:cs="Cambria Math"/>
        </w:rPr>
        <w:t>‑</w:t>
      </w:r>
      <w:r w:rsidR="00955E0A" w:rsidRPr="00955E0A">
        <w:t>091278</w:t>
      </w:r>
      <w:r w:rsidR="00C97C6C">
        <w:t>, etc.</w:t>
      </w:r>
      <w:r w:rsidR="00955E0A">
        <w:t>;</w:t>
      </w:r>
      <w:r w:rsidR="00C97C6C">
        <w:t xml:space="preserve"> and</w:t>
      </w:r>
      <w:r w:rsidR="00955E0A">
        <w:t xml:space="preserve"> e.g. for current discussion on NR UL: </w:t>
      </w:r>
      <w:r w:rsidR="00955E0A" w:rsidRPr="00955E0A">
        <w:t>R1-1702601, R1-1701925</w:t>
      </w:r>
      <w:r w:rsidR="00C97C6C">
        <w:t>, etc.</w:t>
      </w:r>
      <w:r w:rsidR="00955E0A">
        <w:t>)</w:t>
      </w:r>
      <w:r>
        <w:t xml:space="preserve">. </w:t>
      </w:r>
    </w:p>
    <w:p w14:paraId="4F057DEB" w14:textId="0DB2F7DD" w:rsidR="00850187" w:rsidRDefault="00850187" w:rsidP="00955E0A">
      <w:pPr>
        <w:jc w:val="both"/>
      </w:pPr>
      <w:r>
        <w:t xml:space="preserve">The </w:t>
      </w:r>
      <w:r w:rsidR="00955E0A">
        <w:t xml:space="preserve">purpose </w:t>
      </w:r>
      <w:r>
        <w:t>of this section is to present the alternatives and down-select som</w:t>
      </w:r>
      <w:r w:rsidR="00955E0A">
        <w:t xml:space="preserve">e schemes for initial analysis. </w:t>
      </w:r>
      <w:r w:rsidR="00E15271">
        <w:t xml:space="preserve">We propose to focus of 2-Tx transmit diversity schemes for PSSCH. </w:t>
      </w:r>
      <w:r w:rsidR="00C97C6C">
        <w:t xml:space="preserve">Compared to prior work and analysis on UL transmit diversity, one differentiating </w:t>
      </w:r>
      <w:r w:rsidR="00D928DD">
        <w:t xml:space="preserve">factor for V2X is high-Doppler. In Rel-14 signal design, it was observed that channel estimation becomes the bottleneck in high-Doppler cases. This may change the </w:t>
      </w:r>
      <w:r w:rsidR="00F20179">
        <w:t>trade-offs</w:t>
      </w:r>
      <w:r w:rsidR="00D928DD">
        <w:t>, e.g., in favour of schemes that do not need separate DMRS port (small delay CDD)</w:t>
      </w:r>
      <w:r w:rsidR="00F20179">
        <w:t>, and remains to be evaluated.</w:t>
      </w:r>
    </w:p>
    <w:p w14:paraId="25DB8379" w14:textId="5E3A3D2D" w:rsidR="0029756E" w:rsidRDefault="0029756E" w:rsidP="00955E0A">
      <w:pPr>
        <w:jc w:val="both"/>
      </w:pPr>
      <w:r>
        <w:t>The key comparison factors include:</w:t>
      </w:r>
    </w:p>
    <w:p w14:paraId="068718E6" w14:textId="0E35BD55" w:rsidR="0029756E" w:rsidRDefault="0029756E" w:rsidP="0029756E">
      <w:pPr>
        <w:pStyle w:val="ListParagraph"/>
        <w:numPr>
          <w:ilvl w:val="0"/>
          <w:numId w:val="6"/>
        </w:numPr>
        <w:jc w:val="both"/>
      </w:pPr>
      <w:r>
        <w:t>Diversity order – performance</w:t>
      </w:r>
    </w:p>
    <w:p w14:paraId="2B99C0AF" w14:textId="7B3962B4" w:rsidR="0029756E" w:rsidRDefault="0029756E" w:rsidP="0029756E">
      <w:pPr>
        <w:pStyle w:val="ListParagraph"/>
        <w:numPr>
          <w:ilvl w:val="0"/>
          <w:numId w:val="6"/>
        </w:numPr>
        <w:jc w:val="both"/>
      </w:pPr>
      <w:r>
        <w:t>Transparent / non-Transparent – Transparent schemes can be decoded by Rel-14 UEs, will not need any indication in PSCCH using reserved bits, and will not need separate DMRS port</w:t>
      </w:r>
    </w:p>
    <w:p w14:paraId="638C905F" w14:textId="79C0DBD6" w:rsidR="0029756E" w:rsidRDefault="0029756E" w:rsidP="0029756E">
      <w:pPr>
        <w:pStyle w:val="ListParagraph"/>
        <w:numPr>
          <w:ilvl w:val="0"/>
          <w:numId w:val="6"/>
        </w:numPr>
        <w:jc w:val="both"/>
      </w:pPr>
      <w:r>
        <w:t xml:space="preserve">DMRS port –for non-transparent schemes, </w:t>
      </w:r>
      <w:r w:rsidR="000924F3">
        <w:t xml:space="preserve">orthogonal DMRS ports will be needed (different cyclic shift). This can </w:t>
      </w:r>
      <w:r>
        <w:t xml:space="preserve">degrade the channel estimation performance </w:t>
      </w:r>
      <w:r w:rsidR="00E75961">
        <w:t>on each port</w:t>
      </w:r>
      <w:r w:rsidR="000924F3">
        <w:t xml:space="preserve"> due to </w:t>
      </w:r>
      <w:r w:rsidR="006B04B5">
        <w:t>reduced power (3dB) on each transmit antenna</w:t>
      </w:r>
      <w:r>
        <w:t xml:space="preserve">. </w:t>
      </w:r>
      <w:r w:rsidR="00F45E86">
        <w:t>Degraded channel estimation may counter</w:t>
      </w:r>
      <w:r>
        <w:t xml:space="preserve"> some of the diversity advantage.</w:t>
      </w:r>
    </w:p>
    <w:p w14:paraId="09CB43D2" w14:textId="40D93C6D" w:rsidR="009A39C4" w:rsidRDefault="009A39C4" w:rsidP="00955E0A">
      <w:pPr>
        <w:jc w:val="both"/>
      </w:pPr>
      <w:r>
        <w:t>Some of the transmit diversity schemes</w:t>
      </w:r>
      <w:r w:rsidR="002E0E2F">
        <w:t xml:space="preserve"> for PSSCH</w:t>
      </w:r>
      <w:r>
        <w:t xml:space="preserve"> possible are discussed below</w:t>
      </w:r>
      <w:r w:rsidR="00096447">
        <w:t>.</w:t>
      </w:r>
    </w:p>
    <w:p w14:paraId="5DF3C07A" w14:textId="216B403A" w:rsidR="005A5290" w:rsidRPr="00145099" w:rsidRDefault="005A5290" w:rsidP="001C534A">
      <w:pPr>
        <w:pStyle w:val="ListParagraph"/>
        <w:numPr>
          <w:ilvl w:val="0"/>
          <w:numId w:val="3"/>
        </w:numPr>
        <w:jc w:val="both"/>
        <w:rPr>
          <w:u w:val="single"/>
        </w:rPr>
      </w:pPr>
      <w:r w:rsidRPr="00145099">
        <w:rPr>
          <w:u w:val="single"/>
        </w:rPr>
        <w:t>Fixed precoder / PVS (precoding vector switching) / TAS (transmit antenna selection)</w:t>
      </w:r>
    </w:p>
    <w:p w14:paraId="2A8BA479" w14:textId="77777777" w:rsidR="0094508A" w:rsidRDefault="0094508A" w:rsidP="0094508A">
      <w:pPr>
        <w:pStyle w:val="ListParagraph"/>
        <w:jc w:val="both"/>
      </w:pPr>
    </w:p>
    <w:p w14:paraId="0CB923D8" w14:textId="71E647C2" w:rsidR="005A5290" w:rsidRDefault="0094508A" w:rsidP="005A5290">
      <w:pPr>
        <w:pStyle w:val="ListParagraph"/>
        <w:jc w:val="both"/>
      </w:pPr>
      <w:r>
        <w:t>These schemes are simple to implement, but also provide limited diversity gain. One advantage is that these are transparent to the receiver and can thus benefit Rel-14 receiver UEs as well. The diversity gain however is limited and other alternatives (like small delay CDD) m</w:t>
      </w:r>
      <w:r w:rsidR="00145099">
        <w:t>ight provide improved diversity for PSSCH.</w:t>
      </w:r>
    </w:p>
    <w:p w14:paraId="59DF7538" w14:textId="77777777" w:rsidR="00145099" w:rsidRDefault="00145099" w:rsidP="005A5290">
      <w:pPr>
        <w:pStyle w:val="ListParagraph"/>
        <w:jc w:val="both"/>
      </w:pPr>
    </w:p>
    <w:p w14:paraId="063B2D8C" w14:textId="1B360689" w:rsidR="009A39C4" w:rsidRPr="004C5DDE" w:rsidRDefault="009A39C4" w:rsidP="001C534A">
      <w:pPr>
        <w:pStyle w:val="ListParagraph"/>
        <w:numPr>
          <w:ilvl w:val="0"/>
          <w:numId w:val="3"/>
        </w:numPr>
        <w:jc w:val="both"/>
        <w:rPr>
          <w:u w:val="single"/>
        </w:rPr>
      </w:pPr>
      <w:r w:rsidRPr="004C5DDE">
        <w:rPr>
          <w:u w:val="single"/>
        </w:rPr>
        <w:t>STBC (</w:t>
      </w:r>
      <w:r w:rsidR="007F543F">
        <w:rPr>
          <w:u w:val="single"/>
        </w:rPr>
        <w:t>space time block coding</w:t>
      </w:r>
      <w:r w:rsidRPr="004C5DDE">
        <w:rPr>
          <w:u w:val="single"/>
        </w:rPr>
        <w:t>)</w:t>
      </w:r>
    </w:p>
    <w:p w14:paraId="10DC6043" w14:textId="515834D0" w:rsidR="001C534A" w:rsidRDefault="001C534A" w:rsidP="0094508A">
      <w:pPr>
        <w:pStyle w:val="ListParagraph"/>
        <w:jc w:val="both"/>
      </w:pPr>
    </w:p>
    <w:p w14:paraId="3FEF01C1" w14:textId="2C3FD2A2" w:rsidR="00145099" w:rsidRDefault="00145099" w:rsidP="0094508A">
      <w:pPr>
        <w:pStyle w:val="ListParagraph"/>
        <w:jc w:val="both"/>
      </w:pPr>
      <w:r>
        <w:t>Alamouti based STBC achieves full diversity, while maintaining the single-carrier property. However, it needs two DMRS ports and will thus negatively impact channel estimation performance (</w:t>
      </w:r>
      <w:r w:rsidR="000A3668">
        <w:t xml:space="preserve">primarily </w:t>
      </w:r>
      <w:r>
        <w:t>due to power split between two cyclic shifts</w:t>
      </w:r>
      <w:r w:rsidR="000A3668">
        <w:t>). It’s also not transparent to the receiver UE and thus is not backwards compatible (Rel-14 receiver UEs cannot decode).</w:t>
      </w:r>
    </w:p>
    <w:p w14:paraId="27806167" w14:textId="03256A03" w:rsidR="000A3668" w:rsidRDefault="000A3668" w:rsidP="0094508A">
      <w:pPr>
        <w:pStyle w:val="ListParagraph"/>
        <w:jc w:val="both"/>
      </w:pPr>
    </w:p>
    <w:p w14:paraId="4D60B467" w14:textId="1A275C8A" w:rsidR="000A3668" w:rsidRDefault="000A3668" w:rsidP="0094508A">
      <w:pPr>
        <w:pStyle w:val="ListParagraph"/>
        <w:jc w:val="both"/>
      </w:pPr>
      <w:r>
        <w:t xml:space="preserve">STBC also requires even number of symbols, while PSSCH has odd number of symbols. </w:t>
      </w:r>
      <w:r w:rsidR="00020AB8">
        <w:t xml:space="preserve">Further, the first symbol can be lost at the receiver for AGC setting. </w:t>
      </w:r>
      <w:r w:rsidR="0016241C">
        <w:t>Thus,</w:t>
      </w:r>
      <w:r w:rsidR="00020AB8">
        <w:t xml:space="preserve"> for PSSCH, one option is to perform SFBC over pair of symbols leaving out the first symbol. The first symbol will then need a separate diversity scheme.</w:t>
      </w:r>
      <w:r>
        <w:t xml:space="preserve"> </w:t>
      </w:r>
    </w:p>
    <w:p w14:paraId="48331DB5" w14:textId="0465F6B7" w:rsidR="000A3668" w:rsidRDefault="00727D96" w:rsidP="000A3668">
      <w:pPr>
        <w:pStyle w:val="ListParagraph"/>
        <w:keepNext/>
        <w:jc w:val="center"/>
      </w:pPr>
      <w:r>
        <w:object w:dxaOrig="10057" w:dyaOrig="5460" w14:anchorId="53054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3pt;height:192.6pt" o:ole="">
            <v:imagedata r:id="rId13" o:title=""/>
          </v:shape>
          <o:OLEObject Type="Embed" ProgID="Visio.Drawing.11" ShapeID="_x0000_i1025" DrawAspect="Content" ObjectID="_1551874921" r:id="rId14"/>
        </w:object>
      </w:r>
    </w:p>
    <w:p w14:paraId="2C640575" w14:textId="2B4C44CF" w:rsidR="000A3668" w:rsidRDefault="000A3668" w:rsidP="000A3668">
      <w:pPr>
        <w:pStyle w:val="Caption"/>
        <w:jc w:val="center"/>
      </w:pPr>
      <w:bookmarkStart w:id="5" w:name="_Ref478060755"/>
      <w:r>
        <w:t xml:space="preserve">Figure </w:t>
      </w:r>
      <w:r>
        <w:fldChar w:fldCharType="begin"/>
      </w:r>
      <w:r>
        <w:instrText xml:space="preserve"> SEQ Figure \* ARABIC </w:instrText>
      </w:r>
      <w:r>
        <w:fldChar w:fldCharType="separate"/>
      </w:r>
      <w:r w:rsidR="00E20A2B">
        <w:rPr>
          <w:noProof/>
        </w:rPr>
        <w:t>3</w:t>
      </w:r>
      <w:r>
        <w:fldChar w:fldCharType="end"/>
      </w:r>
      <w:bookmarkEnd w:id="5"/>
      <w:r>
        <w:t>: 2-Tx STBC</w:t>
      </w:r>
      <w:r w:rsidR="00E6254E">
        <w:t xml:space="preserve"> (Alamouti over adjacent symbols)</w:t>
      </w:r>
      <w:r>
        <w:t xml:space="preserve"> [R1-092066]</w:t>
      </w:r>
    </w:p>
    <w:p w14:paraId="2129605F" w14:textId="77777777" w:rsidR="000A3668" w:rsidRDefault="000A3668" w:rsidP="0094508A">
      <w:pPr>
        <w:pStyle w:val="ListParagraph"/>
        <w:jc w:val="both"/>
      </w:pPr>
    </w:p>
    <w:p w14:paraId="310F793F" w14:textId="493BEA94" w:rsidR="00D70577" w:rsidRDefault="00D70577" w:rsidP="001C534A">
      <w:pPr>
        <w:pStyle w:val="ListParagraph"/>
        <w:numPr>
          <w:ilvl w:val="0"/>
          <w:numId w:val="3"/>
        </w:numPr>
        <w:jc w:val="both"/>
        <w:rPr>
          <w:u w:val="single"/>
        </w:rPr>
      </w:pPr>
      <w:r>
        <w:rPr>
          <w:u w:val="single"/>
        </w:rPr>
        <w:t>(Virtual) Half-symbol STBC</w:t>
      </w:r>
    </w:p>
    <w:p w14:paraId="41D1A9DA" w14:textId="5F63A5A6" w:rsidR="00D70577" w:rsidRDefault="00D70577" w:rsidP="00D70577">
      <w:pPr>
        <w:ind w:left="720"/>
        <w:jc w:val="both"/>
      </w:pPr>
      <w:r>
        <w:t>As described above, one of the constraints on STBC is the requirement of having even number of symbols. One alternative as proposed for NR PUCCH is using virtual half-symbol split of each symbol to yield even number of symbols [</w:t>
      </w:r>
      <w:r w:rsidRPr="00D70577">
        <w:t>R1-1702601</w:t>
      </w:r>
      <w:r>
        <w:t xml:space="preserve">]. This scheme thus provides the full diversity, maintains the single-carrier property, and is not constrained by the number of symbols. The key difference from STBC </w:t>
      </w:r>
      <w:r w:rsidR="007F543F">
        <w:t xml:space="preserve">depiction in </w:t>
      </w:r>
      <w:r w:rsidR="007F543F">
        <w:fldChar w:fldCharType="begin"/>
      </w:r>
      <w:r w:rsidR="007F543F">
        <w:instrText xml:space="preserve"> REF _Ref478060755 \h </w:instrText>
      </w:r>
      <w:r w:rsidR="007F543F">
        <w:fldChar w:fldCharType="separate"/>
      </w:r>
      <w:r w:rsidR="00E20A2B">
        <w:t xml:space="preserve">Figure </w:t>
      </w:r>
      <w:r w:rsidR="00E20A2B">
        <w:rPr>
          <w:noProof/>
        </w:rPr>
        <w:t>3</w:t>
      </w:r>
      <w:r w:rsidR="007F543F">
        <w:fldChar w:fldCharType="end"/>
      </w:r>
      <w:r w:rsidR="007F543F">
        <w:t xml:space="preserve"> </w:t>
      </w:r>
      <w:r>
        <w:t xml:space="preserve">is </w:t>
      </w:r>
      <w:r w:rsidR="007F543F">
        <w:t>that Alamouti coding is performed pre-DFT precoding.</w:t>
      </w:r>
    </w:p>
    <w:p w14:paraId="083DF5AB" w14:textId="5771BC7F" w:rsidR="007F543F" w:rsidRPr="00D70577" w:rsidRDefault="007F543F" w:rsidP="00D70577">
      <w:pPr>
        <w:ind w:left="720"/>
        <w:jc w:val="both"/>
      </w:pPr>
      <w:r>
        <w:t xml:space="preserve">The scheme is described in detail in </w:t>
      </w:r>
      <w:r w:rsidRPr="00D70577">
        <w:t>R1-1702601</w:t>
      </w:r>
      <w:r>
        <w:t>.</w:t>
      </w:r>
    </w:p>
    <w:p w14:paraId="593B5F7D" w14:textId="7F6151B6" w:rsidR="009A39C4" w:rsidRDefault="001C534A" w:rsidP="001C534A">
      <w:pPr>
        <w:pStyle w:val="ListParagraph"/>
        <w:numPr>
          <w:ilvl w:val="0"/>
          <w:numId w:val="3"/>
        </w:numPr>
        <w:jc w:val="both"/>
        <w:rPr>
          <w:u w:val="single"/>
        </w:rPr>
      </w:pPr>
      <w:r w:rsidRPr="004C5DDE">
        <w:rPr>
          <w:u w:val="single"/>
        </w:rPr>
        <w:t>SFBC (</w:t>
      </w:r>
      <w:r w:rsidR="007F543F">
        <w:rPr>
          <w:u w:val="single"/>
        </w:rPr>
        <w:t>space frequency block coding</w:t>
      </w:r>
      <w:r w:rsidR="000A3668" w:rsidRPr="004C5DDE">
        <w:rPr>
          <w:u w:val="single"/>
        </w:rPr>
        <w:t>)</w:t>
      </w:r>
    </w:p>
    <w:p w14:paraId="07092ED9" w14:textId="77777777" w:rsidR="0004018A" w:rsidRDefault="0004018A" w:rsidP="0004018A">
      <w:pPr>
        <w:pStyle w:val="ListParagraph"/>
        <w:jc w:val="both"/>
      </w:pPr>
    </w:p>
    <w:p w14:paraId="2CB70864" w14:textId="2592AD25" w:rsidR="0004018A" w:rsidRDefault="0004018A" w:rsidP="0004018A">
      <w:pPr>
        <w:pStyle w:val="ListParagraph"/>
        <w:jc w:val="both"/>
      </w:pPr>
      <w:r>
        <w:t>As adopted for 2-Tx DL transmit diversity, SFBC can be done using Alamouti coding over adjacent tones. However, as noted in the past work, this breaks the single-carrier property and results in higher CM.</w:t>
      </w:r>
    </w:p>
    <w:p w14:paraId="04C9AE10" w14:textId="77777777" w:rsidR="0004018A" w:rsidRDefault="0004018A" w:rsidP="0004018A">
      <w:pPr>
        <w:pStyle w:val="ListParagraph"/>
        <w:jc w:val="both"/>
      </w:pPr>
    </w:p>
    <w:p w14:paraId="48274519" w14:textId="77777777" w:rsidR="0004018A" w:rsidRDefault="0004018A" w:rsidP="0004018A">
      <w:pPr>
        <w:pStyle w:val="ListParagraph"/>
        <w:jc w:val="both"/>
      </w:pPr>
      <w:r>
        <w:t xml:space="preserve">Low PAPR alternatives to SFBC (adjacent tone) are possible: e.g., R1-1700648 / </w:t>
      </w:r>
      <w:r w:rsidRPr="0005066F">
        <w:t>R1</w:t>
      </w:r>
      <w:r w:rsidRPr="0005066F">
        <w:rPr>
          <w:rFonts w:ascii="Cambria Math" w:hAnsi="Cambria Math" w:cs="Cambria Math"/>
        </w:rPr>
        <w:t>‑</w:t>
      </w:r>
      <w:r w:rsidRPr="0005066F">
        <w:t>091546</w:t>
      </w:r>
      <w:r>
        <w:t>, with tradeoff in channel variations as Alamouti is done over tones that are not adjacent to each other.</w:t>
      </w:r>
    </w:p>
    <w:p w14:paraId="5388A6F5" w14:textId="77777777" w:rsidR="007F543F" w:rsidRPr="004C5DDE" w:rsidRDefault="007F543F" w:rsidP="007F543F">
      <w:pPr>
        <w:pStyle w:val="ListParagraph"/>
        <w:jc w:val="both"/>
        <w:rPr>
          <w:u w:val="single"/>
        </w:rPr>
      </w:pPr>
    </w:p>
    <w:p w14:paraId="6D7C1861" w14:textId="7C567840" w:rsidR="00E6254E" w:rsidRDefault="0004018A" w:rsidP="00E6254E">
      <w:pPr>
        <w:pStyle w:val="ListParagraph"/>
        <w:keepNext/>
        <w:jc w:val="center"/>
      </w:pPr>
      <w:r>
        <w:object w:dxaOrig="9238" w:dyaOrig="5274" w14:anchorId="184714EC">
          <v:shape id="_x0000_i1026" type="#_x0000_t75" style="width:291.75pt;height:167.4pt" o:ole="">
            <v:imagedata r:id="rId15" o:title=""/>
          </v:shape>
          <o:OLEObject Type="Embed" ProgID="Visio.Drawing.11" ShapeID="_x0000_i1026" DrawAspect="Content" ObjectID="_1551874922" r:id="rId16"/>
        </w:object>
      </w:r>
    </w:p>
    <w:p w14:paraId="008F75A1" w14:textId="26924C86" w:rsidR="002E0E2F" w:rsidRDefault="00E6254E" w:rsidP="00E6254E">
      <w:pPr>
        <w:pStyle w:val="Caption"/>
        <w:jc w:val="center"/>
      </w:pPr>
      <w:r>
        <w:t xml:space="preserve">Figure </w:t>
      </w:r>
      <w:r>
        <w:fldChar w:fldCharType="begin"/>
      </w:r>
      <w:r>
        <w:instrText xml:space="preserve"> SEQ Figure \* ARABIC </w:instrText>
      </w:r>
      <w:r>
        <w:fldChar w:fldCharType="separate"/>
      </w:r>
      <w:r w:rsidR="00E20A2B">
        <w:rPr>
          <w:noProof/>
        </w:rPr>
        <w:t>4</w:t>
      </w:r>
      <w:r>
        <w:fldChar w:fldCharType="end"/>
      </w:r>
      <w:r>
        <w:t>: 2-Tx SFBC (Alamouti over adjacent tones)</w:t>
      </w:r>
    </w:p>
    <w:p w14:paraId="1B401C5E" w14:textId="6667061D" w:rsidR="000A3668" w:rsidRDefault="000A3668" w:rsidP="000A3668">
      <w:pPr>
        <w:pStyle w:val="ListParagraph"/>
        <w:jc w:val="both"/>
      </w:pPr>
    </w:p>
    <w:p w14:paraId="2FE70E78" w14:textId="6D38F79D" w:rsidR="000A3668" w:rsidRPr="00C447AF" w:rsidRDefault="000A3668" w:rsidP="002E0E2F">
      <w:pPr>
        <w:pStyle w:val="ListParagraph"/>
        <w:numPr>
          <w:ilvl w:val="0"/>
          <w:numId w:val="3"/>
        </w:numPr>
        <w:jc w:val="both"/>
        <w:rPr>
          <w:u w:val="single"/>
        </w:rPr>
      </w:pPr>
      <w:r w:rsidRPr="00C447AF">
        <w:rPr>
          <w:u w:val="single"/>
        </w:rPr>
        <w:t>Small delay CDD</w:t>
      </w:r>
      <w:r w:rsidR="00096447" w:rsidRPr="00C447AF">
        <w:rPr>
          <w:u w:val="single"/>
        </w:rPr>
        <w:t xml:space="preserve"> (cyclic delay diversity) </w:t>
      </w:r>
    </w:p>
    <w:p w14:paraId="00B77B86" w14:textId="41B55A62" w:rsidR="00096447" w:rsidRDefault="00096447" w:rsidP="000A3668">
      <w:pPr>
        <w:pStyle w:val="ListParagraph"/>
      </w:pPr>
    </w:p>
    <w:p w14:paraId="65592A48" w14:textId="0518684D" w:rsidR="00096447" w:rsidRDefault="00096447" w:rsidP="008068CC">
      <w:pPr>
        <w:pStyle w:val="ListParagraph"/>
        <w:jc w:val="both"/>
      </w:pPr>
      <w:r>
        <w:t xml:space="preserve">CDD transmit diversity scheme can be easily implemented at the transmitter, and small delay CDD is also transparent to the receiver. At the receiver, it translates to observing a channel h_1(t) + h_2(t-delta), where delta is the delay inserted on the second Tx antenna. Thus the effective channel delay spread increases, but </w:t>
      </w:r>
      <w:r w:rsidR="008068CC">
        <w:t>owing to the small delay the effective increase in delay spread can be kept small.</w:t>
      </w:r>
    </w:p>
    <w:p w14:paraId="14660ED1" w14:textId="2A532E49" w:rsidR="008068CC" w:rsidRDefault="008068CC" w:rsidP="008068CC">
      <w:pPr>
        <w:pStyle w:val="ListParagraph"/>
        <w:jc w:val="both"/>
      </w:pPr>
    </w:p>
    <w:p w14:paraId="54236F80" w14:textId="38942B5A" w:rsidR="008068CC" w:rsidRDefault="008068CC" w:rsidP="008068CC">
      <w:pPr>
        <w:pStyle w:val="ListParagraph"/>
        <w:jc w:val="both"/>
      </w:pPr>
      <w:r>
        <w:t>CDD essentially translates spatial diversity to frequency diversity; with small delay distributing the spatial diversity over the transmission BW, while large delay (</w:t>
      </w:r>
      <w:r w:rsidR="00E20A2B">
        <w:t xml:space="preserve">e.g. </w:t>
      </w:r>
      <w:r>
        <w:t>Ns/2) distributing over adjacent subcarriers. Thus small delay CDD is unable to exploit the spatial diversity in its entirety for small RB allocations. Further, CDD does not provide any uncoded diversity (in contrast to Alamouti), and is known to have degraded performance in correlated channels.</w:t>
      </w:r>
    </w:p>
    <w:p w14:paraId="54F898F3" w14:textId="60107D04" w:rsidR="008068CC" w:rsidRDefault="008068CC" w:rsidP="008068CC">
      <w:pPr>
        <w:pStyle w:val="ListParagraph"/>
        <w:jc w:val="both"/>
      </w:pPr>
    </w:p>
    <w:p w14:paraId="7398DB04" w14:textId="6BF5762F" w:rsidR="008068CC" w:rsidRDefault="00F158AA" w:rsidP="008068CC">
      <w:pPr>
        <w:pStyle w:val="ListParagraph"/>
        <w:jc w:val="both"/>
      </w:pPr>
      <w:r>
        <w:t xml:space="preserve">Small delay CDD however has a channel estimation advantage (as it does not need two </w:t>
      </w:r>
      <w:r w:rsidR="008C0454">
        <w:t xml:space="preserve">DMRS ports) and can </w:t>
      </w:r>
      <w:r w:rsidR="006D1609">
        <w:t xml:space="preserve">potentially </w:t>
      </w:r>
      <w:r w:rsidR="008C0454">
        <w:t xml:space="preserve">provide </w:t>
      </w:r>
      <w:r w:rsidR="006D1609">
        <w:t>improved performance (even with diversity order is &lt; 2) for V2X PSSCH.</w:t>
      </w:r>
      <w:r w:rsidR="00E20A2B">
        <w:t xml:space="preserve"> Small delay CDD is transparent to the receiver UE and will then be decodable by Rel-14 UEs as well.</w:t>
      </w:r>
    </w:p>
    <w:p w14:paraId="5862149E" w14:textId="45BDD1C2" w:rsidR="00727D96" w:rsidRDefault="00727D96" w:rsidP="000A3668">
      <w:pPr>
        <w:pStyle w:val="ListParagraph"/>
      </w:pPr>
    </w:p>
    <w:p w14:paraId="77E01D6E" w14:textId="77777777" w:rsidR="00727D96" w:rsidRDefault="00727D96" w:rsidP="000A3668">
      <w:pPr>
        <w:pStyle w:val="ListParagraph"/>
      </w:pPr>
    </w:p>
    <w:p w14:paraId="03664D03" w14:textId="6F3E2EE0" w:rsidR="000A3668" w:rsidRPr="00C447AF" w:rsidRDefault="000A3668" w:rsidP="000A3668">
      <w:pPr>
        <w:pStyle w:val="ListParagraph"/>
        <w:numPr>
          <w:ilvl w:val="0"/>
          <w:numId w:val="3"/>
        </w:numPr>
        <w:jc w:val="both"/>
        <w:rPr>
          <w:u w:val="single"/>
        </w:rPr>
      </w:pPr>
      <w:r w:rsidRPr="00C447AF">
        <w:rPr>
          <w:u w:val="single"/>
        </w:rPr>
        <w:t>Large delay CDD</w:t>
      </w:r>
      <w:r w:rsidR="00096447" w:rsidRPr="00C447AF">
        <w:rPr>
          <w:u w:val="single"/>
        </w:rPr>
        <w:t xml:space="preserve"> (cyclic delay diversity)</w:t>
      </w:r>
    </w:p>
    <w:p w14:paraId="76A3A734" w14:textId="64720CEE" w:rsidR="00096447" w:rsidRDefault="00096447" w:rsidP="00096447">
      <w:pPr>
        <w:pStyle w:val="ListParagraph"/>
      </w:pPr>
    </w:p>
    <w:p w14:paraId="0666E3C0" w14:textId="2C46870C" w:rsidR="006D1609" w:rsidRDefault="006D1609" w:rsidP="006D1609">
      <w:pPr>
        <w:pStyle w:val="ListParagraph"/>
        <w:jc w:val="both"/>
      </w:pPr>
      <w:r>
        <w:t>Large delay CDD distributes the spatial diversity over a smaller number of tones (e.g., with delay of Ns/2 as used on LTE DL TM3, the spatial diversity is distributed over adjacent tones). LD-CDD, however, is not transparent to the UE as the two channel responses (one from each transmit antenna) will show up with a shift of Ns/2. This knowledge is required at the receiver to estimate both the channel</w:t>
      </w:r>
      <w:r w:rsidR="000E0C05">
        <w:t>s</w:t>
      </w:r>
      <w:r>
        <w:t xml:space="preserve"> independently.</w:t>
      </w:r>
    </w:p>
    <w:p w14:paraId="44241F18" w14:textId="77777777" w:rsidR="006D1609" w:rsidRDefault="006D1609" w:rsidP="00096447">
      <w:pPr>
        <w:pStyle w:val="ListParagraph"/>
      </w:pPr>
    </w:p>
    <w:p w14:paraId="3F994973" w14:textId="10349EF8" w:rsidR="00096447" w:rsidRDefault="007850AF" w:rsidP="00096447">
      <w:pPr>
        <w:pStyle w:val="ListParagraph"/>
        <w:jc w:val="both"/>
      </w:pPr>
      <w:r>
        <w:t>Although this has the</w:t>
      </w:r>
      <w:r w:rsidR="006D1609">
        <w:t xml:space="preserve"> advantage </w:t>
      </w:r>
      <w:r>
        <w:t xml:space="preserve">of </w:t>
      </w:r>
      <w:r w:rsidR="006D1609">
        <w:t>better distributing spatial diversity for small RB allocations, due to the non-transparent nature the channels need to be estimated individually and the channel estimation will suffer due to reduced power for each transmitter (3dB).</w:t>
      </w:r>
    </w:p>
    <w:p w14:paraId="15190312" w14:textId="77777777" w:rsidR="000A3668" w:rsidRDefault="000A3668" w:rsidP="000A3668">
      <w:pPr>
        <w:pStyle w:val="ListParagraph"/>
        <w:jc w:val="both"/>
      </w:pPr>
    </w:p>
    <w:p w14:paraId="4C358B1C" w14:textId="5F4D0293" w:rsidR="00722C0C" w:rsidRDefault="00722C0C" w:rsidP="00145099">
      <w:pPr>
        <w:pStyle w:val="ListParagraph"/>
        <w:numPr>
          <w:ilvl w:val="0"/>
          <w:numId w:val="3"/>
        </w:numPr>
        <w:jc w:val="both"/>
        <w:rPr>
          <w:u w:val="single"/>
          <w:lang w:val="en-US"/>
        </w:rPr>
      </w:pPr>
      <w:r>
        <w:rPr>
          <w:u w:val="single"/>
          <w:lang w:val="en-US"/>
        </w:rPr>
        <w:t>FSTD (frequency switched transmit diversity)</w:t>
      </w:r>
    </w:p>
    <w:p w14:paraId="2868A86E" w14:textId="30C59F01" w:rsidR="00722C0C" w:rsidRDefault="00722C0C" w:rsidP="00722C0C">
      <w:pPr>
        <w:pStyle w:val="ListParagraph"/>
        <w:jc w:val="both"/>
        <w:rPr>
          <w:lang w:val="en-US"/>
        </w:rPr>
      </w:pPr>
    </w:p>
    <w:p w14:paraId="2871C501" w14:textId="151A47F0" w:rsidR="005178BD" w:rsidRDefault="005178BD" w:rsidP="00722C0C">
      <w:pPr>
        <w:pStyle w:val="ListParagraph"/>
        <w:jc w:val="both"/>
        <w:rPr>
          <w:lang w:val="en-US"/>
        </w:rPr>
      </w:pPr>
      <w:r>
        <w:rPr>
          <w:lang w:val="en-US"/>
        </w:rPr>
        <w:t>FSTD scheme is depicted below. It does not achieve full diversity and does not provide any uncoded diversity (</w:t>
      </w:r>
      <w:r w:rsidR="00A726DF">
        <w:rPr>
          <w:lang w:val="en-US"/>
        </w:rPr>
        <w:t>like</w:t>
      </w:r>
      <w:r>
        <w:rPr>
          <w:lang w:val="en-US"/>
        </w:rPr>
        <w:t xml:space="preserve"> CDD</w:t>
      </w:r>
      <w:r w:rsidR="00A726DF">
        <w:rPr>
          <w:lang w:val="en-US"/>
        </w:rPr>
        <w:t>;</w:t>
      </w:r>
      <w:r>
        <w:rPr>
          <w:lang w:val="en-US"/>
        </w:rPr>
        <w:t xml:space="preserve"> and in contrast to SFBC/STBC)</w:t>
      </w:r>
      <w:r w:rsidR="00346FDB">
        <w:rPr>
          <w:lang w:val="en-US"/>
        </w:rPr>
        <w:t xml:space="preserve">. </w:t>
      </w:r>
      <w:r w:rsidR="000E0C05">
        <w:rPr>
          <w:lang w:val="en-US"/>
        </w:rPr>
        <w:t>It also required 2 DFT precoders to maintain the single carrier property.</w:t>
      </w:r>
    </w:p>
    <w:p w14:paraId="3421137C" w14:textId="77777777" w:rsidR="00346FDB" w:rsidRDefault="00346FDB" w:rsidP="00346FDB">
      <w:pPr>
        <w:pStyle w:val="ListParagraph"/>
        <w:keepNext/>
        <w:jc w:val="center"/>
      </w:pPr>
      <w:r>
        <w:rPr>
          <w:rFonts w:eastAsia="SimSun"/>
        </w:rPr>
        <w:object w:dxaOrig="7065" w:dyaOrig="3675" w14:anchorId="26EA0A6E">
          <v:shape id="_x0000_i1027" type="#_x0000_t75" style="width:353.45pt;height:184.2pt" o:ole="">
            <v:imagedata r:id="rId17" o:title=""/>
          </v:shape>
          <o:OLEObject Type="Embed" ProgID="Visio.Drawing.11" ShapeID="_x0000_i1027" DrawAspect="Content" ObjectID="_1551874923" r:id="rId18"/>
        </w:object>
      </w:r>
    </w:p>
    <w:p w14:paraId="7803F60B" w14:textId="5545C5F1" w:rsidR="00346FDB" w:rsidRDefault="00346FDB" w:rsidP="00346FDB">
      <w:pPr>
        <w:pStyle w:val="Caption"/>
        <w:jc w:val="center"/>
        <w:rPr>
          <w:lang w:val="en-US"/>
        </w:rPr>
      </w:pPr>
      <w:r>
        <w:t xml:space="preserve">Figure </w:t>
      </w:r>
      <w:r>
        <w:fldChar w:fldCharType="begin"/>
      </w:r>
      <w:r>
        <w:instrText xml:space="preserve"> SEQ Figure \* ARABIC </w:instrText>
      </w:r>
      <w:r>
        <w:fldChar w:fldCharType="separate"/>
      </w:r>
      <w:r w:rsidR="00E20A2B">
        <w:rPr>
          <w:noProof/>
        </w:rPr>
        <w:t>5</w:t>
      </w:r>
      <w:r>
        <w:fldChar w:fldCharType="end"/>
      </w:r>
      <w:r>
        <w:t>: FSTD [R1-092066]</w:t>
      </w:r>
    </w:p>
    <w:p w14:paraId="3AA3C9E2" w14:textId="1EB0C46A" w:rsidR="00EB4148" w:rsidRDefault="00EB4148" w:rsidP="00722C0C">
      <w:pPr>
        <w:pStyle w:val="ListParagraph"/>
        <w:jc w:val="both"/>
        <w:rPr>
          <w:lang w:val="en-US"/>
        </w:rPr>
      </w:pPr>
    </w:p>
    <w:p w14:paraId="5AB71662" w14:textId="64BD460F" w:rsidR="000F71FB" w:rsidRPr="00C447AF" w:rsidRDefault="00145099" w:rsidP="00145099">
      <w:pPr>
        <w:pStyle w:val="ListParagraph"/>
        <w:numPr>
          <w:ilvl w:val="0"/>
          <w:numId w:val="3"/>
        </w:numPr>
        <w:jc w:val="both"/>
        <w:rPr>
          <w:u w:val="single"/>
          <w:lang w:val="en-US"/>
        </w:rPr>
      </w:pPr>
      <w:r w:rsidRPr="00C447AF">
        <w:rPr>
          <w:u w:val="single"/>
        </w:rPr>
        <w:t xml:space="preserve">SORTD (space orthogonal resource transmit diversity) </w:t>
      </w:r>
    </w:p>
    <w:p w14:paraId="0C5DAB0B" w14:textId="77777777" w:rsidR="000F71FB" w:rsidRPr="000F71FB" w:rsidRDefault="000F71FB" w:rsidP="000F71FB">
      <w:pPr>
        <w:pStyle w:val="ListParagraph"/>
        <w:jc w:val="both"/>
        <w:rPr>
          <w:lang w:val="en-US"/>
        </w:rPr>
      </w:pPr>
    </w:p>
    <w:p w14:paraId="18EDE000" w14:textId="6BAEC55A" w:rsidR="000F71FB" w:rsidRDefault="000F71FB" w:rsidP="000F71FB">
      <w:pPr>
        <w:pStyle w:val="ListParagraph"/>
        <w:jc w:val="both"/>
      </w:pPr>
      <w:r>
        <w:t xml:space="preserve">SORTD </w:t>
      </w:r>
      <w:r w:rsidR="00145099">
        <w:t xml:space="preserve">is </w:t>
      </w:r>
      <w:r>
        <w:t xml:space="preserve">currently used </w:t>
      </w:r>
      <w:r w:rsidR="00145099">
        <w:t xml:space="preserve">for </w:t>
      </w:r>
      <w:r>
        <w:t xml:space="preserve">LTE </w:t>
      </w:r>
      <w:r w:rsidR="00145099">
        <w:t xml:space="preserve">PUCCH. SORTD </w:t>
      </w:r>
      <w:r>
        <w:t>uses two PUCCH resources, transmitting on one resource from each antenna</w:t>
      </w:r>
      <w:r w:rsidR="00145099">
        <w:t xml:space="preserve">. </w:t>
      </w:r>
      <w:r w:rsidR="0088578F">
        <w:t>Thus,</w:t>
      </w:r>
      <w:r>
        <w:t xml:space="preserve"> </w:t>
      </w:r>
      <w:r w:rsidR="000436DA">
        <w:t xml:space="preserve">while SORTD achieves full diversity, it </w:t>
      </w:r>
      <w:r>
        <w:t xml:space="preserve">requires </w:t>
      </w:r>
      <w:r w:rsidR="0004018A">
        <w:t xml:space="preserve">twice </w:t>
      </w:r>
      <w:r>
        <w:t xml:space="preserve">the amount of resources. </w:t>
      </w:r>
      <w:r w:rsidR="00CD701F">
        <w:t>Hence, i</w:t>
      </w:r>
      <w:r>
        <w:t>n our view, SORTD may not be an attractive option for PSSCH.</w:t>
      </w:r>
    </w:p>
    <w:p w14:paraId="0EEB85D8" w14:textId="30EDBFD4" w:rsidR="00C447AF" w:rsidRDefault="00C447AF" w:rsidP="00C447AF">
      <w:pPr>
        <w:pStyle w:val="Caption"/>
        <w:keepNext/>
        <w:jc w:val="center"/>
      </w:pPr>
      <w:bookmarkStart w:id="6" w:name="_Ref478104375"/>
      <w:r>
        <w:t xml:space="preserve">Table </w:t>
      </w:r>
      <w:r>
        <w:fldChar w:fldCharType="begin"/>
      </w:r>
      <w:r>
        <w:instrText xml:space="preserve"> SEQ Table \* ARABIC </w:instrText>
      </w:r>
      <w:r>
        <w:fldChar w:fldCharType="separate"/>
      </w:r>
      <w:r w:rsidR="00E20A2B">
        <w:rPr>
          <w:noProof/>
        </w:rPr>
        <w:t>1</w:t>
      </w:r>
      <w:r>
        <w:fldChar w:fldCharType="end"/>
      </w:r>
      <w:bookmarkEnd w:id="6"/>
      <w:r>
        <w:t>: Summary of Tx Diversity schemes</w:t>
      </w:r>
    </w:p>
    <w:tbl>
      <w:tblPr>
        <w:tblStyle w:val="TableGrid"/>
        <w:tblW w:w="0" w:type="auto"/>
        <w:tblLook w:val="04A0" w:firstRow="1" w:lastRow="0" w:firstColumn="1" w:lastColumn="0" w:noHBand="0" w:noVBand="1"/>
      </w:tblPr>
      <w:tblGrid>
        <w:gridCol w:w="1837"/>
        <w:gridCol w:w="1059"/>
        <w:gridCol w:w="1597"/>
        <w:gridCol w:w="1150"/>
        <w:gridCol w:w="3707"/>
      </w:tblGrid>
      <w:tr w:rsidR="00C447AF" w:rsidRPr="00C447AF" w14:paraId="609C65BE" w14:textId="1AC807E1" w:rsidTr="0013285C">
        <w:tc>
          <w:tcPr>
            <w:tcW w:w="1837" w:type="dxa"/>
          </w:tcPr>
          <w:p w14:paraId="6C5B1DA9" w14:textId="7A5C12B9" w:rsidR="00C447AF" w:rsidRPr="00C447AF" w:rsidRDefault="00C447AF" w:rsidP="00196A7A">
            <w:pPr>
              <w:spacing w:after="0"/>
              <w:rPr>
                <w:b/>
              </w:rPr>
            </w:pPr>
            <w:r w:rsidRPr="00C447AF">
              <w:rPr>
                <w:b/>
              </w:rPr>
              <w:t>Tx diversity scheme</w:t>
            </w:r>
          </w:p>
        </w:tc>
        <w:tc>
          <w:tcPr>
            <w:tcW w:w="1059" w:type="dxa"/>
          </w:tcPr>
          <w:p w14:paraId="7E8DBED9" w14:textId="48154629" w:rsidR="00C447AF" w:rsidRPr="00C447AF" w:rsidRDefault="00C447AF" w:rsidP="00196A7A">
            <w:pPr>
              <w:spacing w:after="0"/>
              <w:rPr>
                <w:b/>
              </w:rPr>
            </w:pPr>
            <w:r w:rsidRPr="00C447AF">
              <w:rPr>
                <w:b/>
              </w:rPr>
              <w:t>Diversity order</w:t>
            </w:r>
            <w:r w:rsidR="00196A7A">
              <w:rPr>
                <w:b/>
              </w:rPr>
              <w:t xml:space="preserve"> (for 2Tx)</w:t>
            </w:r>
          </w:p>
        </w:tc>
        <w:tc>
          <w:tcPr>
            <w:tcW w:w="1597" w:type="dxa"/>
          </w:tcPr>
          <w:p w14:paraId="1EDF7EC0" w14:textId="3329318C" w:rsidR="00C447AF" w:rsidRPr="00C447AF" w:rsidRDefault="00C447AF" w:rsidP="00196A7A">
            <w:pPr>
              <w:spacing w:after="0"/>
              <w:rPr>
                <w:b/>
              </w:rPr>
            </w:pPr>
            <w:r w:rsidRPr="00C447AF">
              <w:rPr>
                <w:b/>
              </w:rPr>
              <w:t xml:space="preserve">Transparent / non-transparent </w:t>
            </w:r>
          </w:p>
        </w:tc>
        <w:tc>
          <w:tcPr>
            <w:tcW w:w="1150" w:type="dxa"/>
          </w:tcPr>
          <w:p w14:paraId="7F0E3F39" w14:textId="2292900E" w:rsidR="00C447AF" w:rsidRPr="00C447AF" w:rsidRDefault="00C447AF" w:rsidP="00196A7A">
            <w:pPr>
              <w:spacing w:after="0"/>
              <w:rPr>
                <w:b/>
              </w:rPr>
            </w:pPr>
            <w:r w:rsidRPr="00C447AF">
              <w:rPr>
                <w:b/>
              </w:rPr>
              <w:t>DMRS ports needed</w:t>
            </w:r>
          </w:p>
        </w:tc>
        <w:tc>
          <w:tcPr>
            <w:tcW w:w="3707" w:type="dxa"/>
          </w:tcPr>
          <w:p w14:paraId="06E2F9D0" w14:textId="7CDD5B9D" w:rsidR="00C447AF" w:rsidRPr="00C447AF" w:rsidRDefault="00C447AF" w:rsidP="00196A7A">
            <w:pPr>
              <w:spacing w:after="0"/>
              <w:rPr>
                <w:b/>
              </w:rPr>
            </w:pPr>
            <w:r w:rsidRPr="00C447AF">
              <w:rPr>
                <w:b/>
              </w:rPr>
              <w:t>Comments</w:t>
            </w:r>
          </w:p>
        </w:tc>
      </w:tr>
      <w:tr w:rsidR="00C447AF" w:rsidRPr="00C447AF" w14:paraId="2286D76E" w14:textId="4C966772" w:rsidTr="0013285C">
        <w:tc>
          <w:tcPr>
            <w:tcW w:w="1837" w:type="dxa"/>
          </w:tcPr>
          <w:p w14:paraId="6AF8038F" w14:textId="240C7EFB" w:rsidR="00C447AF" w:rsidRPr="00C447AF" w:rsidRDefault="00196A7A" w:rsidP="00196A7A">
            <w:pPr>
              <w:spacing w:after="0"/>
            </w:pPr>
            <w:r>
              <w:t>Fixed precoder / PVS / TAS</w:t>
            </w:r>
          </w:p>
        </w:tc>
        <w:tc>
          <w:tcPr>
            <w:tcW w:w="1059" w:type="dxa"/>
          </w:tcPr>
          <w:p w14:paraId="47AD8779" w14:textId="2342F51E" w:rsidR="00C447AF" w:rsidRPr="00C447AF" w:rsidRDefault="00196A7A" w:rsidP="00196A7A">
            <w:pPr>
              <w:spacing w:after="0"/>
            </w:pPr>
            <w:r>
              <w:t>&lt; 2</w:t>
            </w:r>
          </w:p>
        </w:tc>
        <w:tc>
          <w:tcPr>
            <w:tcW w:w="1597" w:type="dxa"/>
          </w:tcPr>
          <w:p w14:paraId="673316FA" w14:textId="39E3AD8D" w:rsidR="00C447AF" w:rsidRPr="00C447AF" w:rsidRDefault="003966AC" w:rsidP="00196A7A">
            <w:pPr>
              <w:spacing w:after="0"/>
            </w:pPr>
            <w:r>
              <w:t>Transparent</w:t>
            </w:r>
          </w:p>
        </w:tc>
        <w:tc>
          <w:tcPr>
            <w:tcW w:w="1150" w:type="dxa"/>
          </w:tcPr>
          <w:p w14:paraId="2E0575D9" w14:textId="6E85C7B2" w:rsidR="00C447AF" w:rsidRPr="00C447AF" w:rsidRDefault="003966AC" w:rsidP="00196A7A">
            <w:pPr>
              <w:spacing w:after="0"/>
            </w:pPr>
            <w:r>
              <w:t>1</w:t>
            </w:r>
          </w:p>
        </w:tc>
        <w:tc>
          <w:tcPr>
            <w:tcW w:w="3707" w:type="dxa"/>
          </w:tcPr>
          <w:p w14:paraId="51C59B90" w14:textId="1614BB32" w:rsidR="00C447AF" w:rsidRDefault="003966AC" w:rsidP="00196A7A">
            <w:pPr>
              <w:spacing w:after="0"/>
            </w:pPr>
            <w:r>
              <w:t>Pros</w:t>
            </w:r>
          </w:p>
          <w:p w14:paraId="345E30D3" w14:textId="4DF1140B" w:rsidR="003966AC" w:rsidRDefault="003966AC" w:rsidP="003966AC">
            <w:pPr>
              <w:pStyle w:val="ListParagraph"/>
              <w:numPr>
                <w:ilvl w:val="0"/>
                <w:numId w:val="7"/>
              </w:numPr>
              <w:spacing w:after="0"/>
            </w:pPr>
            <w:r>
              <w:t>Transparent to receiver</w:t>
            </w:r>
          </w:p>
          <w:p w14:paraId="4DA3B233" w14:textId="77777777" w:rsidR="003966AC" w:rsidRDefault="003966AC" w:rsidP="00196A7A">
            <w:pPr>
              <w:spacing w:after="0"/>
            </w:pPr>
            <w:r>
              <w:t>Cons</w:t>
            </w:r>
          </w:p>
          <w:p w14:paraId="410B53CF" w14:textId="125BB7C1" w:rsidR="003966AC" w:rsidRPr="00C447AF" w:rsidRDefault="003966AC" w:rsidP="003966AC">
            <w:pPr>
              <w:pStyle w:val="ListParagraph"/>
              <w:numPr>
                <w:ilvl w:val="0"/>
                <w:numId w:val="7"/>
              </w:numPr>
              <w:spacing w:after="0"/>
            </w:pPr>
            <w:r>
              <w:t>Limited diversity gains</w:t>
            </w:r>
          </w:p>
        </w:tc>
      </w:tr>
      <w:tr w:rsidR="00C447AF" w:rsidRPr="00C447AF" w14:paraId="77729787" w14:textId="6A9B0C68" w:rsidTr="0013285C">
        <w:tc>
          <w:tcPr>
            <w:tcW w:w="1837" w:type="dxa"/>
          </w:tcPr>
          <w:p w14:paraId="2A036962" w14:textId="135D1F7D" w:rsidR="00C447AF" w:rsidRPr="00C447AF" w:rsidRDefault="003966AC" w:rsidP="00196A7A">
            <w:pPr>
              <w:spacing w:after="0"/>
            </w:pPr>
            <w:r>
              <w:t>STBC</w:t>
            </w:r>
          </w:p>
        </w:tc>
        <w:tc>
          <w:tcPr>
            <w:tcW w:w="1059" w:type="dxa"/>
          </w:tcPr>
          <w:p w14:paraId="5FEEA6F2" w14:textId="076C4478" w:rsidR="00C447AF" w:rsidRPr="00C447AF" w:rsidRDefault="003966AC" w:rsidP="00196A7A">
            <w:pPr>
              <w:spacing w:after="0"/>
            </w:pPr>
            <w:r>
              <w:t>2</w:t>
            </w:r>
          </w:p>
        </w:tc>
        <w:tc>
          <w:tcPr>
            <w:tcW w:w="1597" w:type="dxa"/>
          </w:tcPr>
          <w:p w14:paraId="618783A7" w14:textId="5E741833" w:rsidR="00C447AF" w:rsidRPr="00C447AF" w:rsidRDefault="003966AC" w:rsidP="00196A7A">
            <w:pPr>
              <w:spacing w:after="0"/>
            </w:pPr>
            <w:r>
              <w:t>Non-transparent</w:t>
            </w:r>
          </w:p>
        </w:tc>
        <w:tc>
          <w:tcPr>
            <w:tcW w:w="1150" w:type="dxa"/>
          </w:tcPr>
          <w:p w14:paraId="26D29388" w14:textId="26D141C2" w:rsidR="00C447AF" w:rsidRPr="00C447AF" w:rsidRDefault="003966AC" w:rsidP="00196A7A">
            <w:pPr>
              <w:spacing w:after="0"/>
            </w:pPr>
            <w:r>
              <w:t>2</w:t>
            </w:r>
          </w:p>
        </w:tc>
        <w:tc>
          <w:tcPr>
            <w:tcW w:w="3707" w:type="dxa"/>
          </w:tcPr>
          <w:p w14:paraId="1D53B6D0" w14:textId="62ED69D7" w:rsidR="00C447AF" w:rsidRDefault="003966AC" w:rsidP="00196A7A">
            <w:pPr>
              <w:spacing w:after="0"/>
            </w:pPr>
            <w:r>
              <w:t>Pros</w:t>
            </w:r>
          </w:p>
          <w:p w14:paraId="06737738" w14:textId="77777777" w:rsidR="003966AC" w:rsidRDefault="00E75961" w:rsidP="003966AC">
            <w:pPr>
              <w:pStyle w:val="ListParagraph"/>
              <w:numPr>
                <w:ilvl w:val="0"/>
                <w:numId w:val="7"/>
              </w:numPr>
              <w:spacing w:after="0"/>
            </w:pPr>
            <w:r>
              <w:t>Achieves full diversity</w:t>
            </w:r>
          </w:p>
          <w:p w14:paraId="426928F2" w14:textId="77777777" w:rsidR="00E75961" w:rsidRDefault="00E75961" w:rsidP="00E75961">
            <w:pPr>
              <w:spacing w:after="0"/>
            </w:pPr>
            <w:r>
              <w:t>Cons</w:t>
            </w:r>
          </w:p>
          <w:p w14:paraId="5D34FC73" w14:textId="77777777" w:rsidR="00E75961" w:rsidRDefault="00E75961" w:rsidP="00E75961">
            <w:pPr>
              <w:pStyle w:val="ListParagraph"/>
              <w:numPr>
                <w:ilvl w:val="0"/>
                <w:numId w:val="7"/>
              </w:numPr>
              <w:spacing w:after="0"/>
            </w:pPr>
            <w:r>
              <w:t>Non-transparent</w:t>
            </w:r>
          </w:p>
          <w:p w14:paraId="5937D450" w14:textId="75897CBE" w:rsidR="00E75961" w:rsidRPr="00C447AF" w:rsidRDefault="00E75961" w:rsidP="00E75961">
            <w:pPr>
              <w:pStyle w:val="ListParagraph"/>
              <w:numPr>
                <w:ilvl w:val="0"/>
                <w:numId w:val="7"/>
              </w:numPr>
              <w:spacing w:after="0"/>
            </w:pPr>
            <w:r>
              <w:t>Needs even number of symbols</w:t>
            </w:r>
          </w:p>
        </w:tc>
      </w:tr>
      <w:tr w:rsidR="00C447AF" w:rsidRPr="00C447AF" w14:paraId="7D16B613" w14:textId="4DD8D56E" w:rsidTr="0013285C">
        <w:tc>
          <w:tcPr>
            <w:tcW w:w="1837" w:type="dxa"/>
          </w:tcPr>
          <w:p w14:paraId="022C0F0E" w14:textId="6B00593C" w:rsidR="00C447AF" w:rsidRPr="00C447AF" w:rsidRDefault="003966AC" w:rsidP="00196A7A">
            <w:pPr>
              <w:spacing w:after="0"/>
            </w:pPr>
            <w:r>
              <w:t>SFBC</w:t>
            </w:r>
          </w:p>
        </w:tc>
        <w:tc>
          <w:tcPr>
            <w:tcW w:w="1059" w:type="dxa"/>
          </w:tcPr>
          <w:p w14:paraId="6F4A4D0C" w14:textId="76BE9C98" w:rsidR="00C447AF" w:rsidRPr="00C447AF" w:rsidRDefault="006B04B5" w:rsidP="00196A7A">
            <w:pPr>
              <w:spacing w:after="0"/>
            </w:pPr>
            <w:r>
              <w:t>2</w:t>
            </w:r>
          </w:p>
        </w:tc>
        <w:tc>
          <w:tcPr>
            <w:tcW w:w="1597" w:type="dxa"/>
          </w:tcPr>
          <w:p w14:paraId="107AB1B6" w14:textId="3C712A17" w:rsidR="00C447AF" w:rsidRPr="00C447AF" w:rsidRDefault="006B04B5" w:rsidP="00196A7A">
            <w:pPr>
              <w:spacing w:after="0"/>
            </w:pPr>
            <w:r>
              <w:t>Non-transparent</w:t>
            </w:r>
          </w:p>
        </w:tc>
        <w:tc>
          <w:tcPr>
            <w:tcW w:w="1150" w:type="dxa"/>
          </w:tcPr>
          <w:p w14:paraId="4E005055" w14:textId="44D4722A" w:rsidR="00C447AF" w:rsidRPr="00C447AF" w:rsidRDefault="003966AC" w:rsidP="00196A7A">
            <w:pPr>
              <w:spacing w:after="0"/>
            </w:pPr>
            <w:r>
              <w:t>2</w:t>
            </w:r>
          </w:p>
        </w:tc>
        <w:tc>
          <w:tcPr>
            <w:tcW w:w="3707" w:type="dxa"/>
          </w:tcPr>
          <w:p w14:paraId="009F6226" w14:textId="77777777" w:rsidR="006B04B5" w:rsidRDefault="006B04B5" w:rsidP="006B04B5">
            <w:pPr>
              <w:spacing w:after="0"/>
            </w:pPr>
            <w:r>
              <w:t>Pros</w:t>
            </w:r>
          </w:p>
          <w:p w14:paraId="7D84EB0C" w14:textId="77777777" w:rsidR="006B04B5" w:rsidRDefault="006B04B5" w:rsidP="006B04B5">
            <w:pPr>
              <w:pStyle w:val="ListParagraph"/>
              <w:numPr>
                <w:ilvl w:val="0"/>
                <w:numId w:val="7"/>
              </w:numPr>
              <w:spacing w:after="0"/>
            </w:pPr>
            <w:r>
              <w:t>Achieves full diversity</w:t>
            </w:r>
          </w:p>
          <w:p w14:paraId="6F3A21BF" w14:textId="77777777" w:rsidR="006B04B5" w:rsidRDefault="006B04B5" w:rsidP="006B04B5">
            <w:pPr>
              <w:spacing w:after="0"/>
            </w:pPr>
            <w:r>
              <w:t>Cons</w:t>
            </w:r>
          </w:p>
          <w:p w14:paraId="2DCDB711" w14:textId="77777777" w:rsidR="00C447AF" w:rsidRDefault="006B04B5" w:rsidP="006B04B5">
            <w:pPr>
              <w:pStyle w:val="ListParagraph"/>
              <w:numPr>
                <w:ilvl w:val="0"/>
                <w:numId w:val="7"/>
              </w:numPr>
              <w:spacing w:after="0"/>
            </w:pPr>
            <w:r>
              <w:t>Non-transparent</w:t>
            </w:r>
          </w:p>
          <w:p w14:paraId="70B2B833" w14:textId="77777777" w:rsidR="006B04B5" w:rsidRDefault="006B04B5" w:rsidP="006B04B5">
            <w:pPr>
              <w:pStyle w:val="ListParagraph"/>
              <w:numPr>
                <w:ilvl w:val="0"/>
                <w:numId w:val="7"/>
              </w:numPr>
              <w:spacing w:after="0"/>
            </w:pPr>
            <w:r>
              <w:t>Breaks single-carrier property</w:t>
            </w:r>
          </w:p>
          <w:p w14:paraId="31E3E033" w14:textId="77777777" w:rsidR="000E4CC8" w:rsidRDefault="000E4CC8" w:rsidP="000E4CC8">
            <w:pPr>
              <w:spacing w:after="0"/>
            </w:pPr>
          </w:p>
          <w:p w14:paraId="1280CB09" w14:textId="6CBD3695" w:rsidR="006B04B5" w:rsidRPr="00C447AF" w:rsidRDefault="006B04B5" w:rsidP="000E4CC8">
            <w:pPr>
              <w:spacing w:after="0"/>
            </w:pPr>
            <w:r>
              <w:t>Low PAPR / SC property preserving modifications possible</w:t>
            </w:r>
            <w:r w:rsidR="00443B0F">
              <w:t xml:space="preserve"> [</w:t>
            </w:r>
            <w:r w:rsidR="00443B0F" w:rsidRPr="0005066F">
              <w:t>R1</w:t>
            </w:r>
            <w:r w:rsidR="00443B0F" w:rsidRPr="000E4CC8">
              <w:rPr>
                <w:rFonts w:ascii="Cambria Math" w:hAnsi="Cambria Math" w:cs="Cambria Math"/>
              </w:rPr>
              <w:t>‑</w:t>
            </w:r>
            <w:r w:rsidR="00443B0F" w:rsidRPr="0005066F">
              <w:t>091546</w:t>
            </w:r>
            <w:r w:rsidR="00443B0F">
              <w:t>]</w:t>
            </w:r>
            <w:r>
              <w:t>, but no longer operate on adjacent tones.</w:t>
            </w:r>
          </w:p>
        </w:tc>
      </w:tr>
      <w:tr w:rsidR="00C447AF" w:rsidRPr="00C447AF" w14:paraId="4249BB43" w14:textId="71F9C539" w:rsidTr="0013285C">
        <w:tc>
          <w:tcPr>
            <w:tcW w:w="1837" w:type="dxa"/>
          </w:tcPr>
          <w:p w14:paraId="6B53F800" w14:textId="10522720" w:rsidR="00C447AF" w:rsidRPr="00C447AF" w:rsidRDefault="006B04B5" w:rsidP="00196A7A">
            <w:pPr>
              <w:spacing w:after="0"/>
            </w:pPr>
            <w:r>
              <w:t>Half-symbol STBC [</w:t>
            </w:r>
            <w:r w:rsidRPr="00D70577">
              <w:t>R1-1702601</w:t>
            </w:r>
            <w:r>
              <w:t>]</w:t>
            </w:r>
          </w:p>
        </w:tc>
        <w:tc>
          <w:tcPr>
            <w:tcW w:w="1059" w:type="dxa"/>
          </w:tcPr>
          <w:p w14:paraId="0F5E1702" w14:textId="3AB3C1C7" w:rsidR="00C447AF" w:rsidRPr="00C447AF" w:rsidRDefault="006B04B5" w:rsidP="00196A7A">
            <w:pPr>
              <w:spacing w:after="0"/>
            </w:pPr>
            <w:r>
              <w:t>2</w:t>
            </w:r>
          </w:p>
        </w:tc>
        <w:tc>
          <w:tcPr>
            <w:tcW w:w="1597" w:type="dxa"/>
          </w:tcPr>
          <w:p w14:paraId="27A556B5" w14:textId="6F0B2717" w:rsidR="00C447AF" w:rsidRPr="00C447AF" w:rsidRDefault="006B04B5" w:rsidP="00196A7A">
            <w:pPr>
              <w:spacing w:after="0"/>
            </w:pPr>
            <w:r>
              <w:t>Non-transparent</w:t>
            </w:r>
          </w:p>
        </w:tc>
        <w:tc>
          <w:tcPr>
            <w:tcW w:w="1150" w:type="dxa"/>
          </w:tcPr>
          <w:p w14:paraId="0CFC3353" w14:textId="19E78CA0" w:rsidR="00C447AF" w:rsidRPr="00C447AF" w:rsidRDefault="006B04B5" w:rsidP="00196A7A">
            <w:pPr>
              <w:spacing w:after="0"/>
            </w:pPr>
            <w:r>
              <w:t>2</w:t>
            </w:r>
          </w:p>
        </w:tc>
        <w:tc>
          <w:tcPr>
            <w:tcW w:w="3707" w:type="dxa"/>
          </w:tcPr>
          <w:p w14:paraId="52D53B36" w14:textId="77777777" w:rsidR="006B04B5" w:rsidRDefault="006B04B5" w:rsidP="006B04B5">
            <w:pPr>
              <w:spacing w:after="0"/>
            </w:pPr>
            <w:r>
              <w:t>Pros</w:t>
            </w:r>
          </w:p>
          <w:p w14:paraId="594D5E35" w14:textId="21891FCE" w:rsidR="006B04B5" w:rsidRDefault="006B04B5" w:rsidP="006B04B5">
            <w:pPr>
              <w:pStyle w:val="ListParagraph"/>
              <w:numPr>
                <w:ilvl w:val="0"/>
                <w:numId w:val="7"/>
              </w:numPr>
              <w:spacing w:after="0"/>
            </w:pPr>
            <w:r>
              <w:t>Achieves full diversity</w:t>
            </w:r>
          </w:p>
          <w:p w14:paraId="2495E426" w14:textId="69A917D2" w:rsidR="006B04B5" w:rsidRDefault="006B04B5" w:rsidP="006B04B5">
            <w:pPr>
              <w:pStyle w:val="ListParagraph"/>
              <w:numPr>
                <w:ilvl w:val="0"/>
                <w:numId w:val="7"/>
              </w:numPr>
              <w:spacing w:after="0"/>
            </w:pPr>
            <w:r>
              <w:t>Works for any # symbols</w:t>
            </w:r>
          </w:p>
          <w:p w14:paraId="0823FE0F" w14:textId="77777777" w:rsidR="006B04B5" w:rsidRDefault="006B04B5" w:rsidP="006B04B5">
            <w:pPr>
              <w:spacing w:after="0"/>
            </w:pPr>
            <w:r>
              <w:t>Cons</w:t>
            </w:r>
          </w:p>
          <w:p w14:paraId="16101B50" w14:textId="0AFE23D9" w:rsidR="00C447AF" w:rsidRPr="00C447AF" w:rsidRDefault="006B04B5" w:rsidP="006B04B5">
            <w:pPr>
              <w:pStyle w:val="ListParagraph"/>
              <w:numPr>
                <w:ilvl w:val="0"/>
                <w:numId w:val="7"/>
              </w:numPr>
              <w:spacing w:after="0"/>
            </w:pPr>
            <w:r>
              <w:t>Non-transparent</w:t>
            </w:r>
          </w:p>
        </w:tc>
      </w:tr>
      <w:tr w:rsidR="00C447AF" w:rsidRPr="00C447AF" w14:paraId="77F92D48" w14:textId="02F48C6E" w:rsidTr="0013285C">
        <w:tc>
          <w:tcPr>
            <w:tcW w:w="1837" w:type="dxa"/>
          </w:tcPr>
          <w:p w14:paraId="21A1D774" w14:textId="187536A9" w:rsidR="00C447AF" w:rsidRPr="00C447AF" w:rsidRDefault="00243E4D" w:rsidP="00196A7A">
            <w:pPr>
              <w:spacing w:after="0"/>
            </w:pPr>
            <w:r>
              <w:t>Small delay CDD</w:t>
            </w:r>
          </w:p>
        </w:tc>
        <w:tc>
          <w:tcPr>
            <w:tcW w:w="1059" w:type="dxa"/>
          </w:tcPr>
          <w:p w14:paraId="58D33603" w14:textId="738BC022" w:rsidR="00C447AF" w:rsidRPr="00C447AF" w:rsidRDefault="00243E4D" w:rsidP="00243E4D">
            <w:pPr>
              <w:spacing w:after="0"/>
            </w:pPr>
            <w:r>
              <w:t>&lt; 2</w:t>
            </w:r>
          </w:p>
        </w:tc>
        <w:tc>
          <w:tcPr>
            <w:tcW w:w="1597" w:type="dxa"/>
          </w:tcPr>
          <w:p w14:paraId="39CBE5C2" w14:textId="38162F8B" w:rsidR="00C447AF" w:rsidRPr="00C447AF" w:rsidRDefault="00243E4D" w:rsidP="00196A7A">
            <w:pPr>
              <w:spacing w:after="0"/>
            </w:pPr>
            <w:r>
              <w:t>Transparent</w:t>
            </w:r>
          </w:p>
        </w:tc>
        <w:tc>
          <w:tcPr>
            <w:tcW w:w="1150" w:type="dxa"/>
          </w:tcPr>
          <w:p w14:paraId="5E3A270E" w14:textId="2502107F" w:rsidR="00C447AF" w:rsidRPr="00C447AF" w:rsidRDefault="00243E4D" w:rsidP="00196A7A">
            <w:pPr>
              <w:spacing w:after="0"/>
            </w:pPr>
            <w:r>
              <w:t>1</w:t>
            </w:r>
          </w:p>
        </w:tc>
        <w:tc>
          <w:tcPr>
            <w:tcW w:w="3707" w:type="dxa"/>
          </w:tcPr>
          <w:p w14:paraId="3678C668" w14:textId="77777777" w:rsidR="00C447AF" w:rsidRDefault="00243E4D" w:rsidP="00196A7A">
            <w:pPr>
              <w:spacing w:after="0"/>
            </w:pPr>
            <w:r>
              <w:t>Pros</w:t>
            </w:r>
          </w:p>
          <w:p w14:paraId="4086025E" w14:textId="77777777" w:rsidR="00243E4D" w:rsidRDefault="00243E4D" w:rsidP="00243E4D">
            <w:pPr>
              <w:pStyle w:val="ListParagraph"/>
              <w:numPr>
                <w:ilvl w:val="0"/>
                <w:numId w:val="7"/>
              </w:numPr>
              <w:spacing w:after="0"/>
            </w:pPr>
            <w:r>
              <w:t>Transparent</w:t>
            </w:r>
          </w:p>
          <w:p w14:paraId="4D8EA13B" w14:textId="77777777" w:rsidR="00243E4D" w:rsidRDefault="00243E4D" w:rsidP="00243E4D">
            <w:pPr>
              <w:spacing w:after="0"/>
            </w:pPr>
            <w:r>
              <w:t>Cons</w:t>
            </w:r>
          </w:p>
          <w:p w14:paraId="078B82B8" w14:textId="77777777" w:rsidR="00243E4D" w:rsidRDefault="00243E4D" w:rsidP="00243E4D">
            <w:pPr>
              <w:pStyle w:val="ListParagraph"/>
              <w:numPr>
                <w:ilvl w:val="0"/>
                <w:numId w:val="7"/>
              </w:numPr>
              <w:spacing w:after="0"/>
            </w:pPr>
            <w:r>
              <w:t>Limited diversity gains for small transmission bandwidths</w:t>
            </w:r>
          </w:p>
          <w:p w14:paraId="7ABC0C8F" w14:textId="2A662093" w:rsidR="00243E4D" w:rsidRPr="00C447AF" w:rsidRDefault="00243E4D" w:rsidP="00243E4D">
            <w:pPr>
              <w:pStyle w:val="ListParagraph"/>
              <w:numPr>
                <w:ilvl w:val="0"/>
                <w:numId w:val="7"/>
              </w:numPr>
              <w:spacing w:after="0"/>
            </w:pPr>
            <w:r>
              <w:t>Performance impacts with spatial correlation</w:t>
            </w:r>
          </w:p>
        </w:tc>
      </w:tr>
      <w:tr w:rsidR="00243E4D" w:rsidRPr="00C447AF" w14:paraId="162F74F6" w14:textId="77777777" w:rsidTr="0013285C">
        <w:tc>
          <w:tcPr>
            <w:tcW w:w="1837" w:type="dxa"/>
          </w:tcPr>
          <w:p w14:paraId="0762CBFF" w14:textId="0ADEDA47" w:rsidR="00243E4D" w:rsidRDefault="00243E4D" w:rsidP="00196A7A">
            <w:pPr>
              <w:spacing w:after="0"/>
            </w:pPr>
            <w:r>
              <w:t>Large delay CDD</w:t>
            </w:r>
          </w:p>
        </w:tc>
        <w:tc>
          <w:tcPr>
            <w:tcW w:w="1059" w:type="dxa"/>
          </w:tcPr>
          <w:p w14:paraId="7438B1CD" w14:textId="1BB1D123" w:rsidR="00243E4D" w:rsidRDefault="00243E4D" w:rsidP="00243E4D">
            <w:pPr>
              <w:spacing w:after="0"/>
            </w:pPr>
            <w:r>
              <w:t>&lt; 2</w:t>
            </w:r>
          </w:p>
        </w:tc>
        <w:tc>
          <w:tcPr>
            <w:tcW w:w="1597" w:type="dxa"/>
          </w:tcPr>
          <w:p w14:paraId="3E0A0035" w14:textId="741991BF" w:rsidR="00243E4D" w:rsidRDefault="00243E4D" w:rsidP="00196A7A">
            <w:pPr>
              <w:spacing w:after="0"/>
            </w:pPr>
            <w:r>
              <w:t>Non-transparent</w:t>
            </w:r>
          </w:p>
        </w:tc>
        <w:tc>
          <w:tcPr>
            <w:tcW w:w="1150" w:type="dxa"/>
          </w:tcPr>
          <w:p w14:paraId="20B6B91D" w14:textId="13F93C7C" w:rsidR="00243E4D" w:rsidRDefault="00243E4D" w:rsidP="00196A7A">
            <w:pPr>
              <w:spacing w:after="0"/>
            </w:pPr>
            <w:r>
              <w:t>2</w:t>
            </w:r>
          </w:p>
        </w:tc>
        <w:tc>
          <w:tcPr>
            <w:tcW w:w="3707" w:type="dxa"/>
          </w:tcPr>
          <w:p w14:paraId="6D6BD1C8" w14:textId="77777777" w:rsidR="00243E4D" w:rsidRDefault="00243E4D" w:rsidP="00196A7A">
            <w:pPr>
              <w:spacing w:after="0"/>
            </w:pPr>
            <w:r>
              <w:t>Pros</w:t>
            </w:r>
          </w:p>
          <w:p w14:paraId="1AA2F16C" w14:textId="77777777" w:rsidR="00243E4D" w:rsidRDefault="00243E4D" w:rsidP="00243E4D">
            <w:pPr>
              <w:pStyle w:val="ListParagraph"/>
              <w:numPr>
                <w:ilvl w:val="0"/>
                <w:numId w:val="7"/>
              </w:numPr>
              <w:spacing w:after="0"/>
            </w:pPr>
            <w:r>
              <w:t>Larger diversity gains for small transmission bandwidths (compared to small delay)</w:t>
            </w:r>
          </w:p>
          <w:p w14:paraId="2982107C" w14:textId="77777777" w:rsidR="00243E4D" w:rsidRDefault="00243E4D" w:rsidP="00243E4D">
            <w:pPr>
              <w:spacing w:after="0"/>
            </w:pPr>
            <w:r>
              <w:t>Cons</w:t>
            </w:r>
          </w:p>
          <w:p w14:paraId="31E4DCD9" w14:textId="77777777" w:rsidR="00243E4D" w:rsidRDefault="00243E4D" w:rsidP="00243E4D">
            <w:pPr>
              <w:pStyle w:val="ListParagraph"/>
              <w:numPr>
                <w:ilvl w:val="0"/>
                <w:numId w:val="7"/>
              </w:numPr>
              <w:spacing w:after="0"/>
            </w:pPr>
            <w:r>
              <w:t>Non-transparent</w:t>
            </w:r>
          </w:p>
          <w:p w14:paraId="1CE8486E" w14:textId="33F93AB6" w:rsidR="00243E4D" w:rsidRDefault="00243E4D" w:rsidP="00243E4D">
            <w:pPr>
              <w:pStyle w:val="ListParagraph"/>
              <w:numPr>
                <w:ilvl w:val="0"/>
                <w:numId w:val="7"/>
              </w:numPr>
              <w:spacing w:after="0"/>
            </w:pPr>
            <w:r>
              <w:t>Performance impacts with spatial correlation</w:t>
            </w:r>
          </w:p>
        </w:tc>
      </w:tr>
      <w:tr w:rsidR="0013285C" w:rsidRPr="00C447AF" w14:paraId="24B328BE" w14:textId="77777777" w:rsidTr="0013285C">
        <w:tc>
          <w:tcPr>
            <w:tcW w:w="1837" w:type="dxa"/>
          </w:tcPr>
          <w:p w14:paraId="5F819C2C" w14:textId="7E38D590" w:rsidR="0013285C" w:rsidRDefault="0013285C" w:rsidP="00196A7A">
            <w:pPr>
              <w:spacing w:after="0"/>
            </w:pPr>
            <w:r>
              <w:t>FSTD</w:t>
            </w:r>
          </w:p>
        </w:tc>
        <w:tc>
          <w:tcPr>
            <w:tcW w:w="1059" w:type="dxa"/>
          </w:tcPr>
          <w:p w14:paraId="0A5137FA" w14:textId="1280269A" w:rsidR="0013285C" w:rsidRDefault="0013285C" w:rsidP="00243E4D">
            <w:pPr>
              <w:spacing w:after="0"/>
            </w:pPr>
            <w:r>
              <w:t>&lt;2</w:t>
            </w:r>
          </w:p>
        </w:tc>
        <w:tc>
          <w:tcPr>
            <w:tcW w:w="1597" w:type="dxa"/>
          </w:tcPr>
          <w:p w14:paraId="68DD2C30" w14:textId="101745A3" w:rsidR="0013285C" w:rsidRDefault="0013285C" w:rsidP="00196A7A">
            <w:pPr>
              <w:spacing w:after="0"/>
            </w:pPr>
            <w:r>
              <w:t>Non-transparent</w:t>
            </w:r>
          </w:p>
        </w:tc>
        <w:tc>
          <w:tcPr>
            <w:tcW w:w="1150" w:type="dxa"/>
          </w:tcPr>
          <w:p w14:paraId="07F51A63" w14:textId="67D72B05" w:rsidR="0013285C" w:rsidRDefault="0013285C" w:rsidP="00196A7A">
            <w:pPr>
              <w:spacing w:after="0"/>
            </w:pPr>
            <w:r>
              <w:t>2</w:t>
            </w:r>
          </w:p>
        </w:tc>
        <w:tc>
          <w:tcPr>
            <w:tcW w:w="3707" w:type="dxa"/>
          </w:tcPr>
          <w:p w14:paraId="31E36AD8" w14:textId="5305CCE8" w:rsidR="0013285C" w:rsidRDefault="0013285C" w:rsidP="00196A7A">
            <w:pPr>
              <w:spacing w:after="0"/>
            </w:pPr>
            <w:r>
              <w:t>Pros</w:t>
            </w:r>
          </w:p>
          <w:p w14:paraId="111A8024" w14:textId="3C7CDA8C" w:rsidR="0013285C" w:rsidRDefault="0013285C" w:rsidP="00876F70">
            <w:pPr>
              <w:pStyle w:val="ListParagraph"/>
              <w:numPr>
                <w:ilvl w:val="0"/>
                <w:numId w:val="7"/>
              </w:numPr>
              <w:spacing w:after="0"/>
            </w:pPr>
            <w:r>
              <w:t>Stable performance in spatially correlated channels</w:t>
            </w:r>
          </w:p>
          <w:p w14:paraId="319BC04C" w14:textId="77777777" w:rsidR="0013285C" w:rsidRDefault="0013285C" w:rsidP="0013285C">
            <w:pPr>
              <w:spacing w:after="0"/>
            </w:pPr>
            <w:r>
              <w:t>Cons</w:t>
            </w:r>
          </w:p>
          <w:p w14:paraId="6101FF7C" w14:textId="662C7809" w:rsidR="0013285C" w:rsidRDefault="0013285C" w:rsidP="0013285C">
            <w:pPr>
              <w:pStyle w:val="ListParagraph"/>
              <w:numPr>
                <w:ilvl w:val="0"/>
                <w:numId w:val="7"/>
              </w:numPr>
              <w:spacing w:after="0"/>
            </w:pPr>
            <w:r>
              <w:t>Requires 2 DFTs</w:t>
            </w:r>
          </w:p>
        </w:tc>
      </w:tr>
    </w:tbl>
    <w:p w14:paraId="52242653" w14:textId="77777777" w:rsidR="00C447AF" w:rsidRDefault="00C447AF" w:rsidP="0029756E">
      <w:pPr>
        <w:jc w:val="both"/>
      </w:pPr>
    </w:p>
    <w:p w14:paraId="4521268B" w14:textId="0D06E1E3" w:rsidR="0029756E" w:rsidRDefault="002F285C" w:rsidP="002F285C">
      <w:pPr>
        <w:jc w:val="both"/>
      </w:pPr>
      <w:r>
        <w:t xml:space="preserve">Based on the discussion above and the summary presented in </w:t>
      </w:r>
      <w:r>
        <w:fldChar w:fldCharType="begin"/>
      </w:r>
      <w:r>
        <w:instrText xml:space="preserve"> REF _Ref478104375 \h </w:instrText>
      </w:r>
      <w:r>
        <w:fldChar w:fldCharType="separate"/>
      </w:r>
      <w:r w:rsidR="00E20A2B">
        <w:t xml:space="preserve">Table </w:t>
      </w:r>
      <w:r w:rsidR="00E20A2B">
        <w:rPr>
          <w:noProof/>
        </w:rPr>
        <w:t>1</w:t>
      </w:r>
      <w:r>
        <w:fldChar w:fldCharType="end"/>
      </w:r>
      <w:r>
        <w:t>, we make the following proposals:</w:t>
      </w:r>
    </w:p>
    <w:p w14:paraId="21506555" w14:textId="4DC344FE" w:rsidR="00F20179" w:rsidRDefault="00F20179" w:rsidP="00955E0A">
      <w:pPr>
        <w:jc w:val="both"/>
      </w:pPr>
      <w:r w:rsidRPr="00F20179">
        <w:rPr>
          <w:b/>
        </w:rPr>
        <w:t xml:space="preserve">Proposal </w:t>
      </w:r>
      <w:r w:rsidR="006C2BD4">
        <w:rPr>
          <w:b/>
        </w:rPr>
        <w:t>1</w:t>
      </w:r>
      <w:r>
        <w:t xml:space="preserve">: Focus on 2-Tx transmit diversity schemes for PSSCH. </w:t>
      </w:r>
    </w:p>
    <w:p w14:paraId="35D7F603" w14:textId="1072E344" w:rsidR="00F20179" w:rsidRDefault="00F20179" w:rsidP="00955E0A">
      <w:pPr>
        <w:jc w:val="both"/>
      </w:pPr>
      <w:r w:rsidRPr="00F20179">
        <w:rPr>
          <w:b/>
        </w:rPr>
        <w:t xml:space="preserve">Proposal </w:t>
      </w:r>
      <w:r w:rsidR="006C2BD4">
        <w:rPr>
          <w:b/>
        </w:rPr>
        <w:t>2</w:t>
      </w:r>
      <w:r>
        <w:t xml:space="preserve">: Robustness of the </w:t>
      </w:r>
      <w:r w:rsidR="000E0C05">
        <w:t xml:space="preserve">Tx </w:t>
      </w:r>
      <w:r>
        <w:t xml:space="preserve">diversity schemes </w:t>
      </w:r>
      <w:r w:rsidR="002F285C">
        <w:t xml:space="preserve">for PSSCH </w:t>
      </w:r>
      <w:r w:rsidR="000E0C05">
        <w:t xml:space="preserve">in high-Doppler conditions </w:t>
      </w:r>
      <w:r>
        <w:t>should be investigated.</w:t>
      </w:r>
    </w:p>
    <w:p w14:paraId="3BEFEF8C" w14:textId="2FC7914E" w:rsidR="003319F5" w:rsidRDefault="002F285C" w:rsidP="00955E0A">
      <w:pPr>
        <w:jc w:val="both"/>
      </w:pPr>
      <w:r w:rsidRPr="002F285C">
        <w:rPr>
          <w:b/>
        </w:rPr>
        <w:t xml:space="preserve">Proposal </w:t>
      </w:r>
      <w:r w:rsidR="006C2BD4">
        <w:rPr>
          <w:b/>
        </w:rPr>
        <w:t>3</w:t>
      </w:r>
      <w:r w:rsidRPr="002F285C">
        <w:rPr>
          <w:b/>
        </w:rPr>
        <w:t xml:space="preserve">: </w:t>
      </w:r>
      <w:r w:rsidR="003319F5">
        <w:t xml:space="preserve">Further study the performance of </w:t>
      </w:r>
      <w:r w:rsidR="009A6A73">
        <w:t xml:space="preserve">following </w:t>
      </w:r>
      <w:r w:rsidR="003319F5">
        <w:t>transmit diversity schemes for PSSCH</w:t>
      </w:r>
      <w:r w:rsidR="009A6A73">
        <w:t>:</w:t>
      </w:r>
    </w:p>
    <w:p w14:paraId="0AD3175F" w14:textId="161E32E9" w:rsidR="003319F5" w:rsidRDefault="003319F5" w:rsidP="0016241C">
      <w:pPr>
        <w:pStyle w:val="ListParagraph"/>
        <w:numPr>
          <w:ilvl w:val="0"/>
          <w:numId w:val="7"/>
        </w:numPr>
        <w:jc w:val="both"/>
      </w:pPr>
      <w:r>
        <w:t xml:space="preserve">STBC (in pairs, and alternate diversity for </w:t>
      </w:r>
      <w:r w:rsidR="00020AB8">
        <w:t xml:space="preserve">first </w:t>
      </w:r>
      <w:r>
        <w:t>symbol)</w:t>
      </w:r>
    </w:p>
    <w:p w14:paraId="4380672E" w14:textId="736511EC" w:rsidR="003319F5" w:rsidRDefault="003319F5" w:rsidP="0016241C">
      <w:pPr>
        <w:pStyle w:val="ListParagraph"/>
        <w:numPr>
          <w:ilvl w:val="0"/>
          <w:numId w:val="7"/>
        </w:numPr>
        <w:jc w:val="both"/>
      </w:pPr>
      <w:r>
        <w:t xml:space="preserve">Virtual half-symbols STBC as proposed in </w:t>
      </w:r>
      <w:r w:rsidRPr="00D70577">
        <w:t>R1-1702601</w:t>
      </w:r>
    </w:p>
    <w:p w14:paraId="57EE1A99" w14:textId="02576B9D" w:rsidR="006C2BD4" w:rsidRPr="003319F5" w:rsidRDefault="003319F5" w:rsidP="0016241C">
      <w:pPr>
        <w:pStyle w:val="ListParagraph"/>
        <w:numPr>
          <w:ilvl w:val="0"/>
          <w:numId w:val="7"/>
        </w:numPr>
        <w:jc w:val="both"/>
      </w:pPr>
      <w:r>
        <w:t>Small delay CDD</w:t>
      </w:r>
    </w:p>
    <w:p w14:paraId="53524841" w14:textId="2862FBF5" w:rsidR="00F9749E" w:rsidRDefault="005813DB" w:rsidP="00F9749E">
      <w:pPr>
        <w:pStyle w:val="Heading1"/>
      </w:pPr>
      <w:r>
        <w:rPr>
          <w:i/>
        </w:rPr>
        <w:t>3</w:t>
      </w:r>
      <w:r w:rsidR="00F9749E">
        <w:tab/>
        <w:t>Conclusion</w:t>
      </w:r>
    </w:p>
    <w:p w14:paraId="1210D4D4" w14:textId="12F12277" w:rsidR="003C4086" w:rsidRDefault="003C4086" w:rsidP="003C4086">
      <w:pPr>
        <w:tabs>
          <w:tab w:val="left" w:pos="2154"/>
        </w:tabs>
        <w:jc w:val="both"/>
      </w:pPr>
      <w:r w:rsidRPr="003C4086">
        <w:t>In this contribution, we make the following observations and proposals regarding transmit diversity for V2X.</w:t>
      </w:r>
    </w:p>
    <w:p w14:paraId="41B632D5" w14:textId="47BF5446" w:rsidR="003C4086" w:rsidRDefault="003C4086" w:rsidP="003C4086">
      <w:pPr>
        <w:tabs>
          <w:tab w:val="left" w:pos="2154"/>
        </w:tabs>
        <w:jc w:val="both"/>
      </w:pPr>
      <w:r w:rsidRPr="00DF25D1">
        <w:rPr>
          <w:b/>
        </w:rPr>
        <w:t xml:space="preserve">Observation </w:t>
      </w:r>
      <w:r>
        <w:rPr>
          <w:b/>
        </w:rPr>
        <w:t xml:space="preserve">1: </w:t>
      </w:r>
      <w:r>
        <w:t>Transmit diversity for PSSCH may provide potential gains to link performance; however, the achievable gains need to be investigated in both low- and high-Doppler channels.</w:t>
      </w:r>
    </w:p>
    <w:p w14:paraId="131329FE" w14:textId="748FED62" w:rsidR="003C4086" w:rsidRDefault="003C4086" w:rsidP="003C4086">
      <w:pPr>
        <w:jc w:val="both"/>
      </w:pPr>
      <w:r w:rsidRPr="00F20179">
        <w:rPr>
          <w:b/>
        </w:rPr>
        <w:t xml:space="preserve">Proposal </w:t>
      </w:r>
      <w:r w:rsidR="006C2BD4">
        <w:rPr>
          <w:b/>
        </w:rPr>
        <w:t>1</w:t>
      </w:r>
      <w:r>
        <w:t xml:space="preserve">: Focus on 2-Tx transmit diversity schemes for PSSCH. </w:t>
      </w:r>
    </w:p>
    <w:p w14:paraId="638858C7" w14:textId="77777777" w:rsidR="000E0C05" w:rsidRDefault="000E0C05" w:rsidP="000E0C05">
      <w:pPr>
        <w:jc w:val="both"/>
      </w:pPr>
      <w:r w:rsidRPr="00F20179">
        <w:rPr>
          <w:b/>
        </w:rPr>
        <w:t xml:space="preserve">Proposal </w:t>
      </w:r>
      <w:r>
        <w:rPr>
          <w:b/>
        </w:rPr>
        <w:t>2</w:t>
      </w:r>
      <w:r>
        <w:t>: Robustness of the Tx diversity schemes for PSSCH in high-Doppler conditions should be investigated.</w:t>
      </w:r>
    </w:p>
    <w:p w14:paraId="2EF0845B" w14:textId="25ECE986" w:rsidR="00A14F4A" w:rsidRDefault="009A6A73" w:rsidP="0016241C">
      <w:pPr>
        <w:rPr>
          <w:b/>
        </w:rPr>
      </w:pPr>
      <w:r w:rsidRPr="006C2BD4">
        <w:rPr>
          <w:b/>
        </w:rPr>
        <w:t xml:space="preserve">Proposal </w:t>
      </w:r>
      <w:r w:rsidR="006C2BD4">
        <w:rPr>
          <w:b/>
        </w:rPr>
        <w:t>3</w:t>
      </w:r>
      <w:r w:rsidRPr="006C2BD4">
        <w:rPr>
          <w:b/>
        </w:rPr>
        <w:t xml:space="preserve">: </w:t>
      </w:r>
      <w:r>
        <w:t>Further study the performance of following transmit diversity schemes for PSSCH:</w:t>
      </w:r>
      <w:r w:rsidR="00A14F4A" w:rsidRPr="006C2BD4" w:rsidDel="00A14F4A">
        <w:rPr>
          <w:b/>
        </w:rPr>
        <w:t xml:space="preserve"> </w:t>
      </w:r>
    </w:p>
    <w:p w14:paraId="10F91899" w14:textId="2C961EA4" w:rsidR="00A14F4A" w:rsidRDefault="00A14F4A" w:rsidP="0016241C">
      <w:pPr>
        <w:pStyle w:val="ListParagraph"/>
        <w:numPr>
          <w:ilvl w:val="0"/>
          <w:numId w:val="7"/>
        </w:numPr>
      </w:pPr>
      <w:r>
        <w:t>STBC (in pairs, and alternate diversity for first symbol)</w:t>
      </w:r>
    </w:p>
    <w:p w14:paraId="0F806B0F" w14:textId="35FEF490" w:rsidR="003C4086" w:rsidRDefault="003C4086" w:rsidP="0016241C">
      <w:pPr>
        <w:pStyle w:val="ListParagraph"/>
        <w:numPr>
          <w:ilvl w:val="0"/>
          <w:numId w:val="7"/>
        </w:numPr>
        <w:jc w:val="both"/>
      </w:pPr>
      <w:r>
        <w:t xml:space="preserve">Virtual half-symbols STBC as proposed in </w:t>
      </w:r>
      <w:r w:rsidRPr="00D70577">
        <w:t>R1-1702601</w:t>
      </w:r>
    </w:p>
    <w:p w14:paraId="5A01574D" w14:textId="1225127F" w:rsidR="006C2BD4" w:rsidRPr="003319F5" w:rsidRDefault="003C4086" w:rsidP="0016241C">
      <w:pPr>
        <w:pStyle w:val="ListParagraph"/>
        <w:numPr>
          <w:ilvl w:val="0"/>
          <w:numId w:val="7"/>
        </w:numPr>
        <w:jc w:val="both"/>
      </w:pPr>
      <w:r>
        <w:t>Small delay CDD</w:t>
      </w:r>
    </w:p>
    <w:p w14:paraId="32F7E829" w14:textId="587669B0" w:rsidR="00CB1C5B" w:rsidRPr="00986956" w:rsidRDefault="00CB1C5B" w:rsidP="00CB1C5B">
      <w:pPr>
        <w:pStyle w:val="Heading1"/>
        <w:rPr>
          <w:lang w:val="en-US"/>
        </w:rPr>
      </w:pPr>
      <w:r w:rsidRPr="00986956">
        <w:rPr>
          <w:lang w:val="en-US"/>
        </w:rPr>
        <w:t>References</w:t>
      </w:r>
    </w:p>
    <w:p w14:paraId="54538AB5" w14:textId="3F9D3795" w:rsidR="00930A51" w:rsidRDefault="00264160" w:rsidP="0016241C">
      <w:pPr>
        <w:numPr>
          <w:ilvl w:val="0"/>
          <w:numId w:val="1"/>
        </w:numPr>
        <w:spacing w:after="0"/>
        <w:jc w:val="both"/>
      </w:pPr>
      <w:r>
        <w:t>RP-170798, “</w:t>
      </w:r>
      <w:r w:rsidRPr="00264160">
        <w:t>New WID on 3GPP V2X Phase 2</w:t>
      </w:r>
      <w:r>
        <w:t xml:space="preserve">”, </w:t>
      </w:r>
      <w:r w:rsidRPr="00264160">
        <w:t>Huawei, CATT, LG Electronics, HiSilicon, China Unicom</w:t>
      </w:r>
      <w:r>
        <w:t>, March 2017</w:t>
      </w:r>
    </w:p>
    <w:p w14:paraId="1FA0C7AC" w14:textId="7273A485" w:rsidR="0050736D" w:rsidRDefault="0050736D" w:rsidP="0016241C">
      <w:pPr>
        <w:numPr>
          <w:ilvl w:val="0"/>
          <w:numId w:val="1"/>
        </w:numPr>
        <w:spacing w:after="0"/>
        <w:jc w:val="both"/>
      </w:pPr>
      <w:r>
        <w:t>R1</w:t>
      </w:r>
      <w:r>
        <w:rPr>
          <w:rFonts w:ascii="Cambria Math" w:hAnsi="Cambria Math" w:cs="Cambria Math"/>
        </w:rPr>
        <w:t>‑</w:t>
      </w:r>
      <w:r>
        <w:t>091463, “PUSCH transmit diversity”, Qualcomm, May 2009</w:t>
      </w:r>
    </w:p>
    <w:p w14:paraId="7618D631" w14:textId="52DD1AD6" w:rsidR="0050736D" w:rsidRDefault="0050736D" w:rsidP="0016241C">
      <w:pPr>
        <w:numPr>
          <w:ilvl w:val="0"/>
          <w:numId w:val="1"/>
        </w:numPr>
        <w:spacing w:after="0"/>
        <w:jc w:val="both"/>
      </w:pPr>
      <w:r>
        <w:t>R1</w:t>
      </w:r>
      <w:r>
        <w:rPr>
          <w:rFonts w:ascii="Cambria Math" w:hAnsi="Cambria Math" w:cs="Cambria Math"/>
        </w:rPr>
        <w:t>‑</w:t>
      </w:r>
      <w:r>
        <w:t>091546, “Comparison of uplink 2-TX transmit diversity schemes for LTE-Advanced”, Mitsubishi Electric, May 2009</w:t>
      </w:r>
    </w:p>
    <w:p w14:paraId="31DE054C" w14:textId="21CF5DAD" w:rsidR="0050736D" w:rsidRDefault="0050736D" w:rsidP="0016241C">
      <w:pPr>
        <w:numPr>
          <w:ilvl w:val="0"/>
          <w:numId w:val="1"/>
        </w:numPr>
        <w:spacing w:after="0"/>
        <w:jc w:val="both"/>
      </w:pPr>
      <w:r>
        <w:t>R1</w:t>
      </w:r>
      <w:r>
        <w:rPr>
          <w:rFonts w:ascii="Cambria Math" w:hAnsi="Cambria Math" w:cs="Cambria Math"/>
        </w:rPr>
        <w:t>‑</w:t>
      </w:r>
      <w:r>
        <w:t xml:space="preserve">091212, “Performance evaluation of PUSCH 2Tx transmit diversity schemes in LTE-A”, LG Electronics, May 2009 </w:t>
      </w:r>
    </w:p>
    <w:p w14:paraId="2D7DF2E0" w14:textId="362C615A" w:rsidR="0050736D" w:rsidRDefault="0050736D" w:rsidP="0016241C">
      <w:pPr>
        <w:numPr>
          <w:ilvl w:val="0"/>
          <w:numId w:val="1"/>
        </w:numPr>
        <w:spacing w:after="0"/>
        <w:jc w:val="both"/>
      </w:pPr>
      <w:r>
        <w:t>R1</w:t>
      </w:r>
      <w:r>
        <w:rPr>
          <w:rFonts w:ascii="Cambria Math" w:hAnsi="Cambria Math" w:cs="Cambria Math"/>
        </w:rPr>
        <w:t>‑</w:t>
      </w:r>
      <w:r>
        <w:t>091244, “Discussions on UL 2Tx Transmit Diversity Schemes in LTE-A”, Samsung, May 2009</w:t>
      </w:r>
    </w:p>
    <w:p w14:paraId="53DB530A" w14:textId="0C761A36" w:rsidR="0050736D" w:rsidRDefault="0050736D" w:rsidP="0016241C">
      <w:pPr>
        <w:numPr>
          <w:ilvl w:val="0"/>
          <w:numId w:val="1"/>
        </w:numPr>
        <w:spacing w:after="0"/>
        <w:jc w:val="both"/>
      </w:pPr>
      <w:r>
        <w:t>R1</w:t>
      </w:r>
      <w:r>
        <w:rPr>
          <w:rFonts w:ascii="Cambria Math" w:hAnsi="Cambria Math" w:cs="Cambria Math"/>
        </w:rPr>
        <w:t>‑</w:t>
      </w:r>
      <w:r>
        <w:t>091278, “Comparison of UL TX diversity scheme for PUSCH”, Huawei, May 2009</w:t>
      </w:r>
    </w:p>
    <w:p w14:paraId="200D9468" w14:textId="06343873" w:rsidR="0050736D" w:rsidRDefault="0050736D" w:rsidP="0016241C">
      <w:pPr>
        <w:numPr>
          <w:ilvl w:val="0"/>
          <w:numId w:val="1"/>
        </w:numPr>
        <w:spacing w:after="0"/>
        <w:jc w:val="both"/>
      </w:pPr>
      <w:r>
        <w:t>R1</w:t>
      </w:r>
      <w:r>
        <w:rPr>
          <w:rFonts w:ascii="Cambria Math" w:hAnsi="Cambria Math" w:cs="Cambria Math"/>
        </w:rPr>
        <w:t>‑</w:t>
      </w:r>
      <w:r>
        <w:t>091432, “4Tx Transmit Diversity Schemes for PUSCH in LTE-A”, ZTE, May 2009</w:t>
      </w:r>
    </w:p>
    <w:p w14:paraId="0D6A36FC" w14:textId="3080380B" w:rsidR="0050736D" w:rsidRDefault="0050736D" w:rsidP="0016241C">
      <w:pPr>
        <w:numPr>
          <w:ilvl w:val="0"/>
          <w:numId w:val="1"/>
        </w:numPr>
        <w:spacing w:after="0"/>
        <w:jc w:val="both"/>
      </w:pPr>
      <w:r>
        <w:t>R1</w:t>
      </w:r>
      <w:r>
        <w:rPr>
          <w:rFonts w:ascii="Cambria Math" w:hAnsi="Cambria Math" w:cs="Cambria Math"/>
        </w:rPr>
        <w:t>‑</w:t>
      </w:r>
      <w:r>
        <w:t>091489, “UL Transmit Diversity Schemes in LTE-Advanced”, NTT DOCOMO, May 2009</w:t>
      </w:r>
    </w:p>
    <w:p w14:paraId="6F8150DB" w14:textId="03F02EFB" w:rsidR="009B7EB3" w:rsidRDefault="009B7EB3" w:rsidP="0016241C">
      <w:pPr>
        <w:numPr>
          <w:ilvl w:val="0"/>
          <w:numId w:val="1"/>
        </w:numPr>
        <w:spacing w:after="0"/>
        <w:jc w:val="both"/>
      </w:pPr>
      <w:r>
        <w:t>R1-1702601, “</w:t>
      </w:r>
      <w:r w:rsidRPr="009B7EB3">
        <w:t>On UL diversity transmission scheme</w:t>
      </w:r>
      <w:r>
        <w:t xml:space="preserve">”, Qualcomm, </w:t>
      </w:r>
      <w:r w:rsidR="00352187">
        <w:t>Feb 2017</w:t>
      </w:r>
    </w:p>
    <w:p w14:paraId="41F2BE6F" w14:textId="7F739C71" w:rsidR="0050736D" w:rsidRDefault="009B7EB3" w:rsidP="0016241C">
      <w:pPr>
        <w:numPr>
          <w:ilvl w:val="0"/>
          <w:numId w:val="1"/>
        </w:numPr>
        <w:spacing w:after="0"/>
        <w:jc w:val="both"/>
      </w:pPr>
      <w:r>
        <w:t>R1-1701925, “</w:t>
      </w:r>
      <w:r w:rsidRPr="009B7EB3">
        <w:t>PAPR preserving SFBC for DFT</w:t>
      </w:r>
      <w:r w:rsidR="00FC040D">
        <w:t>-</w:t>
      </w:r>
      <w:r w:rsidRPr="009B7EB3">
        <w:t>s</w:t>
      </w:r>
      <w:r w:rsidR="00FC040D">
        <w:t>-</w:t>
      </w:r>
      <w:r w:rsidRPr="009B7EB3">
        <w:t>OFDM</w:t>
      </w:r>
      <w:r>
        <w:t xml:space="preserve">”, </w:t>
      </w:r>
      <w:r w:rsidRPr="009B7EB3">
        <w:t>Mitsubishi Electric</w:t>
      </w:r>
      <w:r>
        <w:t xml:space="preserve">, </w:t>
      </w:r>
      <w:r w:rsidR="00352187">
        <w:t>Feb 2017</w:t>
      </w:r>
    </w:p>
    <w:p w14:paraId="6C4B0C59" w14:textId="77777777" w:rsidR="00930A51" w:rsidRDefault="00930A51" w:rsidP="00F873E4">
      <w:pPr>
        <w:spacing w:after="0"/>
      </w:pPr>
    </w:p>
    <w:p w14:paraId="1625A93F" w14:textId="64752012" w:rsidR="001A4C95" w:rsidRDefault="001A4C95">
      <w:pPr>
        <w:overflowPunct/>
        <w:autoSpaceDE/>
        <w:autoSpaceDN/>
        <w:adjustRightInd/>
        <w:spacing w:after="0"/>
        <w:textAlignment w:val="auto"/>
      </w:pPr>
    </w:p>
    <w:sectPr w:rsidR="001A4C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E841A37"/>
    <w:multiLevelType w:val="hybridMultilevel"/>
    <w:tmpl w:val="A3F209D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80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BB8263B"/>
    <w:multiLevelType w:val="hybridMultilevel"/>
    <w:tmpl w:val="36B6589A"/>
    <w:lvl w:ilvl="0" w:tplc="A8D697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846238"/>
    <w:multiLevelType w:val="hybridMultilevel"/>
    <w:tmpl w:val="C1D820E2"/>
    <w:lvl w:ilvl="0" w:tplc="185A95E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00557"/>
    <w:multiLevelType w:val="hybridMultilevel"/>
    <w:tmpl w:val="0B2CE1B0"/>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E13344"/>
    <w:multiLevelType w:val="hybridMultilevel"/>
    <w:tmpl w:val="9508F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6D218B7"/>
    <w:multiLevelType w:val="hybridMultilevel"/>
    <w:tmpl w:val="D3BEC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D352786"/>
    <w:multiLevelType w:val="hybridMultilevel"/>
    <w:tmpl w:val="026C35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7"/>
  </w:num>
  <w:num w:numId="4">
    <w:abstractNumId w:val="3"/>
  </w:num>
  <w:num w:numId="5">
    <w:abstractNumId w:val="6"/>
  </w:num>
  <w:num w:numId="6">
    <w:abstractNumId w:val="8"/>
  </w:num>
  <w:num w:numId="7">
    <w:abstractNumId w:val="4"/>
  </w:num>
  <w:num w:numId="8">
    <w:abstractNumId w:val="5"/>
  </w:num>
  <w:num w:numId="9">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41A0"/>
    <w:rsid w:val="00004611"/>
    <w:rsid w:val="00006D93"/>
    <w:rsid w:val="0001102B"/>
    <w:rsid w:val="00015268"/>
    <w:rsid w:val="00015C04"/>
    <w:rsid w:val="00017CEE"/>
    <w:rsid w:val="00020AB8"/>
    <w:rsid w:val="00021364"/>
    <w:rsid w:val="00024C64"/>
    <w:rsid w:val="00024D2F"/>
    <w:rsid w:val="00030B16"/>
    <w:rsid w:val="00031084"/>
    <w:rsid w:val="000322FA"/>
    <w:rsid w:val="00035170"/>
    <w:rsid w:val="00035257"/>
    <w:rsid w:val="00036273"/>
    <w:rsid w:val="0004018A"/>
    <w:rsid w:val="000436DA"/>
    <w:rsid w:val="00043C85"/>
    <w:rsid w:val="00045725"/>
    <w:rsid w:val="000468F3"/>
    <w:rsid w:val="00046B05"/>
    <w:rsid w:val="00046EFD"/>
    <w:rsid w:val="0005066F"/>
    <w:rsid w:val="000522C1"/>
    <w:rsid w:val="00054B46"/>
    <w:rsid w:val="0005702C"/>
    <w:rsid w:val="00061A7A"/>
    <w:rsid w:val="000627E6"/>
    <w:rsid w:val="00063525"/>
    <w:rsid w:val="0006562E"/>
    <w:rsid w:val="00066D09"/>
    <w:rsid w:val="000674C0"/>
    <w:rsid w:val="0007187C"/>
    <w:rsid w:val="000728E7"/>
    <w:rsid w:val="00072EA0"/>
    <w:rsid w:val="00080100"/>
    <w:rsid w:val="0008017F"/>
    <w:rsid w:val="000810A5"/>
    <w:rsid w:val="00081B65"/>
    <w:rsid w:val="00081F4C"/>
    <w:rsid w:val="000846BD"/>
    <w:rsid w:val="00086962"/>
    <w:rsid w:val="00091749"/>
    <w:rsid w:val="000924F3"/>
    <w:rsid w:val="00096447"/>
    <w:rsid w:val="00096451"/>
    <w:rsid w:val="00097C42"/>
    <w:rsid w:val="000A07B1"/>
    <w:rsid w:val="000A24C0"/>
    <w:rsid w:val="000A3668"/>
    <w:rsid w:val="000A49C8"/>
    <w:rsid w:val="000A65A7"/>
    <w:rsid w:val="000B2F90"/>
    <w:rsid w:val="000B579E"/>
    <w:rsid w:val="000B7FFC"/>
    <w:rsid w:val="000C19EA"/>
    <w:rsid w:val="000C5181"/>
    <w:rsid w:val="000C664C"/>
    <w:rsid w:val="000C7BF0"/>
    <w:rsid w:val="000D1833"/>
    <w:rsid w:val="000D2968"/>
    <w:rsid w:val="000E0C05"/>
    <w:rsid w:val="000E14DC"/>
    <w:rsid w:val="000E1573"/>
    <w:rsid w:val="000E164A"/>
    <w:rsid w:val="000E4CC8"/>
    <w:rsid w:val="000E67F5"/>
    <w:rsid w:val="000F08B7"/>
    <w:rsid w:val="000F0D1B"/>
    <w:rsid w:val="000F363B"/>
    <w:rsid w:val="000F3BF6"/>
    <w:rsid w:val="000F56E1"/>
    <w:rsid w:val="000F71FB"/>
    <w:rsid w:val="000F729A"/>
    <w:rsid w:val="000F7640"/>
    <w:rsid w:val="00101CCB"/>
    <w:rsid w:val="0010596D"/>
    <w:rsid w:val="00105E01"/>
    <w:rsid w:val="0010693B"/>
    <w:rsid w:val="00106B4D"/>
    <w:rsid w:val="001079A0"/>
    <w:rsid w:val="001129AD"/>
    <w:rsid w:val="00121A26"/>
    <w:rsid w:val="00123423"/>
    <w:rsid w:val="00123555"/>
    <w:rsid w:val="0012552D"/>
    <w:rsid w:val="00126B23"/>
    <w:rsid w:val="001276A8"/>
    <w:rsid w:val="00127B21"/>
    <w:rsid w:val="0013285C"/>
    <w:rsid w:val="00133D6E"/>
    <w:rsid w:val="00134FF5"/>
    <w:rsid w:val="00136F15"/>
    <w:rsid w:val="001407C9"/>
    <w:rsid w:val="00141B75"/>
    <w:rsid w:val="001437A6"/>
    <w:rsid w:val="00143C8B"/>
    <w:rsid w:val="001442B2"/>
    <w:rsid w:val="00145099"/>
    <w:rsid w:val="001450E5"/>
    <w:rsid w:val="001455D3"/>
    <w:rsid w:val="00147701"/>
    <w:rsid w:val="00147C38"/>
    <w:rsid w:val="00150194"/>
    <w:rsid w:val="0015171E"/>
    <w:rsid w:val="00154044"/>
    <w:rsid w:val="0015507E"/>
    <w:rsid w:val="00155E5E"/>
    <w:rsid w:val="00156EF6"/>
    <w:rsid w:val="00157BDF"/>
    <w:rsid w:val="001603D9"/>
    <w:rsid w:val="00160583"/>
    <w:rsid w:val="0016241C"/>
    <w:rsid w:val="00162507"/>
    <w:rsid w:val="0016374B"/>
    <w:rsid w:val="001642FF"/>
    <w:rsid w:val="00167082"/>
    <w:rsid w:val="00167642"/>
    <w:rsid w:val="00170228"/>
    <w:rsid w:val="001765E6"/>
    <w:rsid w:val="001770A3"/>
    <w:rsid w:val="00177C69"/>
    <w:rsid w:val="0018093F"/>
    <w:rsid w:val="0018336B"/>
    <w:rsid w:val="001836F3"/>
    <w:rsid w:val="00185D58"/>
    <w:rsid w:val="00186742"/>
    <w:rsid w:val="0018782A"/>
    <w:rsid w:val="00193914"/>
    <w:rsid w:val="00193CD5"/>
    <w:rsid w:val="00196A7A"/>
    <w:rsid w:val="001A181C"/>
    <w:rsid w:val="001A329F"/>
    <w:rsid w:val="001A3FF9"/>
    <w:rsid w:val="001A4C95"/>
    <w:rsid w:val="001A6755"/>
    <w:rsid w:val="001A784E"/>
    <w:rsid w:val="001A7B56"/>
    <w:rsid w:val="001B0B37"/>
    <w:rsid w:val="001B153D"/>
    <w:rsid w:val="001C12F4"/>
    <w:rsid w:val="001C2590"/>
    <w:rsid w:val="001C3A1E"/>
    <w:rsid w:val="001C44CC"/>
    <w:rsid w:val="001C534A"/>
    <w:rsid w:val="001C79FA"/>
    <w:rsid w:val="001D15A6"/>
    <w:rsid w:val="001D2912"/>
    <w:rsid w:val="001D33EA"/>
    <w:rsid w:val="001D340C"/>
    <w:rsid w:val="001D5BC3"/>
    <w:rsid w:val="001D60AC"/>
    <w:rsid w:val="001D70C0"/>
    <w:rsid w:val="001D7171"/>
    <w:rsid w:val="001E016E"/>
    <w:rsid w:val="001E0F54"/>
    <w:rsid w:val="001E72C1"/>
    <w:rsid w:val="001F0590"/>
    <w:rsid w:val="001F14EC"/>
    <w:rsid w:val="001F36CD"/>
    <w:rsid w:val="001F4437"/>
    <w:rsid w:val="001F4F07"/>
    <w:rsid w:val="00200F68"/>
    <w:rsid w:val="0020104E"/>
    <w:rsid w:val="002061CB"/>
    <w:rsid w:val="00207B06"/>
    <w:rsid w:val="002127E7"/>
    <w:rsid w:val="00212883"/>
    <w:rsid w:val="00213111"/>
    <w:rsid w:val="00215591"/>
    <w:rsid w:val="00216E14"/>
    <w:rsid w:val="002172E7"/>
    <w:rsid w:val="002209F4"/>
    <w:rsid w:val="00222094"/>
    <w:rsid w:val="00223AA3"/>
    <w:rsid w:val="002276D2"/>
    <w:rsid w:val="00231510"/>
    <w:rsid w:val="00232B83"/>
    <w:rsid w:val="00233E03"/>
    <w:rsid w:val="0023484F"/>
    <w:rsid w:val="00236686"/>
    <w:rsid w:val="00236EFB"/>
    <w:rsid w:val="0024057D"/>
    <w:rsid w:val="00241BBA"/>
    <w:rsid w:val="00242697"/>
    <w:rsid w:val="00242DB7"/>
    <w:rsid w:val="00243E4D"/>
    <w:rsid w:val="002445B2"/>
    <w:rsid w:val="00247391"/>
    <w:rsid w:val="00251B5D"/>
    <w:rsid w:val="00255492"/>
    <w:rsid w:val="00256928"/>
    <w:rsid w:val="002570DA"/>
    <w:rsid w:val="0026073A"/>
    <w:rsid w:val="002607F2"/>
    <w:rsid w:val="00262F0F"/>
    <w:rsid w:val="00264160"/>
    <w:rsid w:val="002644C6"/>
    <w:rsid w:val="0026589D"/>
    <w:rsid w:val="00265B02"/>
    <w:rsid w:val="00267F7F"/>
    <w:rsid w:val="002725C2"/>
    <w:rsid w:val="00274DFE"/>
    <w:rsid w:val="0027555B"/>
    <w:rsid w:val="0027612C"/>
    <w:rsid w:val="002818BC"/>
    <w:rsid w:val="002845A5"/>
    <w:rsid w:val="00286603"/>
    <w:rsid w:val="002914E1"/>
    <w:rsid w:val="0029243D"/>
    <w:rsid w:val="00296356"/>
    <w:rsid w:val="00297268"/>
    <w:rsid w:val="0029756E"/>
    <w:rsid w:val="002A011C"/>
    <w:rsid w:val="002A07E1"/>
    <w:rsid w:val="002A09A5"/>
    <w:rsid w:val="002A0ACF"/>
    <w:rsid w:val="002A271A"/>
    <w:rsid w:val="002A51D4"/>
    <w:rsid w:val="002A5315"/>
    <w:rsid w:val="002A5421"/>
    <w:rsid w:val="002B4F06"/>
    <w:rsid w:val="002B527F"/>
    <w:rsid w:val="002B54EC"/>
    <w:rsid w:val="002B714E"/>
    <w:rsid w:val="002C12B1"/>
    <w:rsid w:val="002C3B7F"/>
    <w:rsid w:val="002C5DF1"/>
    <w:rsid w:val="002C75B9"/>
    <w:rsid w:val="002C7ECF"/>
    <w:rsid w:val="002D3BAB"/>
    <w:rsid w:val="002D4376"/>
    <w:rsid w:val="002D4B11"/>
    <w:rsid w:val="002D4CAB"/>
    <w:rsid w:val="002D4DB9"/>
    <w:rsid w:val="002D51FB"/>
    <w:rsid w:val="002D707C"/>
    <w:rsid w:val="002E06D7"/>
    <w:rsid w:val="002E0E2F"/>
    <w:rsid w:val="002E1C64"/>
    <w:rsid w:val="002E6271"/>
    <w:rsid w:val="002E6345"/>
    <w:rsid w:val="002E74B9"/>
    <w:rsid w:val="002E7569"/>
    <w:rsid w:val="002E7772"/>
    <w:rsid w:val="002E7827"/>
    <w:rsid w:val="002E7F99"/>
    <w:rsid w:val="002F0C15"/>
    <w:rsid w:val="002F1A86"/>
    <w:rsid w:val="002F285C"/>
    <w:rsid w:val="002F311A"/>
    <w:rsid w:val="002F330C"/>
    <w:rsid w:val="002F684B"/>
    <w:rsid w:val="002F7C19"/>
    <w:rsid w:val="002F7C96"/>
    <w:rsid w:val="002F7EF3"/>
    <w:rsid w:val="00300AA1"/>
    <w:rsid w:val="00301E22"/>
    <w:rsid w:val="003037E3"/>
    <w:rsid w:val="00303923"/>
    <w:rsid w:val="003049F8"/>
    <w:rsid w:val="00304C32"/>
    <w:rsid w:val="00305FDE"/>
    <w:rsid w:val="00306164"/>
    <w:rsid w:val="00310C67"/>
    <w:rsid w:val="0031223A"/>
    <w:rsid w:val="00317899"/>
    <w:rsid w:val="00317DA1"/>
    <w:rsid w:val="00320325"/>
    <w:rsid w:val="00322368"/>
    <w:rsid w:val="0032257A"/>
    <w:rsid w:val="00323EAD"/>
    <w:rsid w:val="00324F37"/>
    <w:rsid w:val="00326062"/>
    <w:rsid w:val="00326C2F"/>
    <w:rsid w:val="00331151"/>
    <w:rsid w:val="003313C4"/>
    <w:rsid w:val="003319F5"/>
    <w:rsid w:val="003337B6"/>
    <w:rsid w:val="00341DDA"/>
    <w:rsid w:val="00346FDB"/>
    <w:rsid w:val="00350C50"/>
    <w:rsid w:val="00352187"/>
    <w:rsid w:val="00355EBA"/>
    <w:rsid w:val="00355EC4"/>
    <w:rsid w:val="003575D7"/>
    <w:rsid w:val="00357865"/>
    <w:rsid w:val="00357C58"/>
    <w:rsid w:val="003611FE"/>
    <w:rsid w:val="00361BAD"/>
    <w:rsid w:val="00366A2B"/>
    <w:rsid w:val="00366BB9"/>
    <w:rsid w:val="003730D7"/>
    <w:rsid w:val="00381CA0"/>
    <w:rsid w:val="0039250F"/>
    <w:rsid w:val="003943C6"/>
    <w:rsid w:val="00394642"/>
    <w:rsid w:val="00394BC6"/>
    <w:rsid w:val="00395DCA"/>
    <w:rsid w:val="003966AC"/>
    <w:rsid w:val="00396F9F"/>
    <w:rsid w:val="00397FBF"/>
    <w:rsid w:val="003A003C"/>
    <w:rsid w:val="003A0262"/>
    <w:rsid w:val="003A17AE"/>
    <w:rsid w:val="003A1EEB"/>
    <w:rsid w:val="003A233C"/>
    <w:rsid w:val="003A29C6"/>
    <w:rsid w:val="003A2C58"/>
    <w:rsid w:val="003A3DE6"/>
    <w:rsid w:val="003A483F"/>
    <w:rsid w:val="003A5D2D"/>
    <w:rsid w:val="003A7BB7"/>
    <w:rsid w:val="003B53D8"/>
    <w:rsid w:val="003B5D47"/>
    <w:rsid w:val="003C02F9"/>
    <w:rsid w:val="003C26F7"/>
    <w:rsid w:val="003C2ADC"/>
    <w:rsid w:val="003C4086"/>
    <w:rsid w:val="003C4A78"/>
    <w:rsid w:val="003C50B7"/>
    <w:rsid w:val="003D2037"/>
    <w:rsid w:val="003D2D80"/>
    <w:rsid w:val="003D41A4"/>
    <w:rsid w:val="003D5DC4"/>
    <w:rsid w:val="003E2612"/>
    <w:rsid w:val="003E626C"/>
    <w:rsid w:val="003E7A54"/>
    <w:rsid w:val="003F048F"/>
    <w:rsid w:val="003F0943"/>
    <w:rsid w:val="003F35DF"/>
    <w:rsid w:val="003F3F1D"/>
    <w:rsid w:val="003F695A"/>
    <w:rsid w:val="00400660"/>
    <w:rsid w:val="00406894"/>
    <w:rsid w:val="00410201"/>
    <w:rsid w:val="00420632"/>
    <w:rsid w:val="00427613"/>
    <w:rsid w:val="0043085C"/>
    <w:rsid w:val="00432A1D"/>
    <w:rsid w:val="00433832"/>
    <w:rsid w:val="00434610"/>
    <w:rsid w:val="0043533D"/>
    <w:rsid w:val="00435AAA"/>
    <w:rsid w:val="00437D5A"/>
    <w:rsid w:val="00442BF7"/>
    <w:rsid w:val="00442E74"/>
    <w:rsid w:val="00443B0F"/>
    <w:rsid w:val="00444C11"/>
    <w:rsid w:val="004507D0"/>
    <w:rsid w:val="00452FA9"/>
    <w:rsid w:val="004549F3"/>
    <w:rsid w:val="00456830"/>
    <w:rsid w:val="00457927"/>
    <w:rsid w:val="00462482"/>
    <w:rsid w:val="00462759"/>
    <w:rsid w:val="00462A4C"/>
    <w:rsid w:val="00463CC9"/>
    <w:rsid w:val="0046474A"/>
    <w:rsid w:val="0047048E"/>
    <w:rsid w:val="00470F4E"/>
    <w:rsid w:val="00472DBE"/>
    <w:rsid w:val="0047496A"/>
    <w:rsid w:val="00474F19"/>
    <w:rsid w:val="0047676B"/>
    <w:rsid w:val="004808D9"/>
    <w:rsid w:val="004817D7"/>
    <w:rsid w:val="0048448A"/>
    <w:rsid w:val="00485065"/>
    <w:rsid w:val="00485E08"/>
    <w:rsid w:val="00486FEC"/>
    <w:rsid w:val="00487DF0"/>
    <w:rsid w:val="0049062E"/>
    <w:rsid w:val="0049078E"/>
    <w:rsid w:val="0049173D"/>
    <w:rsid w:val="00492EBD"/>
    <w:rsid w:val="004942F1"/>
    <w:rsid w:val="0049681E"/>
    <w:rsid w:val="0049769A"/>
    <w:rsid w:val="004A0817"/>
    <w:rsid w:val="004B121D"/>
    <w:rsid w:val="004B3714"/>
    <w:rsid w:val="004C0ECC"/>
    <w:rsid w:val="004C129B"/>
    <w:rsid w:val="004C228D"/>
    <w:rsid w:val="004C28A4"/>
    <w:rsid w:val="004C3BF5"/>
    <w:rsid w:val="004C4B23"/>
    <w:rsid w:val="004C5DDE"/>
    <w:rsid w:val="004D1403"/>
    <w:rsid w:val="004D1BA4"/>
    <w:rsid w:val="004D27BF"/>
    <w:rsid w:val="004D4D04"/>
    <w:rsid w:val="004E16D7"/>
    <w:rsid w:val="004E4D46"/>
    <w:rsid w:val="004E5659"/>
    <w:rsid w:val="004F0663"/>
    <w:rsid w:val="004F2B58"/>
    <w:rsid w:val="004F60BB"/>
    <w:rsid w:val="004F66D2"/>
    <w:rsid w:val="00500B91"/>
    <w:rsid w:val="00501E2D"/>
    <w:rsid w:val="00503D35"/>
    <w:rsid w:val="00504551"/>
    <w:rsid w:val="005050BD"/>
    <w:rsid w:val="0050736D"/>
    <w:rsid w:val="00507D85"/>
    <w:rsid w:val="00510AE5"/>
    <w:rsid w:val="00510D16"/>
    <w:rsid w:val="00512AE3"/>
    <w:rsid w:val="00513655"/>
    <w:rsid w:val="00513B40"/>
    <w:rsid w:val="005140DC"/>
    <w:rsid w:val="0051462C"/>
    <w:rsid w:val="00514C50"/>
    <w:rsid w:val="005155AC"/>
    <w:rsid w:val="005178BD"/>
    <w:rsid w:val="00517D25"/>
    <w:rsid w:val="00520EE0"/>
    <w:rsid w:val="0052107E"/>
    <w:rsid w:val="00522D08"/>
    <w:rsid w:val="00523912"/>
    <w:rsid w:val="00524B83"/>
    <w:rsid w:val="00525B98"/>
    <w:rsid w:val="00525F53"/>
    <w:rsid w:val="00526E79"/>
    <w:rsid w:val="00527A31"/>
    <w:rsid w:val="00531810"/>
    <w:rsid w:val="00532006"/>
    <w:rsid w:val="00541FC8"/>
    <w:rsid w:val="00543D57"/>
    <w:rsid w:val="00544FEB"/>
    <w:rsid w:val="0055181C"/>
    <w:rsid w:val="00551F16"/>
    <w:rsid w:val="00552334"/>
    <w:rsid w:val="00555B25"/>
    <w:rsid w:val="0055685D"/>
    <w:rsid w:val="0055776D"/>
    <w:rsid w:val="005624FD"/>
    <w:rsid w:val="0056270F"/>
    <w:rsid w:val="00565945"/>
    <w:rsid w:val="00581057"/>
    <w:rsid w:val="005813DB"/>
    <w:rsid w:val="0058391F"/>
    <w:rsid w:val="00583B43"/>
    <w:rsid w:val="00584C6C"/>
    <w:rsid w:val="00585034"/>
    <w:rsid w:val="00586098"/>
    <w:rsid w:val="00590021"/>
    <w:rsid w:val="005918BB"/>
    <w:rsid w:val="005950ED"/>
    <w:rsid w:val="005A07CF"/>
    <w:rsid w:val="005A0C17"/>
    <w:rsid w:val="005A2FA9"/>
    <w:rsid w:val="005A5290"/>
    <w:rsid w:val="005A5770"/>
    <w:rsid w:val="005B2746"/>
    <w:rsid w:val="005B4F10"/>
    <w:rsid w:val="005B565B"/>
    <w:rsid w:val="005B5BFF"/>
    <w:rsid w:val="005D0BD0"/>
    <w:rsid w:val="005D37EF"/>
    <w:rsid w:val="005D3D38"/>
    <w:rsid w:val="005D6A8D"/>
    <w:rsid w:val="005E111E"/>
    <w:rsid w:val="005E1A8C"/>
    <w:rsid w:val="005E4B76"/>
    <w:rsid w:val="005F0946"/>
    <w:rsid w:val="005F1371"/>
    <w:rsid w:val="005F2933"/>
    <w:rsid w:val="00600E3B"/>
    <w:rsid w:val="00604F35"/>
    <w:rsid w:val="0061041D"/>
    <w:rsid w:val="00613D08"/>
    <w:rsid w:val="006140C9"/>
    <w:rsid w:val="0061580A"/>
    <w:rsid w:val="00616B88"/>
    <w:rsid w:val="00621AEF"/>
    <w:rsid w:val="0062228A"/>
    <w:rsid w:val="00624195"/>
    <w:rsid w:val="00626D0B"/>
    <w:rsid w:val="00633E45"/>
    <w:rsid w:val="00634DA7"/>
    <w:rsid w:val="0064105F"/>
    <w:rsid w:val="00644905"/>
    <w:rsid w:val="00646C91"/>
    <w:rsid w:val="00647067"/>
    <w:rsid w:val="00650983"/>
    <w:rsid w:val="00651965"/>
    <w:rsid w:val="00651A4E"/>
    <w:rsid w:val="006524BA"/>
    <w:rsid w:val="006542E3"/>
    <w:rsid w:val="00654756"/>
    <w:rsid w:val="00655DB4"/>
    <w:rsid w:val="0066004D"/>
    <w:rsid w:val="006622D9"/>
    <w:rsid w:val="006645C7"/>
    <w:rsid w:val="00665D87"/>
    <w:rsid w:val="006679CA"/>
    <w:rsid w:val="00667CFB"/>
    <w:rsid w:val="0067307C"/>
    <w:rsid w:val="00673C2D"/>
    <w:rsid w:val="006757AD"/>
    <w:rsid w:val="006841CB"/>
    <w:rsid w:val="00686490"/>
    <w:rsid w:val="00686603"/>
    <w:rsid w:val="0068672B"/>
    <w:rsid w:val="00690260"/>
    <w:rsid w:val="006908C9"/>
    <w:rsid w:val="006908D2"/>
    <w:rsid w:val="006931D3"/>
    <w:rsid w:val="0069387C"/>
    <w:rsid w:val="00697F8D"/>
    <w:rsid w:val="006A0389"/>
    <w:rsid w:val="006A2A95"/>
    <w:rsid w:val="006A3032"/>
    <w:rsid w:val="006A4A5F"/>
    <w:rsid w:val="006A6962"/>
    <w:rsid w:val="006A7426"/>
    <w:rsid w:val="006B04B5"/>
    <w:rsid w:val="006B0634"/>
    <w:rsid w:val="006B291D"/>
    <w:rsid w:val="006B4473"/>
    <w:rsid w:val="006B509A"/>
    <w:rsid w:val="006C0012"/>
    <w:rsid w:val="006C17D4"/>
    <w:rsid w:val="006C2BD4"/>
    <w:rsid w:val="006C3381"/>
    <w:rsid w:val="006D1609"/>
    <w:rsid w:val="006D3B75"/>
    <w:rsid w:val="006D5305"/>
    <w:rsid w:val="006D6465"/>
    <w:rsid w:val="006D723E"/>
    <w:rsid w:val="006D7B16"/>
    <w:rsid w:val="006E270C"/>
    <w:rsid w:val="006E6655"/>
    <w:rsid w:val="006E7A40"/>
    <w:rsid w:val="006F2146"/>
    <w:rsid w:val="006F2AEC"/>
    <w:rsid w:val="00700A4B"/>
    <w:rsid w:val="00701855"/>
    <w:rsid w:val="0070483C"/>
    <w:rsid w:val="00704FC6"/>
    <w:rsid w:val="00705100"/>
    <w:rsid w:val="00707D21"/>
    <w:rsid w:val="0071150C"/>
    <w:rsid w:val="00714096"/>
    <w:rsid w:val="00714963"/>
    <w:rsid w:val="007161F2"/>
    <w:rsid w:val="00717D46"/>
    <w:rsid w:val="00722C0C"/>
    <w:rsid w:val="00724973"/>
    <w:rsid w:val="00724EA0"/>
    <w:rsid w:val="00727D96"/>
    <w:rsid w:val="00733319"/>
    <w:rsid w:val="00736205"/>
    <w:rsid w:val="00737B4A"/>
    <w:rsid w:val="007419E5"/>
    <w:rsid w:val="007422B1"/>
    <w:rsid w:val="00742522"/>
    <w:rsid w:val="00745075"/>
    <w:rsid w:val="0074572E"/>
    <w:rsid w:val="007465D3"/>
    <w:rsid w:val="00751F63"/>
    <w:rsid w:val="007548BE"/>
    <w:rsid w:val="00755767"/>
    <w:rsid w:val="00755A7A"/>
    <w:rsid w:val="00756A08"/>
    <w:rsid w:val="0075785A"/>
    <w:rsid w:val="0076183B"/>
    <w:rsid w:val="00761F0F"/>
    <w:rsid w:val="007623E4"/>
    <w:rsid w:val="00762B4D"/>
    <w:rsid w:val="00763A35"/>
    <w:rsid w:val="00764DD5"/>
    <w:rsid w:val="00766DEB"/>
    <w:rsid w:val="007678E6"/>
    <w:rsid w:val="00770461"/>
    <w:rsid w:val="00774503"/>
    <w:rsid w:val="0077570A"/>
    <w:rsid w:val="0077571E"/>
    <w:rsid w:val="0077620B"/>
    <w:rsid w:val="007850AF"/>
    <w:rsid w:val="00785F4C"/>
    <w:rsid w:val="00790094"/>
    <w:rsid w:val="007901F7"/>
    <w:rsid w:val="00791C28"/>
    <w:rsid w:val="00792E30"/>
    <w:rsid w:val="0079490A"/>
    <w:rsid w:val="00794D4D"/>
    <w:rsid w:val="0079578B"/>
    <w:rsid w:val="00795D00"/>
    <w:rsid w:val="00796F20"/>
    <w:rsid w:val="007B0809"/>
    <w:rsid w:val="007B107C"/>
    <w:rsid w:val="007B22A2"/>
    <w:rsid w:val="007B419C"/>
    <w:rsid w:val="007B4346"/>
    <w:rsid w:val="007B492B"/>
    <w:rsid w:val="007B5C68"/>
    <w:rsid w:val="007D10BD"/>
    <w:rsid w:val="007D26D6"/>
    <w:rsid w:val="007D3F6C"/>
    <w:rsid w:val="007E5949"/>
    <w:rsid w:val="007E69E6"/>
    <w:rsid w:val="007E787A"/>
    <w:rsid w:val="007F543F"/>
    <w:rsid w:val="007F63E2"/>
    <w:rsid w:val="00802879"/>
    <w:rsid w:val="00803451"/>
    <w:rsid w:val="008068CC"/>
    <w:rsid w:val="00807B1F"/>
    <w:rsid w:val="00810453"/>
    <w:rsid w:val="00811626"/>
    <w:rsid w:val="008152B7"/>
    <w:rsid w:val="00817125"/>
    <w:rsid w:val="008171F1"/>
    <w:rsid w:val="00822F0D"/>
    <w:rsid w:val="00823C4D"/>
    <w:rsid w:val="0082638D"/>
    <w:rsid w:val="00827384"/>
    <w:rsid w:val="008318DA"/>
    <w:rsid w:val="0083356F"/>
    <w:rsid w:val="00833894"/>
    <w:rsid w:val="00833DE4"/>
    <w:rsid w:val="00834B07"/>
    <w:rsid w:val="00834E9E"/>
    <w:rsid w:val="00840677"/>
    <w:rsid w:val="00841DCC"/>
    <w:rsid w:val="008433B6"/>
    <w:rsid w:val="00843A8B"/>
    <w:rsid w:val="008444FC"/>
    <w:rsid w:val="00845C8C"/>
    <w:rsid w:val="00847C11"/>
    <w:rsid w:val="00847C99"/>
    <w:rsid w:val="00850187"/>
    <w:rsid w:val="008521A5"/>
    <w:rsid w:val="00852C5D"/>
    <w:rsid w:val="008610DE"/>
    <w:rsid w:val="00861F24"/>
    <w:rsid w:val="0086211E"/>
    <w:rsid w:val="00862219"/>
    <w:rsid w:val="0086253A"/>
    <w:rsid w:val="008638E7"/>
    <w:rsid w:val="00870376"/>
    <w:rsid w:val="00873B08"/>
    <w:rsid w:val="008740D7"/>
    <w:rsid w:val="00875215"/>
    <w:rsid w:val="00884249"/>
    <w:rsid w:val="0088578F"/>
    <w:rsid w:val="00885A97"/>
    <w:rsid w:val="0089137E"/>
    <w:rsid w:val="00892191"/>
    <w:rsid w:val="00893CF6"/>
    <w:rsid w:val="008969C7"/>
    <w:rsid w:val="00896A2F"/>
    <w:rsid w:val="00897981"/>
    <w:rsid w:val="008A05D6"/>
    <w:rsid w:val="008A0B38"/>
    <w:rsid w:val="008A20B5"/>
    <w:rsid w:val="008A23CC"/>
    <w:rsid w:val="008A48EB"/>
    <w:rsid w:val="008A4DAD"/>
    <w:rsid w:val="008A5D2C"/>
    <w:rsid w:val="008A7191"/>
    <w:rsid w:val="008B368F"/>
    <w:rsid w:val="008B39AE"/>
    <w:rsid w:val="008C0247"/>
    <w:rsid w:val="008C03E9"/>
    <w:rsid w:val="008C0454"/>
    <w:rsid w:val="008C062B"/>
    <w:rsid w:val="008C090F"/>
    <w:rsid w:val="008C252E"/>
    <w:rsid w:val="008C4513"/>
    <w:rsid w:val="008C63DE"/>
    <w:rsid w:val="008C70FF"/>
    <w:rsid w:val="008C7B1B"/>
    <w:rsid w:val="008D11BD"/>
    <w:rsid w:val="008D46B1"/>
    <w:rsid w:val="008D572B"/>
    <w:rsid w:val="008D5B2B"/>
    <w:rsid w:val="008D61F3"/>
    <w:rsid w:val="008E1D29"/>
    <w:rsid w:val="008E429A"/>
    <w:rsid w:val="008E485B"/>
    <w:rsid w:val="008F04DF"/>
    <w:rsid w:val="008F1C2C"/>
    <w:rsid w:val="008F1EEF"/>
    <w:rsid w:val="008F2883"/>
    <w:rsid w:val="008F4EAB"/>
    <w:rsid w:val="008F6C86"/>
    <w:rsid w:val="00900D21"/>
    <w:rsid w:val="00902FBD"/>
    <w:rsid w:val="00906895"/>
    <w:rsid w:val="009114BA"/>
    <w:rsid w:val="009124C0"/>
    <w:rsid w:val="00912E64"/>
    <w:rsid w:val="00914337"/>
    <w:rsid w:val="00914A7E"/>
    <w:rsid w:val="00924C40"/>
    <w:rsid w:val="00927032"/>
    <w:rsid w:val="009273C5"/>
    <w:rsid w:val="00930A51"/>
    <w:rsid w:val="00930E6C"/>
    <w:rsid w:val="00931BC5"/>
    <w:rsid w:val="00933CD2"/>
    <w:rsid w:val="00934CBA"/>
    <w:rsid w:val="00935C19"/>
    <w:rsid w:val="00936BA2"/>
    <w:rsid w:val="009376CB"/>
    <w:rsid w:val="0094508A"/>
    <w:rsid w:val="00945855"/>
    <w:rsid w:val="00945EB3"/>
    <w:rsid w:val="00947C83"/>
    <w:rsid w:val="00951364"/>
    <w:rsid w:val="00953C42"/>
    <w:rsid w:val="009550DE"/>
    <w:rsid w:val="00955E0A"/>
    <w:rsid w:val="00960595"/>
    <w:rsid w:val="00961399"/>
    <w:rsid w:val="0096437B"/>
    <w:rsid w:val="009651BB"/>
    <w:rsid w:val="00965B92"/>
    <w:rsid w:val="00966865"/>
    <w:rsid w:val="009671D8"/>
    <w:rsid w:val="0097403B"/>
    <w:rsid w:val="00977F88"/>
    <w:rsid w:val="009852E7"/>
    <w:rsid w:val="00987BC1"/>
    <w:rsid w:val="00992D05"/>
    <w:rsid w:val="0099377B"/>
    <w:rsid w:val="009941DF"/>
    <w:rsid w:val="00995160"/>
    <w:rsid w:val="00995D60"/>
    <w:rsid w:val="0099636A"/>
    <w:rsid w:val="009A0DE7"/>
    <w:rsid w:val="009A11CA"/>
    <w:rsid w:val="009A153A"/>
    <w:rsid w:val="009A17AF"/>
    <w:rsid w:val="009A39C4"/>
    <w:rsid w:val="009A3D07"/>
    <w:rsid w:val="009A4016"/>
    <w:rsid w:val="009A6A73"/>
    <w:rsid w:val="009A7B28"/>
    <w:rsid w:val="009B06DC"/>
    <w:rsid w:val="009B19A9"/>
    <w:rsid w:val="009B3B0E"/>
    <w:rsid w:val="009B4384"/>
    <w:rsid w:val="009B7EB3"/>
    <w:rsid w:val="009C261A"/>
    <w:rsid w:val="009C6038"/>
    <w:rsid w:val="009C74E7"/>
    <w:rsid w:val="009D002E"/>
    <w:rsid w:val="009D10AC"/>
    <w:rsid w:val="009D1AB1"/>
    <w:rsid w:val="009D3C38"/>
    <w:rsid w:val="009D4E23"/>
    <w:rsid w:val="009D5131"/>
    <w:rsid w:val="009D5471"/>
    <w:rsid w:val="009D5D1B"/>
    <w:rsid w:val="009D6A15"/>
    <w:rsid w:val="009E113B"/>
    <w:rsid w:val="009E2A37"/>
    <w:rsid w:val="009F0B7F"/>
    <w:rsid w:val="009F13BE"/>
    <w:rsid w:val="009F330C"/>
    <w:rsid w:val="009F76CE"/>
    <w:rsid w:val="00A00E17"/>
    <w:rsid w:val="00A00E90"/>
    <w:rsid w:val="00A014A3"/>
    <w:rsid w:val="00A07920"/>
    <w:rsid w:val="00A12A29"/>
    <w:rsid w:val="00A14ACE"/>
    <w:rsid w:val="00A14F4A"/>
    <w:rsid w:val="00A20BA2"/>
    <w:rsid w:val="00A20C7B"/>
    <w:rsid w:val="00A20E50"/>
    <w:rsid w:val="00A24874"/>
    <w:rsid w:val="00A24DED"/>
    <w:rsid w:val="00A25093"/>
    <w:rsid w:val="00A3069D"/>
    <w:rsid w:val="00A35CEA"/>
    <w:rsid w:val="00A43EF2"/>
    <w:rsid w:val="00A442EC"/>
    <w:rsid w:val="00A44C91"/>
    <w:rsid w:val="00A46FE8"/>
    <w:rsid w:val="00A47908"/>
    <w:rsid w:val="00A513AE"/>
    <w:rsid w:val="00A51E99"/>
    <w:rsid w:val="00A53D12"/>
    <w:rsid w:val="00A547F9"/>
    <w:rsid w:val="00A608E2"/>
    <w:rsid w:val="00A60D89"/>
    <w:rsid w:val="00A60DAC"/>
    <w:rsid w:val="00A62392"/>
    <w:rsid w:val="00A67B4A"/>
    <w:rsid w:val="00A71795"/>
    <w:rsid w:val="00A726DF"/>
    <w:rsid w:val="00A72753"/>
    <w:rsid w:val="00A73B32"/>
    <w:rsid w:val="00A73EF5"/>
    <w:rsid w:val="00A77FBF"/>
    <w:rsid w:val="00A80DAE"/>
    <w:rsid w:val="00A811C1"/>
    <w:rsid w:val="00A84C7F"/>
    <w:rsid w:val="00A85DFC"/>
    <w:rsid w:val="00A86177"/>
    <w:rsid w:val="00A86724"/>
    <w:rsid w:val="00A87C24"/>
    <w:rsid w:val="00A91444"/>
    <w:rsid w:val="00A91925"/>
    <w:rsid w:val="00A923BC"/>
    <w:rsid w:val="00A9338D"/>
    <w:rsid w:val="00A95990"/>
    <w:rsid w:val="00AA03C9"/>
    <w:rsid w:val="00AA19AF"/>
    <w:rsid w:val="00AA3B1F"/>
    <w:rsid w:val="00AA425E"/>
    <w:rsid w:val="00AB2428"/>
    <w:rsid w:val="00AB2812"/>
    <w:rsid w:val="00AB4E36"/>
    <w:rsid w:val="00AB5E61"/>
    <w:rsid w:val="00AB76B1"/>
    <w:rsid w:val="00AB7A3D"/>
    <w:rsid w:val="00AC0544"/>
    <w:rsid w:val="00AC37FB"/>
    <w:rsid w:val="00AC3DCC"/>
    <w:rsid w:val="00AD0766"/>
    <w:rsid w:val="00AE13C9"/>
    <w:rsid w:val="00AE25F2"/>
    <w:rsid w:val="00AE2CCB"/>
    <w:rsid w:val="00AE2EBA"/>
    <w:rsid w:val="00AE4FE5"/>
    <w:rsid w:val="00AE59DC"/>
    <w:rsid w:val="00AE5B2D"/>
    <w:rsid w:val="00AE5C04"/>
    <w:rsid w:val="00AE63BF"/>
    <w:rsid w:val="00AF35C3"/>
    <w:rsid w:val="00AF52CB"/>
    <w:rsid w:val="00AF675A"/>
    <w:rsid w:val="00AF68D7"/>
    <w:rsid w:val="00B018EF"/>
    <w:rsid w:val="00B019CA"/>
    <w:rsid w:val="00B023A3"/>
    <w:rsid w:val="00B029DE"/>
    <w:rsid w:val="00B0328E"/>
    <w:rsid w:val="00B04DCE"/>
    <w:rsid w:val="00B05656"/>
    <w:rsid w:val="00B11666"/>
    <w:rsid w:val="00B129BF"/>
    <w:rsid w:val="00B14857"/>
    <w:rsid w:val="00B151FD"/>
    <w:rsid w:val="00B165FD"/>
    <w:rsid w:val="00B2176A"/>
    <w:rsid w:val="00B21A9A"/>
    <w:rsid w:val="00B25DF9"/>
    <w:rsid w:val="00B26411"/>
    <w:rsid w:val="00B26C78"/>
    <w:rsid w:val="00B32C7C"/>
    <w:rsid w:val="00B35280"/>
    <w:rsid w:val="00B35A25"/>
    <w:rsid w:val="00B36410"/>
    <w:rsid w:val="00B36C9C"/>
    <w:rsid w:val="00B43EF9"/>
    <w:rsid w:val="00B445A3"/>
    <w:rsid w:val="00B46039"/>
    <w:rsid w:val="00B50370"/>
    <w:rsid w:val="00B513D9"/>
    <w:rsid w:val="00B52982"/>
    <w:rsid w:val="00B52B5E"/>
    <w:rsid w:val="00B53231"/>
    <w:rsid w:val="00B61937"/>
    <w:rsid w:val="00B61D1B"/>
    <w:rsid w:val="00B61E8D"/>
    <w:rsid w:val="00B621F7"/>
    <w:rsid w:val="00B64D6A"/>
    <w:rsid w:val="00B67888"/>
    <w:rsid w:val="00B72E05"/>
    <w:rsid w:val="00B77AB7"/>
    <w:rsid w:val="00B77F02"/>
    <w:rsid w:val="00B8115D"/>
    <w:rsid w:val="00B82595"/>
    <w:rsid w:val="00B84852"/>
    <w:rsid w:val="00B9023B"/>
    <w:rsid w:val="00B9262F"/>
    <w:rsid w:val="00B93068"/>
    <w:rsid w:val="00B94E41"/>
    <w:rsid w:val="00B9678F"/>
    <w:rsid w:val="00B97A3A"/>
    <w:rsid w:val="00B97A86"/>
    <w:rsid w:val="00BA098E"/>
    <w:rsid w:val="00BA15AA"/>
    <w:rsid w:val="00BA2A33"/>
    <w:rsid w:val="00BA30AA"/>
    <w:rsid w:val="00BA3892"/>
    <w:rsid w:val="00BA3A01"/>
    <w:rsid w:val="00BA4DBA"/>
    <w:rsid w:val="00BA5B34"/>
    <w:rsid w:val="00BA5FCB"/>
    <w:rsid w:val="00BA6A5A"/>
    <w:rsid w:val="00BB03A5"/>
    <w:rsid w:val="00BB0871"/>
    <w:rsid w:val="00BB13CC"/>
    <w:rsid w:val="00BB2C03"/>
    <w:rsid w:val="00BB3D95"/>
    <w:rsid w:val="00BB4BF1"/>
    <w:rsid w:val="00BB7D99"/>
    <w:rsid w:val="00BC0881"/>
    <w:rsid w:val="00BC5F8F"/>
    <w:rsid w:val="00BC691C"/>
    <w:rsid w:val="00BD1677"/>
    <w:rsid w:val="00BD52BA"/>
    <w:rsid w:val="00BD531B"/>
    <w:rsid w:val="00BD6198"/>
    <w:rsid w:val="00BD6D31"/>
    <w:rsid w:val="00BE1EC9"/>
    <w:rsid w:val="00BE6930"/>
    <w:rsid w:val="00BF08D7"/>
    <w:rsid w:val="00BF234D"/>
    <w:rsid w:val="00BF4BAD"/>
    <w:rsid w:val="00BF50A0"/>
    <w:rsid w:val="00C000F8"/>
    <w:rsid w:val="00C006AA"/>
    <w:rsid w:val="00C02225"/>
    <w:rsid w:val="00C0324A"/>
    <w:rsid w:val="00C04692"/>
    <w:rsid w:val="00C04D75"/>
    <w:rsid w:val="00C053C1"/>
    <w:rsid w:val="00C0605F"/>
    <w:rsid w:val="00C07596"/>
    <w:rsid w:val="00C076D6"/>
    <w:rsid w:val="00C11BA3"/>
    <w:rsid w:val="00C12244"/>
    <w:rsid w:val="00C12AF2"/>
    <w:rsid w:val="00C15369"/>
    <w:rsid w:val="00C17344"/>
    <w:rsid w:val="00C20096"/>
    <w:rsid w:val="00C209B5"/>
    <w:rsid w:val="00C226C8"/>
    <w:rsid w:val="00C2308A"/>
    <w:rsid w:val="00C23278"/>
    <w:rsid w:val="00C255CD"/>
    <w:rsid w:val="00C25E92"/>
    <w:rsid w:val="00C27564"/>
    <w:rsid w:val="00C31E7B"/>
    <w:rsid w:val="00C32CAF"/>
    <w:rsid w:val="00C33E2F"/>
    <w:rsid w:val="00C34EB7"/>
    <w:rsid w:val="00C35D72"/>
    <w:rsid w:val="00C35D7E"/>
    <w:rsid w:val="00C3638E"/>
    <w:rsid w:val="00C36DB9"/>
    <w:rsid w:val="00C447AF"/>
    <w:rsid w:val="00C4489C"/>
    <w:rsid w:val="00C448F9"/>
    <w:rsid w:val="00C45F46"/>
    <w:rsid w:val="00C4655D"/>
    <w:rsid w:val="00C465CC"/>
    <w:rsid w:val="00C472AC"/>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2B35"/>
    <w:rsid w:val="00C82DE6"/>
    <w:rsid w:val="00C86BD7"/>
    <w:rsid w:val="00C90FB6"/>
    <w:rsid w:val="00C913D8"/>
    <w:rsid w:val="00C91B90"/>
    <w:rsid w:val="00C925B6"/>
    <w:rsid w:val="00C93F01"/>
    <w:rsid w:val="00C954C1"/>
    <w:rsid w:val="00C9691A"/>
    <w:rsid w:val="00C976A6"/>
    <w:rsid w:val="00C97C6C"/>
    <w:rsid w:val="00C97D28"/>
    <w:rsid w:val="00CA40AA"/>
    <w:rsid w:val="00CA40FA"/>
    <w:rsid w:val="00CA62CD"/>
    <w:rsid w:val="00CB17BC"/>
    <w:rsid w:val="00CB1C5B"/>
    <w:rsid w:val="00CB23A3"/>
    <w:rsid w:val="00CB24F1"/>
    <w:rsid w:val="00CB51F8"/>
    <w:rsid w:val="00CB5EC2"/>
    <w:rsid w:val="00CC2691"/>
    <w:rsid w:val="00CC2F63"/>
    <w:rsid w:val="00CC50AB"/>
    <w:rsid w:val="00CC5F6B"/>
    <w:rsid w:val="00CC7DC9"/>
    <w:rsid w:val="00CD1EB7"/>
    <w:rsid w:val="00CD24B7"/>
    <w:rsid w:val="00CD64F8"/>
    <w:rsid w:val="00CD67F2"/>
    <w:rsid w:val="00CD701F"/>
    <w:rsid w:val="00CE09EE"/>
    <w:rsid w:val="00CE2A7D"/>
    <w:rsid w:val="00CE3E26"/>
    <w:rsid w:val="00CE7978"/>
    <w:rsid w:val="00CE7E49"/>
    <w:rsid w:val="00CF34D9"/>
    <w:rsid w:val="00CF6FD2"/>
    <w:rsid w:val="00CF7360"/>
    <w:rsid w:val="00D00568"/>
    <w:rsid w:val="00D01A62"/>
    <w:rsid w:val="00D0269A"/>
    <w:rsid w:val="00D05AA5"/>
    <w:rsid w:val="00D105DF"/>
    <w:rsid w:val="00D124FC"/>
    <w:rsid w:val="00D14143"/>
    <w:rsid w:val="00D167AB"/>
    <w:rsid w:val="00D16EE3"/>
    <w:rsid w:val="00D17D13"/>
    <w:rsid w:val="00D2288F"/>
    <w:rsid w:val="00D23867"/>
    <w:rsid w:val="00D26183"/>
    <w:rsid w:val="00D2667A"/>
    <w:rsid w:val="00D34BC3"/>
    <w:rsid w:val="00D35DA8"/>
    <w:rsid w:val="00D366FF"/>
    <w:rsid w:val="00D3673D"/>
    <w:rsid w:val="00D40CB5"/>
    <w:rsid w:val="00D445EE"/>
    <w:rsid w:val="00D44E23"/>
    <w:rsid w:val="00D462B5"/>
    <w:rsid w:val="00D467B3"/>
    <w:rsid w:val="00D518E6"/>
    <w:rsid w:val="00D57CA5"/>
    <w:rsid w:val="00D57E7A"/>
    <w:rsid w:val="00D60EDE"/>
    <w:rsid w:val="00D622E8"/>
    <w:rsid w:val="00D660DA"/>
    <w:rsid w:val="00D70577"/>
    <w:rsid w:val="00D7094D"/>
    <w:rsid w:val="00D724FD"/>
    <w:rsid w:val="00D72B39"/>
    <w:rsid w:val="00D742FB"/>
    <w:rsid w:val="00D766A1"/>
    <w:rsid w:val="00D80815"/>
    <w:rsid w:val="00D8252D"/>
    <w:rsid w:val="00D82A65"/>
    <w:rsid w:val="00D82FCF"/>
    <w:rsid w:val="00D83692"/>
    <w:rsid w:val="00D858DF"/>
    <w:rsid w:val="00D86F89"/>
    <w:rsid w:val="00D87852"/>
    <w:rsid w:val="00D87E45"/>
    <w:rsid w:val="00D928DD"/>
    <w:rsid w:val="00D940AF"/>
    <w:rsid w:val="00D96CF9"/>
    <w:rsid w:val="00DA03EB"/>
    <w:rsid w:val="00DA2028"/>
    <w:rsid w:val="00DA295A"/>
    <w:rsid w:val="00DA34A9"/>
    <w:rsid w:val="00DA39C1"/>
    <w:rsid w:val="00DA5A1A"/>
    <w:rsid w:val="00DB3165"/>
    <w:rsid w:val="00DB4C7A"/>
    <w:rsid w:val="00DB74FF"/>
    <w:rsid w:val="00DC6235"/>
    <w:rsid w:val="00DC6A89"/>
    <w:rsid w:val="00DD0B68"/>
    <w:rsid w:val="00DD0BD2"/>
    <w:rsid w:val="00DD1A61"/>
    <w:rsid w:val="00DD1F6F"/>
    <w:rsid w:val="00DD3147"/>
    <w:rsid w:val="00DD3590"/>
    <w:rsid w:val="00DD58AF"/>
    <w:rsid w:val="00DD78BC"/>
    <w:rsid w:val="00DE0118"/>
    <w:rsid w:val="00DE0887"/>
    <w:rsid w:val="00DE3484"/>
    <w:rsid w:val="00DE4C3A"/>
    <w:rsid w:val="00DE4DC5"/>
    <w:rsid w:val="00DE50D1"/>
    <w:rsid w:val="00DE53BB"/>
    <w:rsid w:val="00DE5D7F"/>
    <w:rsid w:val="00DE5FF9"/>
    <w:rsid w:val="00DE6901"/>
    <w:rsid w:val="00DE787C"/>
    <w:rsid w:val="00DF035D"/>
    <w:rsid w:val="00DF0A35"/>
    <w:rsid w:val="00DF0F0D"/>
    <w:rsid w:val="00DF167B"/>
    <w:rsid w:val="00DF25D1"/>
    <w:rsid w:val="00DF47C3"/>
    <w:rsid w:val="00DF7373"/>
    <w:rsid w:val="00E02253"/>
    <w:rsid w:val="00E0301C"/>
    <w:rsid w:val="00E07950"/>
    <w:rsid w:val="00E13CC7"/>
    <w:rsid w:val="00E15271"/>
    <w:rsid w:val="00E176BE"/>
    <w:rsid w:val="00E20A2B"/>
    <w:rsid w:val="00E21159"/>
    <w:rsid w:val="00E23AA8"/>
    <w:rsid w:val="00E24842"/>
    <w:rsid w:val="00E26A7C"/>
    <w:rsid w:val="00E33AB9"/>
    <w:rsid w:val="00E341A2"/>
    <w:rsid w:val="00E35B8D"/>
    <w:rsid w:val="00E36956"/>
    <w:rsid w:val="00E3786C"/>
    <w:rsid w:val="00E4607D"/>
    <w:rsid w:val="00E472F1"/>
    <w:rsid w:val="00E47DA8"/>
    <w:rsid w:val="00E47F3C"/>
    <w:rsid w:val="00E507B8"/>
    <w:rsid w:val="00E51985"/>
    <w:rsid w:val="00E51CE3"/>
    <w:rsid w:val="00E52CAC"/>
    <w:rsid w:val="00E535C4"/>
    <w:rsid w:val="00E53B05"/>
    <w:rsid w:val="00E54E5C"/>
    <w:rsid w:val="00E5601C"/>
    <w:rsid w:val="00E561B8"/>
    <w:rsid w:val="00E56450"/>
    <w:rsid w:val="00E60463"/>
    <w:rsid w:val="00E60809"/>
    <w:rsid w:val="00E60D56"/>
    <w:rsid w:val="00E6254E"/>
    <w:rsid w:val="00E6435C"/>
    <w:rsid w:val="00E6499D"/>
    <w:rsid w:val="00E66D85"/>
    <w:rsid w:val="00E706D9"/>
    <w:rsid w:val="00E72322"/>
    <w:rsid w:val="00E724D9"/>
    <w:rsid w:val="00E744D6"/>
    <w:rsid w:val="00E75928"/>
    <w:rsid w:val="00E75961"/>
    <w:rsid w:val="00E771A2"/>
    <w:rsid w:val="00E77EB2"/>
    <w:rsid w:val="00E801FD"/>
    <w:rsid w:val="00E8058A"/>
    <w:rsid w:val="00E811FD"/>
    <w:rsid w:val="00E8280A"/>
    <w:rsid w:val="00E84453"/>
    <w:rsid w:val="00E90278"/>
    <w:rsid w:val="00E91E88"/>
    <w:rsid w:val="00E927DF"/>
    <w:rsid w:val="00E934A4"/>
    <w:rsid w:val="00E93856"/>
    <w:rsid w:val="00E942A4"/>
    <w:rsid w:val="00E97466"/>
    <w:rsid w:val="00EA2189"/>
    <w:rsid w:val="00EA2A9B"/>
    <w:rsid w:val="00EA355B"/>
    <w:rsid w:val="00EA5235"/>
    <w:rsid w:val="00EA64D7"/>
    <w:rsid w:val="00EB3985"/>
    <w:rsid w:val="00EB4148"/>
    <w:rsid w:val="00EB4252"/>
    <w:rsid w:val="00EB50A6"/>
    <w:rsid w:val="00EB702A"/>
    <w:rsid w:val="00EB75B1"/>
    <w:rsid w:val="00EC05D0"/>
    <w:rsid w:val="00EC23B0"/>
    <w:rsid w:val="00EC27C9"/>
    <w:rsid w:val="00EC3C6A"/>
    <w:rsid w:val="00EC462A"/>
    <w:rsid w:val="00EC47CE"/>
    <w:rsid w:val="00EC66F6"/>
    <w:rsid w:val="00ED04DF"/>
    <w:rsid w:val="00ED1002"/>
    <w:rsid w:val="00ED15B5"/>
    <w:rsid w:val="00ED2F14"/>
    <w:rsid w:val="00EE1338"/>
    <w:rsid w:val="00EE3ADF"/>
    <w:rsid w:val="00EE4446"/>
    <w:rsid w:val="00EE50ED"/>
    <w:rsid w:val="00EE6D3A"/>
    <w:rsid w:val="00EE74FE"/>
    <w:rsid w:val="00EE7A94"/>
    <w:rsid w:val="00EF37DA"/>
    <w:rsid w:val="00EF3CFD"/>
    <w:rsid w:val="00F017E8"/>
    <w:rsid w:val="00F0524A"/>
    <w:rsid w:val="00F12D23"/>
    <w:rsid w:val="00F14CFB"/>
    <w:rsid w:val="00F158AA"/>
    <w:rsid w:val="00F167A8"/>
    <w:rsid w:val="00F16DAA"/>
    <w:rsid w:val="00F20179"/>
    <w:rsid w:val="00F208CA"/>
    <w:rsid w:val="00F21225"/>
    <w:rsid w:val="00F225A8"/>
    <w:rsid w:val="00F2389B"/>
    <w:rsid w:val="00F23F73"/>
    <w:rsid w:val="00F2462E"/>
    <w:rsid w:val="00F25D9B"/>
    <w:rsid w:val="00F26D98"/>
    <w:rsid w:val="00F30783"/>
    <w:rsid w:val="00F32A69"/>
    <w:rsid w:val="00F337F3"/>
    <w:rsid w:val="00F35BD9"/>
    <w:rsid w:val="00F3611E"/>
    <w:rsid w:val="00F36575"/>
    <w:rsid w:val="00F37FEE"/>
    <w:rsid w:val="00F44FC0"/>
    <w:rsid w:val="00F45CFF"/>
    <w:rsid w:val="00F45E86"/>
    <w:rsid w:val="00F471C8"/>
    <w:rsid w:val="00F47318"/>
    <w:rsid w:val="00F510F4"/>
    <w:rsid w:val="00F55232"/>
    <w:rsid w:val="00F56251"/>
    <w:rsid w:val="00F60787"/>
    <w:rsid w:val="00F60A8A"/>
    <w:rsid w:val="00F61B43"/>
    <w:rsid w:val="00F61CA1"/>
    <w:rsid w:val="00F61DEF"/>
    <w:rsid w:val="00F650EE"/>
    <w:rsid w:val="00F67357"/>
    <w:rsid w:val="00F67671"/>
    <w:rsid w:val="00F71E9C"/>
    <w:rsid w:val="00F72300"/>
    <w:rsid w:val="00F72A6A"/>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420E"/>
    <w:rsid w:val="00F94782"/>
    <w:rsid w:val="00F9584B"/>
    <w:rsid w:val="00F95A02"/>
    <w:rsid w:val="00F97123"/>
    <w:rsid w:val="00F9749E"/>
    <w:rsid w:val="00F97A75"/>
    <w:rsid w:val="00FA3D8E"/>
    <w:rsid w:val="00FA41C9"/>
    <w:rsid w:val="00FA708F"/>
    <w:rsid w:val="00FA7592"/>
    <w:rsid w:val="00FA75F9"/>
    <w:rsid w:val="00FB0312"/>
    <w:rsid w:val="00FB1E04"/>
    <w:rsid w:val="00FB201C"/>
    <w:rsid w:val="00FB22FE"/>
    <w:rsid w:val="00FC040D"/>
    <w:rsid w:val="00FC0852"/>
    <w:rsid w:val="00FC12F8"/>
    <w:rsid w:val="00FC38FF"/>
    <w:rsid w:val="00FC6414"/>
    <w:rsid w:val="00FC6EE9"/>
    <w:rsid w:val="00FD23A6"/>
    <w:rsid w:val="00FD3424"/>
    <w:rsid w:val="00FD37DA"/>
    <w:rsid w:val="00FD3ED3"/>
    <w:rsid w:val="00FD5E06"/>
    <w:rsid w:val="00FE2FE7"/>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6569650E"/>
  <w15:chartTrackingRefBased/>
  <w15:docId w15:val="{86069686-FB91-4F7C-B812-5129FED1A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469446498">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openxmlformats.org/officeDocument/2006/relationships/oleObject" Target="embeddings/oleObject3.bin"/><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image" Target="media/image2.emf"/><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emf"/><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N6KZ5FJUH56N-2-2254</_dlc_DocId>
    <_dlc_DocIdUrl xmlns="61b4827f-6107-4548-85d2-bee677143c1f">
      <Url>https://projects.qualcomm.com/sites/avante/_layouts/15/DocIdRedir.aspx?ID=N6KZ5FJUH56N-2-2254</Url>
      <Description>N6KZ5FJUH56N-2-2254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DA3D3651-B172-4A09-8104-1E477165A2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869BF2BE-9E75-4009-A720-83897D9FA04C}">
  <ds:schemaRefs>
    <ds:schemaRef ds:uri="http://purl.org/dc/elements/1.1/"/>
    <ds:schemaRef ds:uri="http://schemas.microsoft.com/office/2006/metadata/properties"/>
    <ds:schemaRef ds:uri="http://schemas.microsoft.com/sharepoint/v3"/>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1b4827f-6107-4548-85d2-bee677143c1f"/>
    <ds:schemaRef ds:uri="http://www.w3.org/XML/1998/namespace"/>
    <ds:schemaRef ds:uri="http://purl.org/dc/dcmitype/"/>
  </ds:schemaRefs>
</ds:datastoreItem>
</file>

<file path=customXml/itemProps6.xml><?xml version="1.0" encoding="utf-8"?>
<ds:datastoreItem xmlns:ds="http://schemas.openxmlformats.org/officeDocument/2006/customXml" ds:itemID="{7B47FB0F-0AA1-46FB-AD09-06348DE2C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964</TotalTime>
  <Pages>7</Pages>
  <Words>1895</Words>
  <Characters>10805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KG</cp:lastModifiedBy>
  <cp:revision>64</cp:revision>
  <cp:lastPrinted>2017-03-24T18:16:00Z</cp:lastPrinted>
  <dcterms:created xsi:type="dcterms:W3CDTF">2017-03-23T23:08:00Z</dcterms:created>
  <dcterms:modified xsi:type="dcterms:W3CDTF">2017-03-24T19:34:00Z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76e1e2ee-685a-46b2-87bb-c93bbd8d1b2d</vt:lpwstr>
  </property>
  <property fmtid="{D5CDD505-2E9C-101B-9397-08002B2CF9AE}" pid="3" name="ContentTypeId">
    <vt:lpwstr>0x010100433FF1C4E697BF4B975503316F4D99DE</vt:lpwstr>
  </property>
</Properties>
</file>