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522D25" w14:textId="30FE65D2" w:rsidR="00A85E54" w:rsidRPr="000613D3" w:rsidRDefault="00C102AD" w:rsidP="00B56492">
      <w:pPr>
        <w:pStyle w:val="Header"/>
        <w:tabs>
          <w:tab w:val="clear" w:pos="4536"/>
          <w:tab w:val="left" w:pos="1134"/>
        </w:tabs>
        <w:rPr>
          <w:i/>
          <w:lang w:val="de-DE"/>
        </w:rPr>
      </w:pPr>
      <w:r>
        <w:rPr>
          <w:lang w:val="de-DE"/>
        </w:rPr>
        <w:t>3GPP TSG-RAN</w:t>
      </w:r>
      <w:r w:rsidR="0019710B">
        <w:rPr>
          <w:lang w:val="de-DE"/>
        </w:rPr>
        <w:t xml:space="preserve"> </w:t>
      </w:r>
      <w:proofErr w:type="spellStart"/>
      <w:r w:rsidR="0019710B">
        <w:rPr>
          <w:lang w:val="de-DE"/>
        </w:rPr>
        <w:t>WG1</w:t>
      </w:r>
      <w:proofErr w:type="spellEnd"/>
      <w:r w:rsidR="0019710B">
        <w:rPr>
          <w:lang w:val="de-DE"/>
        </w:rPr>
        <w:t xml:space="preserve"> #</w:t>
      </w:r>
      <w:proofErr w:type="spellStart"/>
      <w:r w:rsidR="0019710B">
        <w:rPr>
          <w:lang w:val="de-DE"/>
        </w:rPr>
        <w:t>88</w:t>
      </w:r>
      <w:r w:rsidR="007D0A41">
        <w:rPr>
          <w:lang w:val="de-DE"/>
        </w:rPr>
        <w:t>bis</w:t>
      </w:r>
      <w:proofErr w:type="spellEnd"/>
      <w:r w:rsidR="00A85E54" w:rsidRPr="000613D3">
        <w:rPr>
          <w:lang w:val="de-DE"/>
        </w:rPr>
        <w:tab/>
      </w:r>
      <w:proofErr w:type="spellStart"/>
      <w:r w:rsidR="00A85E54" w:rsidRPr="001C2F6C">
        <w:rPr>
          <w:szCs w:val="20"/>
          <w:lang w:val="de-DE"/>
        </w:rPr>
        <w:t>R1</w:t>
      </w:r>
      <w:proofErr w:type="spellEnd"/>
      <w:r w:rsidR="00A85E54" w:rsidRPr="001C2F6C">
        <w:rPr>
          <w:szCs w:val="20"/>
          <w:lang w:val="de-DE"/>
        </w:rPr>
        <w:t>-</w:t>
      </w:r>
      <w:r>
        <w:rPr>
          <w:rFonts w:cs="Arial"/>
          <w:color w:val="000000"/>
          <w:szCs w:val="20"/>
        </w:rPr>
        <w:t>17</w:t>
      </w:r>
      <w:r w:rsidR="00FA25DB">
        <w:rPr>
          <w:rFonts w:cs="Arial"/>
          <w:color w:val="000000"/>
          <w:szCs w:val="20"/>
        </w:rPr>
        <w:t>04817</w:t>
      </w:r>
    </w:p>
    <w:p w14:paraId="4A9AC3FA" w14:textId="2D88F428" w:rsidR="00A85E54" w:rsidRPr="000833FA" w:rsidRDefault="00C102AD" w:rsidP="00A85E54">
      <w:pPr>
        <w:pStyle w:val="Header"/>
        <w:rPr>
          <w:color w:val="000000"/>
        </w:rPr>
      </w:pPr>
      <w:r>
        <w:t>Spokane, US</w:t>
      </w:r>
      <w:r w:rsidR="0056282E">
        <w:t xml:space="preserve">, </w:t>
      </w:r>
      <w:r>
        <w:t>April</w:t>
      </w:r>
      <w:r w:rsidR="0056282E">
        <w:t xml:space="preserve"> </w:t>
      </w:r>
      <w:r w:rsidR="0019710B">
        <w:t>3 – 7</w:t>
      </w:r>
      <w:r w:rsidR="00B56492">
        <w:t>, 2017</w:t>
      </w:r>
    </w:p>
    <w:p w14:paraId="2E5D1813" w14:textId="77777777" w:rsidR="00A85E54" w:rsidRPr="000833FA" w:rsidRDefault="00A85E54" w:rsidP="00A85E54">
      <w:pPr>
        <w:pStyle w:val="Header"/>
      </w:pPr>
    </w:p>
    <w:p w14:paraId="44716AF7" w14:textId="77777777" w:rsidR="00FE5799" w:rsidRPr="0003368D" w:rsidRDefault="00FE5799" w:rsidP="00FE5799">
      <w:pPr>
        <w:pStyle w:val="Header"/>
        <w:tabs>
          <w:tab w:val="clear" w:pos="4536"/>
          <w:tab w:val="left" w:pos="1800"/>
        </w:tabs>
        <w:ind w:left="1800" w:hanging="1800"/>
      </w:pPr>
      <w:r w:rsidRPr="0003368D">
        <w:t>Source:</w:t>
      </w:r>
      <w:r w:rsidRPr="0003368D">
        <w:tab/>
        <w:t>Ericsson</w:t>
      </w:r>
    </w:p>
    <w:p w14:paraId="2C219ABA" w14:textId="24EA0B6C" w:rsidR="00F75F68" w:rsidRDefault="00FE5799" w:rsidP="00F86630">
      <w:pPr>
        <w:pStyle w:val="Header"/>
        <w:tabs>
          <w:tab w:val="clear" w:pos="4536"/>
          <w:tab w:val="left" w:pos="1800"/>
        </w:tabs>
      </w:pPr>
      <w:r w:rsidRPr="0003368D">
        <w:t>Title:</w:t>
      </w:r>
      <w:bookmarkStart w:id="0" w:name="Title"/>
      <w:bookmarkEnd w:id="0"/>
      <w:r w:rsidRPr="0003368D">
        <w:tab/>
      </w:r>
      <w:r w:rsidR="00FA25DB">
        <w:t>Wide bandwidth operation</w:t>
      </w:r>
    </w:p>
    <w:p w14:paraId="7344DFB9" w14:textId="26D800D4" w:rsidR="00FE5799" w:rsidRPr="00E220C0" w:rsidRDefault="00FE5799" w:rsidP="00F86630">
      <w:pPr>
        <w:pStyle w:val="Header"/>
        <w:tabs>
          <w:tab w:val="clear" w:pos="4536"/>
          <w:tab w:val="left" w:pos="1800"/>
        </w:tabs>
      </w:pPr>
      <w:r w:rsidRPr="00E220C0">
        <w:t>Agenda Item:</w:t>
      </w:r>
      <w:bookmarkStart w:id="1" w:name="Source"/>
      <w:bookmarkEnd w:id="1"/>
      <w:r w:rsidRPr="00E220C0">
        <w:tab/>
      </w:r>
      <w:r w:rsidR="0019710B">
        <w:t>8.1.</w:t>
      </w:r>
      <w:r w:rsidR="00FA25DB">
        <w:t>9</w:t>
      </w:r>
    </w:p>
    <w:p w14:paraId="3447B1EC" w14:textId="77777777" w:rsidR="00FE5799" w:rsidRPr="0003368D" w:rsidRDefault="00FE5799" w:rsidP="00FE5799">
      <w:pPr>
        <w:pStyle w:val="Header"/>
        <w:tabs>
          <w:tab w:val="left" w:pos="1800"/>
        </w:tabs>
      </w:pPr>
      <w:r w:rsidRPr="00E220C0">
        <w:t>Document for:</w:t>
      </w:r>
      <w:r w:rsidRPr="0003368D">
        <w:tab/>
      </w:r>
      <w:bookmarkStart w:id="2" w:name="DocumentFor"/>
      <w:bookmarkEnd w:id="2"/>
      <w:r w:rsidRPr="0003368D">
        <w:t xml:space="preserve">Discussion </w:t>
      </w:r>
      <w:r>
        <w:t>and Decision</w:t>
      </w:r>
    </w:p>
    <w:p w14:paraId="3D816BFF" w14:textId="77777777" w:rsidR="00FE5799" w:rsidRPr="002100D2" w:rsidRDefault="00FE5799" w:rsidP="00FE5799">
      <w:pPr>
        <w:pBdr>
          <w:bottom w:val="single" w:sz="4" w:space="1" w:color="auto"/>
        </w:pBdr>
        <w:tabs>
          <w:tab w:val="left" w:pos="2552"/>
        </w:tabs>
      </w:pPr>
    </w:p>
    <w:p w14:paraId="2918F77F" w14:textId="59F48176" w:rsidR="0056282E" w:rsidRDefault="007D0A41" w:rsidP="001C2F6C">
      <w:pPr>
        <w:pStyle w:val="Heading1"/>
        <w:spacing w:before="180"/>
        <w:ind w:left="426" w:hanging="426"/>
      </w:pPr>
      <w:r>
        <w:t>Maximum number of sub-carriers and maximum channel BW</w:t>
      </w:r>
    </w:p>
    <w:p w14:paraId="19196582" w14:textId="7A094885" w:rsidR="00FA25DB" w:rsidRDefault="00FA25DB" w:rsidP="00FA25DB">
      <w:pPr>
        <w:pStyle w:val="BodyText"/>
      </w:pPr>
      <w:r>
        <w:t xml:space="preserve">At </w:t>
      </w:r>
      <w:proofErr w:type="spellStart"/>
      <w:r>
        <w:t>RAN1</w:t>
      </w:r>
      <w:proofErr w:type="spellEnd"/>
      <w:r w:rsidR="007D0A41">
        <w:t xml:space="preserve"> #88</w:t>
      </w:r>
      <w:r w:rsidR="00377C86">
        <w:t>, the following was</w:t>
      </w:r>
      <w:r w:rsidR="00445E3C">
        <w:t xml:space="preserve"> agreed regarding NR release 15</w:t>
      </w:r>
    </w:p>
    <w:p w14:paraId="5F292D17" w14:textId="7AF0D85B" w:rsidR="002F38B3" w:rsidRPr="007D0A41" w:rsidRDefault="002F38B3" w:rsidP="002F38B3">
      <w:pPr>
        <w:pStyle w:val="ListParagraph"/>
        <w:numPr>
          <w:ilvl w:val="0"/>
          <w:numId w:val="32"/>
        </w:numPr>
        <w:overflowPunct w:val="0"/>
        <w:autoSpaceDE w:val="0"/>
        <w:autoSpaceDN w:val="0"/>
        <w:adjustRightInd w:val="0"/>
        <w:spacing w:after="180"/>
        <w:textAlignment w:val="baseline"/>
        <w:rPr>
          <w:rFonts w:eastAsia="MS Mincho"/>
        </w:rPr>
      </w:pPr>
      <w:r w:rsidRPr="007D0A41">
        <w:rPr>
          <w:rFonts w:eastAsia="MS Mincho"/>
        </w:rPr>
        <w:t xml:space="preserve">From </w:t>
      </w:r>
      <w:proofErr w:type="spellStart"/>
      <w:r w:rsidRPr="007D0A41">
        <w:rPr>
          <w:rFonts w:eastAsia="MS Mincho"/>
        </w:rPr>
        <w:t>RAN1</w:t>
      </w:r>
      <w:proofErr w:type="spellEnd"/>
      <w:r w:rsidRPr="007D0A41">
        <w:rPr>
          <w:rFonts w:eastAsia="MS Mincho"/>
        </w:rPr>
        <w:t xml:space="preserve"> specification perspective, maximum channel bandwidth per</w:t>
      </w:r>
      <w:r w:rsidR="00377C86" w:rsidRPr="007D0A41">
        <w:rPr>
          <w:rFonts w:eastAsia="MS Mincho"/>
        </w:rPr>
        <w:t xml:space="preserve"> NR </w:t>
      </w:r>
      <w:r w:rsidR="00694DD5" w:rsidRPr="007D0A41">
        <w:rPr>
          <w:rFonts w:eastAsia="MS Mincho"/>
        </w:rPr>
        <w:t xml:space="preserve">[component] </w:t>
      </w:r>
      <w:r w:rsidR="00377C86" w:rsidRPr="007D0A41">
        <w:rPr>
          <w:rFonts w:eastAsia="MS Mincho"/>
        </w:rPr>
        <w:t>carrier is 400 MHz</w:t>
      </w:r>
    </w:p>
    <w:p w14:paraId="47767E9A" w14:textId="1DE6FA99" w:rsidR="00FA25DB" w:rsidRPr="007D0A41" w:rsidRDefault="002F38B3" w:rsidP="00FA25DB">
      <w:pPr>
        <w:pStyle w:val="ListParagraph"/>
        <w:numPr>
          <w:ilvl w:val="0"/>
          <w:numId w:val="32"/>
        </w:numPr>
        <w:overflowPunct w:val="0"/>
        <w:autoSpaceDE w:val="0"/>
        <w:autoSpaceDN w:val="0"/>
        <w:adjustRightInd w:val="0"/>
        <w:spacing w:after="180"/>
        <w:textAlignment w:val="baseline"/>
        <w:rPr>
          <w:rFonts w:eastAsia="MS Mincho"/>
        </w:rPr>
      </w:pPr>
      <w:r w:rsidRPr="007D0A41">
        <w:rPr>
          <w:rFonts w:eastAsia="MS Mincho" w:hint="eastAsia"/>
        </w:rPr>
        <w:t xml:space="preserve">From </w:t>
      </w:r>
      <w:proofErr w:type="spellStart"/>
      <w:r w:rsidRPr="007D0A41">
        <w:rPr>
          <w:rFonts w:eastAsia="MS Mincho" w:hint="eastAsia"/>
        </w:rPr>
        <w:t>RAN1</w:t>
      </w:r>
      <w:proofErr w:type="spellEnd"/>
      <w:r w:rsidRPr="007D0A41">
        <w:rPr>
          <w:rFonts w:eastAsia="MS Mincho" w:hint="eastAsia"/>
        </w:rPr>
        <w:t xml:space="preserve"> specification perspective, at least for single numerology case, candidates of the </w:t>
      </w:r>
      <w:r w:rsidRPr="007D0A41">
        <w:rPr>
          <w:rFonts w:eastAsia="MS Mincho"/>
        </w:rPr>
        <w:t xml:space="preserve">maximum number of subcarriers per NR </w:t>
      </w:r>
      <w:r w:rsidR="00694DD5" w:rsidRPr="007D0A41">
        <w:rPr>
          <w:rFonts w:eastAsia="MS Mincho"/>
        </w:rPr>
        <w:t xml:space="preserve">[component] </w:t>
      </w:r>
      <w:r w:rsidRPr="007D0A41">
        <w:rPr>
          <w:rFonts w:eastAsia="MS Mincho"/>
        </w:rPr>
        <w:t>carrier is 3300</w:t>
      </w:r>
      <w:r w:rsidR="00377C86" w:rsidRPr="007D0A41">
        <w:rPr>
          <w:rFonts w:eastAsia="MS Mincho" w:hint="eastAsia"/>
        </w:rPr>
        <w:t xml:space="preserve"> or 6600</w:t>
      </w:r>
    </w:p>
    <w:p w14:paraId="323D97AE" w14:textId="77777777" w:rsidR="008075E1" w:rsidRDefault="008075E1" w:rsidP="008075E1">
      <w:pPr>
        <w:pStyle w:val="BodyText"/>
      </w:pPr>
      <w:r>
        <w:t>However, there are several question marks regarding these agreements</w:t>
      </w:r>
    </w:p>
    <w:p w14:paraId="431EFAA8" w14:textId="4ECCED92" w:rsidR="00331B3F" w:rsidRDefault="00331B3F" w:rsidP="00331B3F">
      <w:pPr>
        <w:pStyle w:val="BodyText"/>
      </w:pPr>
      <w:r>
        <w:t>It is</w:t>
      </w:r>
      <w:r>
        <w:t xml:space="preserve">, in general, unclear what is meant by “maximum” in the agreements above? Does e.g. all </w:t>
      </w:r>
      <w:proofErr w:type="spellStart"/>
      <w:r>
        <w:t>UEs</w:t>
      </w:r>
      <w:proofErr w:type="spellEnd"/>
      <w:r>
        <w:t xml:space="preserve"> </w:t>
      </w:r>
      <w:proofErr w:type="gramStart"/>
      <w:r>
        <w:t>have to</w:t>
      </w:r>
      <w:proofErr w:type="gramEnd"/>
      <w:r>
        <w:t xml:space="preserve"> support the </w:t>
      </w:r>
      <w:r>
        <w:t xml:space="preserve">agreed maximum </w:t>
      </w:r>
      <w:r>
        <w:t xml:space="preserve">number of sub-carriers </w:t>
      </w:r>
      <w:r w:rsidR="00F65B10">
        <w:t xml:space="preserve">per component carrier </w:t>
      </w:r>
      <w:r>
        <w:t xml:space="preserve">and maximum </w:t>
      </w:r>
      <w:r w:rsidR="00F65B10">
        <w:t>channel</w:t>
      </w:r>
      <w:r>
        <w:t xml:space="preserve"> bandwidth</w:t>
      </w:r>
      <w:r w:rsidR="00F65B10">
        <w:t>?</w:t>
      </w:r>
    </w:p>
    <w:p w14:paraId="780E4A54" w14:textId="349B9669" w:rsidR="008075E1" w:rsidRDefault="00331B3F" w:rsidP="004430DF">
      <w:pPr>
        <w:pStyle w:val="BodyText"/>
      </w:pPr>
      <w:r>
        <w:t>Furthermore, f</w:t>
      </w:r>
      <w:r w:rsidR="00694DD5">
        <w:t>or certain</w:t>
      </w:r>
      <w:r w:rsidR="00461897">
        <w:t xml:space="preserve"> sub-carrier </w:t>
      </w:r>
      <w:proofErr w:type="spellStart"/>
      <w:r w:rsidR="00461897">
        <w:t>spacing</w:t>
      </w:r>
      <w:r w:rsidR="00694DD5">
        <w:t>s</w:t>
      </w:r>
      <w:proofErr w:type="spellEnd"/>
      <w:r w:rsidR="00694DD5">
        <w:t>, the above</w:t>
      </w:r>
      <w:r w:rsidR="00461897">
        <w:t xml:space="preserve"> maximum number of sub-carriers per component carrier indirectly leads to a maximum </w:t>
      </w:r>
      <w:r w:rsidR="00F65B10">
        <w:t>channel</w:t>
      </w:r>
      <w:r w:rsidR="00377C86">
        <w:t xml:space="preserve"> bandwidth that</w:t>
      </w:r>
      <w:r w:rsidR="004430DF">
        <w:t xml:space="preserve"> is</w:t>
      </w:r>
      <w:r w:rsidR="00461897">
        <w:t xml:space="preserve"> smal</w:t>
      </w:r>
      <w:r w:rsidR="002F38B3">
        <w:t xml:space="preserve">ler than 400 </w:t>
      </w:r>
      <w:proofErr w:type="spellStart"/>
      <w:r w:rsidR="002F38B3">
        <w:t>MHz.</w:t>
      </w:r>
      <w:proofErr w:type="spellEnd"/>
      <w:r w:rsidR="004430DF">
        <w:t xml:space="preserve"> Similarly, for certain sub-carrier spacing, the above maximum </w:t>
      </w:r>
      <w:r w:rsidR="00F65B10">
        <w:t>channel</w:t>
      </w:r>
      <w:r w:rsidR="004430DF">
        <w:t xml:space="preserve"> bandwidth leads to a maximum number of sub-carriers per component carrier that is smaller than 3300/6600.</w:t>
      </w:r>
      <w:r w:rsidR="007D0A41">
        <w:t xml:space="preserve"> The question is </w:t>
      </w:r>
      <w:r w:rsidR="008075E1">
        <w:t>how to interpret the above agreements</w:t>
      </w:r>
      <w:r w:rsidR="008075E1">
        <w:t xml:space="preserve"> in those cases.  </w:t>
      </w:r>
    </w:p>
    <w:p w14:paraId="323670EA" w14:textId="6EA36E77" w:rsidR="00331B3F" w:rsidRDefault="00331B3F" w:rsidP="008075E1">
      <w:pPr>
        <w:pStyle w:val="BodyText"/>
      </w:pPr>
      <w:proofErr w:type="gramStart"/>
      <w:r>
        <w:t>Finally</w:t>
      </w:r>
      <w:proofErr w:type="gramEnd"/>
      <w:r>
        <w:t xml:space="preserve"> there is the question if it is in any way relevant to</w:t>
      </w:r>
      <w:r w:rsidR="00F65B10">
        <w:t>,</w:t>
      </w:r>
      <w:r w:rsidR="00F65B10" w:rsidRPr="00F65B10">
        <w:t xml:space="preserve"> </w:t>
      </w:r>
      <w:r w:rsidR="00F65B10">
        <w:t xml:space="preserve">from a </w:t>
      </w:r>
      <w:proofErr w:type="spellStart"/>
      <w:r w:rsidR="00F65B10">
        <w:t>RAN1</w:t>
      </w:r>
      <w:proofErr w:type="spellEnd"/>
      <w:r w:rsidR="00F65B10">
        <w:t xml:space="preserve"> perspective</w:t>
      </w:r>
      <w:r w:rsidR="00F65B10">
        <w:t>,</w:t>
      </w:r>
      <w:r>
        <w:t xml:space="preserve"> define an absolute maximum </w:t>
      </w:r>
      <w:r w:rsidR="00F65B10">
        <w:t xml:space="preserve">channel </w:t>
      </w:r>
      <w:r>
        <w:t>band</w:t>
      </w:r>
      <w:r w:rsidR="00F65B10">
        <w:t>width.</w:t>
      </w:r>
    </w:p>
    <w:p w14:paraId="3885017D" w14:textId="6CB79838" w:rsidR="00331B3F" w:rsidRDefault="00331B3F" w:rsidP="00FA25DB">
      <w:pPr>
        <w:pStyle w:val="BodyText"/>
      </w:pPr>
      <w:r>
        <w:t>On the first question</w:t>
      </w:r>
      <w:r w:rsidR="008075E1">
        <w:t xml:space="preserve">, </w:t>
      </w:r>
      <w:r>
        <w:t xml:space="preserve">it is our understanding that there should be a possibility for </w:t>
      </w:r>
      <w:proofErr w:type="spellStart"/>
      <w:r w:rsidR="00F65B10">
        <w:t>UEs</w:t>
      </w:r>
      <w:proofErr w:type="spellEnd"/>
      <w:r w:rsidR="00F65B10">
        <w:t xml:space="preserve"> supporting</w:t>
      </w:r>
      <w:r w:rsidR="008075E1">
        <w:t xml:space="preserve"> smaller number of sub-carriers and a smaller </w:t>
      </w:r>
      <w:r w:rsidR="00F65B10">
        <w:t>channel</w:t>
      </w:r>
      <w:r w:rsidR="008075E1">
        <w:t xml:space="preserve"> bandwidth than what is given above. </w:t>
      </w:r>
      <w:r w:rsidR="004430DF">
        <w:t xml:space="preserve">Our understanding is </w:t>
      </w:r>
      <w:r w:rsidR="008075E1">
        <w:t>therefore t</w:t>
      </w:r>
      <w:r>
        <w:t xml:space="preserve">hat, from a </w:t>
      </w:r>
      <w:proofErr w:type="spellStart"/>
      <w:r>
        <w:t>RAN1</w:t>
      </w:r>
      <w:proofErr w:type="spellEnd"/>
      <w:r>
        <w:t xml:space="preserve"> perspective, </w:t>
      </w:r>
      <w:r w:rsidR="008075E1">
        <w:t xml:space="preserve">defining a </w:t>
      </w:r>
      <w:r w:rsidR="00461897">
        <w:t xml:space="preserve">maximum </w:t>
      </w:r>
      <w:r w:rsidR="00FA25DB">
        <w:t>number of sub-carriers within a compo</w:t>
      </w:r>
      <w:r w:rsidR="004430DF">
        <w:t>nent</w:t>
      </w:r>
      <w:r>
        <w:t xml:space="preserve"> carrier is mainly related to the design of</w:t>
      </w:r>
      <w:r w:rsidR="008075E1">
        <w:t xml:space="preserve"> </w:t>
      </w:r>
      <w:r w:rsidR="004430DF">
        <w:t xml:space="preserve">the detailed </w:t>
      </w:r>
      <w:r w:rsidR="008075E1">
        <w:t xml:space="preserve">signaling for </w:t>
      </w:r>
      <w:r w:rsidR="004430DF">
        <w:t>resource assignment</w:t>
      </w:r>
      <w:r w:rsidR="008075E1">
        <w:t>(s)</w:t>
      </w:r>
      <w:r w:rsidR="004430DF">
        <w:t xml:space="preserve">. </w:t>
      </w:r>
      <w:r w:rsidR="008075E1">
        <w:t>As the resource block size (in the frequency domain) has been agreed to be independent of the numerology, there is then no reason to assume that the maximum number of subcarriers per component carrier should differ between numerologies</w:t>
      </w:r>
      <w:r>
        <w:t xml:space="preserve"> (which may be the case if one interpret the above two agreements jointly).</w:t>
      </w:r>
    </w:p>
    <w:p w14:paraId="2C83DC17" w14:textId="4540E2C2" w:rsidR="004430DF" w:rsidRDefault="00F65B10" w:rsidP="00FA25DB">
      <w:pPr>
        <w:pStyle w:val="BodyText"/>
      </w:pPr>
      <w:r>
        <w:t xml:space="preserve">Regarding the </w:t>
      </w:r>
      <w:r w:rsidR="006767BB">
        <w:t xml:space="preserve">the value for the maximum number of sub-carrier per component carrier, </w:t>
      </w:r>
      <w:r>
        <w:t>our proposal is to</w:t>
      </w:r>
      <w:r w:rsidR="006767BB">
        <w:t xml:space="preserve"> agree on 3300.</w:t>
      </w:r>
      <w:r>
        <w:t xml:space="preserve"> </w:t>
      </w:r>
      <w:r w:rsidR="008075E1">
        <w:t xml:space="preserve">  </w:t>
      </w:r>
    </w:p>
    <w:p w14:paraId="2A83409F" w14:textId="5B4DAD5F" w:rsidR="004430DF" w:rsidRDefault="00331B3F" w:rsidP="00FA25DB">
      <w:pPr>
        <w:pStyle w:val="BodyText"/>
      </w:pPr>
      <w:r>
        <w:t xml:space="preserve">Regarding the third question, there does not seem to be </w:t>
      </w:r>
      <w:r w:rsidR="00F65B10">
        <w:t>a</w:t>
      </w:r>
      <w:r>
        <w:t xml:space="preserve">ny reasons for </w:t>
      </w:r>
      <w:proofErr w:type="spellStart"/>
      <w:r>
        <w:t>RAN1</w:t>
      </w:r>
      <w:proofErr w:type="spellEnd"/>
      <w:r>
        <w:t xml:space="preserve"> to impose any </w:t>
      </w:r>
      <w:proofErr w:type="gramStart"/>
      <w:r>
        <w:t>specific restrictions</w:t>
      </w:r>
      <w:proofErr w:type="gramEnd"/>
      <w:r>
        <w:t xml:space="preserve"> </w:t>
      </w:r>
      <w:r w:rsidR="004430DF">
        <w:t>o</w:t>
      </w:r>
      <w:r w:rsidR="00F65B10">
        <w:t>n the absolute channel</w:t>
      </w:r>
      <w:r w:rsidR="004430DF">
        <w:t xml:space="preserve"> bandwidth (in MHz</w:t>
      </w:r>
      <w:r w:rsidR="000757AA">
        <w:t>), beyond the trivial indirect restriction due to a maximum numb</w:t>
      </w:r>
      <w:r w:rsidR="003B31CA">
        <w:t>er of sub-carriers, which implies a numerology-</w:t>
      </w:r>
      <w:r w:rsidR="000757AA">
        <w:t>dependent restriction. Any further restriction of the maximum component carrier bandwidth should be u</w:t>
      </w:r>
      <w:r w:rsidR="003B31CA">
        <w:t xml:space="preserve">p to </w:t>
      </w:r>
      <w:proofErr w:type="spellStart"/>
      <w:r w:rsidR="003B31CA">
        <w:t>RAN4</w:t>
      </w:r>
      <w:proofErr w:type="spellEnd"/>
      <w:r w:rsidR="003B31CA">
        <w:t xml:space="preserve"> to decide. T</w:t>
      </w:r>
      <w:r w:rsidR="000757AA">
        <w:t xml:space="preserve">his is </w:t>
      </w:r>
      <w:proofErr w:type="gramStart"/>
      <w:r w:rsidR="000757AA">
        <w:t>similar to</w:t>
      </w:r>
      <w:proofErr w:type="gramEnd"/>
      <w:r w:rsidR="000757AA">
        <w:t xml:space="preserve"> current LTE where </w:t>
      </w:r>
      <w:proofErr w:type="spellStart"/>
      <w:r w:rsidR="000757AA">
        <w:t>RAN1</w:t>
      </w:r>
      <w:proofErr w:type="spellEnd"/>
      <w:r w:rsidR="000757AA">
        <w:t xml:space="preserve"> simply limits the maximum number of subcarriers to 1320 (110 </w:t>
      </w:r>
      <w:proofErr w:type="spellStart"/>
      <w:r w:rsidR="000757AA">
        <w:t>RBs</w:t>
      </w:r>
      <w:proofErr w:type="spellEnd"/>
      <w:r w:rsidR="000757AA">
        <w:t xml:space="preserve">) while </w:t>
      </w:r>
      <w:proofErr w:type="spellStart"/>
      <w:r w:rsidR="000757AA">
        <w:t>RAN4</w:t>
      </w:r>
      <w:proofErr w:type="spellEnd"/>
      <w:r w:rsidR="000757AA">
        <w:t xml:space="preserve"> impose</w:t>
      </w:r>
      <w:r w:rsidR="003B31CA">
        <w:t>s</w:t>
      </w:r>
      <w:r w:rsidR="000757AA">
        <w:t xml:space="preserve"> additional restrictions that are also band specific. </w:t>
      </w:r>
    </w:p>
    <w:p w14:paraId="58FC11E4" w14:textId="03BBA4EC" w:rsidR="006767BB" w:rsidRPr="006767BB" w:rsidRDefault="004430DF" w:rsidP="006767BB">
      <w:pPr>
        <w:overflowPunct w:val="0"/>
        <w:autoSpaceDE w:val="0"/>
        <w:autoSpaceDN w:val="0"/>
        <w:adjustRightInd w:val="0"/>
        <w:spacing w:after="180"/>
        <w:textAlignment w:val="baseline"/>
        <w:rPr>
          <w:rFonts w:eastAsia="MS Mincho"/>
        </w:rPr>
      </w:pPr>
      <w:r>
        <w:t xml:space="preserve">At </w:t>
      </w:r>
      <w:proofErr w:type="spellStart"/>
      <w:r>
        <w:t>RAN1</w:t>
      </w:r>
      <w:proofErr w:type="spellEnd"/>
      <w:r>
        <w:t xml:space="preserve"> #88 the</w:t>
      </w:r>
      <w:r w:rsidR="006767BB">
        <w:t>re was a question mark how to interpret the above agreement</w:t>
      </w:r>
      <w:r w:rsidR="000757AA">
        <w:t>(s)</w:t>
      </w:r>
      <w:r w:rsidR="006767BB">
        <w:t xml:space="preserve"> for the case of mixed numerology (“</w:t>
      </w:r>
      <w:r w:rsidR="006767BB" w:rsidRPr="006767BB">
        <w:rPr>
          <w:rFonts w:eastAsia="MS Mincho" w:hint="eastAsia"/>
        </w:rPr>
        <w:t xml:space="preserve">FFS: </w:t>
      </w:r>
      <w:r w:rsidR="006767BB" w:rsidRPr="006767BB">
        <w:rPr>
          <w:rFonts w:eastAsia="MS Mincho"/>
        </w:rPr>
        <w:t>For mixed numerology case, the above applies to the lowest subcarrier spacing</w:t>
      </w:r>
      <w:r w:rsidR="006767BB">
        <w:rPr>
          <w:rFonts w:eastAsia="MS Mincho"/>
        </w:rPr>
        <w:t>”)</w:t>
      </w:r>
    </w:p>
    <w:p w14:paraId="18FF2992" w14:textId="06DD2E4C" w:rsidR="004430DF" w:rsidRDefault="006767BB" w:rsidP="00FA25DB">
      <w:pPr>
        <w:pStyle w:val="BodyText"/>
      </w:pPr>
      <w:r>
        <w:t xml:space="preserve">As stated above, our understanding is that defining a </w:t>
      </w:r>
      <w:r w:rsidR="004430DF">
        <w:t xml:space="preserve">maximum number of sub-carriers per component carrier is </w:t>
      </w:r>
      <w:r>
        <w:t xml:space="preserve">primarily </w:t>
      </w:r>
      <w:r w:rsidR="004430DF">
        <w:t>related t</w:t>
      </w:r>
      <w:r>
        <w:t>o</w:t>
      </w:r>
      <w:r w:rsidR="004430DF">
        <w:t xml:space="preserve"> signaling of resource assignments. </w:t>
      </w:r>
      <w:r w:rsidR="000757AA">
        <w:t xml:space="preserve">Our understanding is also that </w:t>
      </w:r>
      <w:proofErr w:type="gramStart"/>
      <w:r w:rsidR="000757AA">
        <w:t>w</w:t>
      </w:r>
      <w:r>
        <w:t>hether or not</w:t>
      </w:r>
      <w:proofErr w:type="gramEnd"/>
      <w:r>
        <w:t xml:space="preserve"> mixed numerology (different numerologies configured for different </w:t>
      </w:r>
      <w:proofErr w:type="spellStart"/>
      <w:r>
        <w:t>UEs</w:t>
      </w:r>
      <w:proofErr w:type="spellEnd"/>
      <w:r>
        <w:t>) is used within a carrier is transparen</w:t>
      </w:r>
      <w:r w:rsidR="000757AA">
        <w:t xml:space="preserve">t to the different </w:t>
      </w:r>
      <w:proofErr w:type="spellStart"/>
      <w:r w:rsidR="000757AA">
        <w:t>U</w:t>
      </w:r>
      <w:r>
        <w:t>Es</w:t>
      </w:r>
      <w:proofErr w:type="spellEnd"/>
      <w:r>
        <w:t>. Thus we do not see</w:t>
      </w:r>
      <w:r w:rsidR="007D0A41">
        <w:t xml:space="preserve"> any </w:t>
      </w:r>
      <w:proofErr w:type="gramStart"/>
      <w:r w:rsidR="007D0A41">
        <w:t>reason why</w:t>
      </w:r>
      <w:proofErr w:type="gramEnd"/>
      <w:r w:rsidR="007D0A41">
        <w:t xml:space="preserve"> any conclusion on </w:t>
      </w:r>
      <w:r>
        <w:t xml:space="preserve">maximum number of sub-carriers per component carrier should be dependent on whether or not mixed numerology is used within a carrier. </w:t>
      </w:r>
    </w:p>
    <w:p w14:paraId="5E4BE025" w14:textId="0D83A86F" w:rsidR="006767BB" w:rsidRDefault="007D0A41" w:rsidP="007D0A41">
      <w:pPr>
        <w:pStyle w:val="Heading1"/>
        <w:tabs>
          <w:tab w:val="clear" w:pos="3544"/>
          <w:tab w:val="num" w:pos="426"/>
        </w:tabs>
        <w:ind w:hanging="3544"/>
      </w:pPr>
      <w:r>
        <w:t>Realizing a certain overall channel bandwidth.</w:t>
      </w:r>
    </w:p>
    <w:p w14:paraId="0EE174E2" w14:textId="15FE03EB" w:rsidR="007D0A41" w:rsidRDefault="007D0A41" w:rsidP="00FA25DB">
      <w:pPr>
        <w:pStyle w:val="BodyText"/>
      </w:pPr>
      <w:r>
        <w:t xml:space="preserve">It is obvious that, at least in principle, a certain overall transmission bandwidths can be realized by means of many different combinations of component carrier bandwidth and number of component carriers. Just as an example, an overall transmission bandwidth of 400 MHz can e.g. be achieved by </w:t>
      </w:r>
    </w:p>
    <w:p w14:paraId="0EBC359A" w14:textId="77777777" w:rsidR="007D0A41" w:rsidRDefault="007D0A41" w:rsidP="007D0A41">
      <w:pPr>
        <w:pStyle w:val="BodyText"/>
        <w:numPr>
          <w:ilvl w:val="0"/>
          <w:numId w:val="35"/>
        </w:numPr>
      </w:pPr>
      <w:r>
        <w:t>A single component carrier a 400 MHz</w:t>
      </w:r>
    </w:p>
    <w:p w14:paraId="7EFC110A" w14:textId="77777777" w:rsidR="007D0A41" w:rsidRDefault="007D0A41" w:rsidP="007D0A41">
      <w:pPr>
        <w:pStyle w:val="BodyText"/>
        <w:numPr>
          <w:ilvl w:val="0"/>
          <w:numId w:val="35"/>
        </w:numPr>
      </w:pPr>
      <w:r>
        <w:lastRenderedPageBreak/>
        <w:t>Two component carriers a 200 MHz</w:t>
      </w:r>
    </w:p>
    <w:p w14:paraId="3C7A0DDC" w14:textId="4F5AEEAE" w:rsidR="007D0A41" w:rsidRDefault="007D0A41" w:rsidP="007D0A41">
      <w:pPr>
        <w:pStyle w:val="BodyText"/>
        <w:numPr>
          <w:ilvl w:val="0"/>
          <w:numId w:val="35"/>
        </w:numPr>
      </w:pPr>
      <w:r>
        <w:t>Four component carriers a 100 MHz</w:t>
      </w:r>
    </w:p>
    <w:p w14:paraId="7DC0B3B6" w14:textId="77777777" w:rsidR="003B31CA" w:rsidRDefault="005B7717" w:rsidP="007D0A41">
      <w:pPr>
        <w:pStyle w:val="BodyText"/>
      </w:pPr>
      <w:r>
        <w:t>I</w:t>
      </w:r>
      <w:r w:rsidR="007D0A41">
        <w:t>t is clearly beneficial to, within the overall NR specifications, avoid to</w:t>
      </w:r>
      <w:r>
        <w:t>o</w:t>
      </w:r>
      <w:r w:rsidR="007D0A41">
        <w:t xml:space="preserve"> many different means to achieve the same thing. </w:t>
      </w:r>
      <w:r>
        <w:t xml:space="preserve">Having too much flexibility would either lead </w:t>
      </w:r>
      <w:proofErr w:type="gramStart"/>
      <w:r>
        <w:t>to</w:t>
      </w:r>
      <w:proofErr w:type="gramEnd"/>
      <w:r>
        <w:t xml:space="preserve"> unnecessary </w:t>
      </w:r>
      <w:proofErr w:type="spellStart"/>
      <w:r>
        <w:t>UE</w:t>
      </w:r>
      <w:proofErr w:type="spellEnd"/>
      <w:r>
        <w:t xml:space="preserve"> complexity (if </w:t>
      </w:r>
      <w:proofErr w:type="spellStart"/>
      <w:r>
        <w:t>UEs</w:t>
      </w:r>
      <w:proofErr w:type="spellEnd"/>
      <w:r>
        <w:t xml:space="preserve"> have to support all options) or unnecessary network complexity (if different </w:t>
      </w:r>
      <w:proofErr w:type="spellStart"/>
      <w:r>
        <w:t>UEs</w:t>
      </w:r>
      <w:proofErr w:type="spellEnd"/>
      <w:r>
        <w:t xml:space="preserve"> </w:t>
      </w:r>
      <w:r w:rsidR="003B31CA">
        <w:t xml:space="preserve">can </w:t>
      </w:r>
      <w:r>
        <w:t xml:space="preserve">support different options). </w:t>
      </w:r>
    </w:p>
    <w:p w14:paraId="19E704A9" w14:textId="667C24C6" w:rsidR="005B7717" w:rsidRDefault="007D0A41" w:rsidP="007D0A41">
      <w:pPr>
        <w:pStyle w:val="BodyText"/>
      </w:pPr>
      <w:r>
        <w:t xml:space="preserve">However, this does not </w:t>
      </w:r>
      <w:r w:rsidR="005B7717">
        <w:t xml:space="preserve">necessarily </w:t>
      </w:r>
      <w:r>
        <w:t xml:space="preserve">mean that </w:t>
      </w:r>
      <w:r w:rsidR="005B7717">
        <w:t xml:space="preserve">such restrictions should be imposed by the </w:t>
      </w:r>
      <w:proofErr w:type="spellStart"/>
      <w:r w:rsidR="005B7717">
        <w:t>RAN1</w:t>
      </w:r>
      <w:proofErr w:type="spellEnd"/>
      <w:r w:rsidR="005B7717">
        <w:t xml:space="preserve"> specifications. Rather, the specification is more future proof if flexibility is kept in the </w:t>
      </w:r>
      <w:proofErr w:type="spellStart"/>
      <w:r w:rsidR="005B7717">
        <w:t>RAN1</w:t>
      </w:r>
      <w:proofErr w:type="spellEnd"/>
      <w:r w:rsidR="005B7717">
        <w:t xml:space="preserve"> specifications and restrictions </w:t>
      </w:r>
      <w:r w:rsidR="003B31CA">
        <w:t xml:space="preserve">are </w:t>
      </w:r>
      <w:r w:rsidR="005B7717">
        <w:t xml:space="preserve">rather imposed in the </w:t>
      </w:r>
      <w:proofErr w:type="spellStart"/>
      <w:r w:rsidR="005B7717">
        <w:t>RAN4</w:t>
      </w:r>
      <w:proofErr w:type="spellEnd"/>
      <w:r w:rsidR="005B7717">
        <w:t xml:space="preserve"> specifications. </w:t>
      </w:r>
    </w:p>
    <w:p w14:paraId="276C3DD1" w14:textId="77777777" w:rsidR="000C052A" w:rsidRDefault="000757AA" w:rsidP="007D0A41">
      <w:pPr>
        <w:pStyle w:val="BodyText"/>
      </w:pPr>
      <w:r>
        <w:t>Once again, t</w:t>
      </w:r>
      <w:r w:rsidR="005B7717">
        <w:t xml:space="preserve">his </w:t>
      </w:r>
      <w:proofErr w:type="gramStart"/>
      <w:r>
        <w:t>can be seen as</w:t>
      </w:r>
      <w:proofErr w:type="gramEnd"/>
      <w:r>
        <w:t xml:space="preserve"> similar to </w:t>
      </w:r>
      <w:r w:rsidR="005B7717">
        <w:t xml:space="preserve">LTE </w:t>
      </w:r>
      <w:proofErr w:type="spellStart"/>
      <w:r w:rsidR="005B7717">
        <w:t>RAN1</w:t>
      </w:r>
      <w:proofErr w:type="spellEnd"/>
      <w:r w:rsidR="005B7717">
        <w:t xml:space="preserve"> specifications support</w:t>
      </w:r>
      <w:r>
        <w:t>ing</w:t>
      </w:r>
      <w:r w:rsidR="005B7717">
        <w:t xml:space="preserve"> fully flexible transmission bandwidth with a granularity of one resource block while </w:t>
      </w:r>
      <w:proofErr w:type="spellStart"/>
      <w:r w:rsidR="005B7717">
        <w:t>RAN4</w:t>
      </w:r>
      <w:proofErr w:type="spellEnd"/>
      <w:r w:rsidR="005B7717">
        <w:t xml:space="preserve"> specifications in the end limit LTE to a small set of bandwidths.</w:t>
      </w:r>
    </w:p>
    <w:p w14:paraId="67EF4390" w14:textId="77777777" w:rsidR="000C052A" w:rsidRDefault="000C052A" w:rsidP="000C052A">
      <w:pPr>
        <w:pStyle w:val="Heading1"/>
        <w:tabs>
          <w:tab w:val="clear" w:pos="3544"/>
          <w:tab w:val="num" w:pos="284"/>
        </w:tabs>
        <w:ind w:hanging="3544"/>
      </w:pPr>
      <w:r>
        <w:t>Summary</w:t>
      </w:r>
    </w:p>
    <w:p w14:paraId="6E835C01" w14:textId="66550D62" w:rsidR="007D0A41" w:rsidRDefault="005B7717" w:rsidP="007D0A41">
      <w:pPr>
        <w:pStyle w:val="BodyText"/>
      </w:pPr>
      <w:r>
        <w:t xml:space="preserve"> </w:t>
      </w:r>
    </w:p>
    <w:p w14:paraId="732C01A7" w14:textId="431211E5" w:rsidR="000C052A" w:rsidRPr="000C052A" w:rsidRDefault="000C052A" w:rsidP="000C052A">
      <w:pPr>
        <w:pStyle w:val="BodyText"/>
        <w:numPr>
          <w:ilvl w:val="0"/>
          <w:numId w:val="35"/>
        </w:numPr>
      </w:pPr>
      <w:r w:rsidRPr="000C052A">
        <w:t>Specifying a maximum number of subcarriers per component carrier from</w:t>
      </w:r>
      <w:r>
        <w:t xml:space="preserve"> a </w:t>
      </w:r>
      <w:proofErr w:type="spellStart"/>
      <w:r>
        <w:t>RAN1</w:t>
      </w:r>
      <w:proofErr w:type="spellEnd"/>
      <w:r>
        <w:t xml:space="preserve"> perspective should not </w:t>
      </w:r>
      <w:r w:rsidRPr="000C052A">
        <w:t xml:space="preserve">prevent </w:t>
      </w:r>
      <w:proofErr w:type="spellStart"/>
      <w:r w:rsidRPr="000C052A">
        <w:t>UEs</w:t>
      </w:r>
      <w:proofErr w:type="spellEnd"/>
      <w:r w:rsidRPr="000C052A">
        <w:t xml:space="preserve"> for only supporting a smaller number of sub-carriers corresponding to a smaller component carrier bandwidth.</w:t>
      </w:r>
    </w:p>
    <w:p w14:paraId="7A484D63" w14:textId="67A03B4C" w:rsidR="000C052A" w:rsidRPr="000C052A" w:rsidRDefault="000C052A" w:rsidP="000C052A">
      <w:pPr>
        <w:pStyle w:val="BodyText"/>
        <w:numPr>
          <w:ilvl w:val="0"/>
          <w:numId w:val="35"/>
        </w:numPr>
      </w:pPr>
      <w:r w:rsidRPr="000C052A">
        <w:t xml:space="preserve">From a </w:t>
      </w:r>
      <w:proofErr w:type="spellStart"/>
      <w:r w:rsidRPr="000C052A">
        <w:t>RAN1</w:t>
      </w:r>
      <w:proofErr w:type="spellEnd"/>
      <w:r w:rsidRPr="000C052A">
        <w:t xml:space="preserve"> perspective the maximum number of subcarriers per component carrier should be 3300 independent of numerology. This is independent of </w:t>
      </w:r>
      <w:proofErr w:type="gramStart"/>
      <w:r w:rsidRPr="000C052A">
        <w:t>whether or not</w:t>
      </w:r>
      <w:proofErr w:type="gramEnd"/>
      <w:r w:rsidRPr="000C052A">
        <w:t xml:space="preserve"> mixed numerology is used on the carrier. </w:t>
      </w:r>
    </w:p>
    <w:p w14:paraId="37D1585C" w14:textId="2886B727" w:rsidR="000757AA" w:rsidRPr="000C052A" w:rsidRDefault="000C052A" w:rsidP="000C052A">
      <w:pPr>
        <w:pStyle w:val="BodyText"/>
        <w:numPr>
          <w:ilvl w:val="0"/>
          <w:numId w:val="35"/>
        </w:numPr>
      </w:pPr>
      <w:proofErr w:type="spellStart"/>
      <w:r w:rsidRPr="000C052A">
        <w:t>RAN1</w:t>
      </w:r>
      <w:proofErr w:type="spellEnd"/>
      <w:r w:rsidRPr="000C052A">
        <w:t xml:space="preserve"> specification should not restrict different combinations of number of subcarriers per component carrier an</w:t>
      </w:r>
      <w:bookmarkStart w:id="3" w:name="_GoBack"/>
      <w:bookmarkEnd w:id="3"/>
      <w:r w:rsidRPr="000C052A">
        <w:t>d number of component carriers to achieve the same overall transmission bandwidth.</w:t>
      </w:r>
    </w:p>
    <w:sectPr w:rsidR="000757AA" w:rsidRPr="000C052A">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6E094A" w14:textId="77777777" w:rsidR="009A419A" w:rsidRDefault="009A419A">
      <w:r>
        <w:separator/>
      </w:r>
    </w:p>
  </w:endnote>
  <w:endnote w:type="continuationSeparator" w:id="0">
    <w:p w14:paraId="3068E6B9" w14:textId="77777777" w:rsidR="009A419A" w:rsidRDefault="009A4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449D35" w14:textId="77777777" w:rsidR="009A419A" w:rsidRDefault="009A419A">
      <w:r>
        <w:separator/>
      </w:r>
    </w:p>
  </w:footnote>
  <w:footnote w:type="continuationSeparator" w:id="0">
    <w:p w14:paraId="6D2DCE9B" w14:textId="77777777" w:rsidR="009A419A" w:rsidRDefault="009A41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F0796" w14:textId="77777777" w:rsidR="004D4F57" w:rsidRDefault="009A419A" w:rsidP="00A61E6C">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63712"/>
    <w:multiLevelType w:val="hybridMultilevel"/>
    <w:tmpl w:val="D6F40CC2"/>
    <w:lvl w:ilvl="0" w:tplc="90DA7528">
      <w:start w:val="54"/>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3197606"/>
    <w:multiLevelType w:val="hybridMultilevel"/>
    <w:tmpl w:val="1C58C826"/>
    <w:lvl w:ilvl="0" w:tplc="C186B48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93FF7"/>
    <w:multiLevelType w:val="hybridMultilevel"/>
    <w:tmpl w:val="466C1A78"/>
    <w:lvl w:ilvl="0" w:tplc="3076AB30">
      <w:numFmt w:val="bullet"/>
      <w:lvlText w:val="-"/>
      <w:lvlJc w:val="left"/>
      <w:pPr>
        <w:ind w:left="720" w:hanging="360"/>
      </w:pPr>
      <w:rPr>
        <w:rFonts w:ascii="Times New Roman" w:eastAsia="MS Mincho" w:hAnsi="Times New Roman" w:cs="Times New Roman" w:hint="default"/>
      </w:rPr>
    </w:lvl>
    <w:lvl w:ilvl="1" w:tplc="3076AB30">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4C227A"/>
    <w:multiLevelType w:val="hybridMultilevel"/>
    <w:tmpl w:val="96BE84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425437"/>
    <w:multiLevelType w:val="hybridMultilevel"/>
    <w:tmpl w:val="0874A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1B25DB7"/>
    <w:multiLevelType w:val="hybridMultilevel"/>
    <w:tmpl w:val="CC824680"/>
    <w:lvl w:ilvl="0" w:tplc="3076AB3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B67041"/>
    <w:multiLevelType w:val="hybridMultilevel"/>
    <w:tmpl w:val="F3885BD8"/>
    <w:lvl w:ilvl="0" w:tplc="8C5AD31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6A73E9"/>
    <w:multiLevelType w:val="hybridMultilevel"/>
    <w:tmpl w:val="F63E3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AB393C"/>
    <w:multiLevelType w:val="hybridMultilevel"/>
    <w:tmpl w:val="B48A9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95B4EFC"/>
    <w:multiLevelType w:val="hybridMultilevel"/>
    <w:tmpl w:val="8130A08E"/>
    <w:lvl w:ilvl="0" w:tplc="D5BC4536">
      <w:start w:val="400"/>
      <w:numFmt w:val="bullet"/>
      <w:lvlText w:val="-"/>
      <w:lvlJc w:val="left"/>
      <w:pPr>
        <w:ind w:left="720" w:hanging="360"/>
      </w:pPr>
      <w:rPr>
        <w:rFonts w:ascii="Times New Roman" w:eastAsia="MS Mincho"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640F55"/>
    <w:multiLevelType w:val="hybridMultilevel"/>
    <w:tmpl w:val="D0CC9B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2C393A67"/>
    <w:multiLevelType w:val="hybridMultilevel"/>
    <w:tmpl w:val="6B2014D8"/>
    <w:lvl w:ilvl="0" w:tplc="90DA7528">
      <w:start w:val="54"/>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85F6313"/>
    <w:multiLevelType w:val="hybridMultilevel"/>
    <w:tmpl w:val="3EC69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8A13C3F"/>
    <w:multiLevelType w:val="hybridMultilevel"/>
    <w:tmpl w:val="D97C22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E6320C8"/>
    <w:multiLevelType w:val="hybridMultilevel"/>
    <w:tmpl w:val="6EE4AC6C"/>
    <w:lvl w:ilvl="0" w:tplc="30BC1B9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D34C21"/>
    <w:multiLevelType w:val="hybridMultilevel"/>
    <w:tmpl w:val="9E189E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5C24B14"/>
    <w:multiLevelType w:val="hybridMultilevel"/>
    <w:tmpl w:val="4168AE6E"/>
    <w:lvl w:ilvl="0" w:tplc="E2903F06">
      <w:start w:val="40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A14808"/>
    <w:multiLevelType w:val="hybridMultilevel"/>
    <w:tmpl w:val="C972B12A"/>
    <w:lvl w:ilvl="0" w:tplc="60DAFF1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6D7C43"/>
    <w:multiLevelType w:val="hybridMultilevel"/>
    <w:tmpl w:val="2C44AF6E"/>
    <w:lvl w:ilvl="0" w:tplc="EE468E1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FC6904"/>
    <w:multiLevelType w:val="hybridMultilevel"/>
    <w:tmpl w:val="0750D498"/>
    <w:lvl w:ilvl="0" w:tplc="2326DA8E">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C06632B"/>
    <w:multiLevelType w:val="hybridMultilevel"/>
    <w:tmpl w:val="5DCCE1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17E2F61"/>
    <w:multiLevelType w:val="hybridMultilevel"/>
    <w:tmpl w:val="D3AADC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3AD78C4"/>
    <w:multiLevelType w:val="hybridMultilevel"/>
    <w:tmpl w:val="40C8AE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3B414CE"/>
    <w:multiLevelType w:val="hybridMultilevel"/>
    <w:tmpl w:val="DBF2546E"/>
    <w:lvl w:ilvl="0" w:tplc="B8EA9384">
      <w:start w:val="40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C8213C"/>
    <w:multiLevelType w:val="hybridMultilevel"/>
    <w:tmpl w:val="62E0B7B0"/>
    <w:lvl w:ilvl="0" w:tplc="6B6CA22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2"/>
  </w:num>
  <w:num w:numId="2">
    <w:abstractNumId w:val="14"/>
  </w:num>
  <w:num w:numId="3">
    <w:abstractNumId w:val="7"/>
  </w:num>
  <w:num w:numId="4">
    <w:abstractNumId w:val="17"/>
  </w:num>
  <w:num w:numId="5">
    <w:abstractNumId w:val="10"/>
  </w:num>
  <w:num w:numId="6">
    <w:abstractNumId w:val="5"/>
  </w:num>
  <w:num w:numId="7">
    <w:abstractNumId w:val="27"/>
  </w:num>
  <w:num w:numId="8">
    <w:abstractNumId w:val="32"/>
  </w:num>
  <w:num w:numId="9">
    <w:abstractNumId w:val="32"/>
  </w:num>
  <w:num w:numId="10">
    <w:abstractNumId w:val="29"/>
  </w:num>
  <w:num w:numId="11">
    <w:abstractNumId w:val="32"/>
  </w:num>
  <w:num w:numId="12">
    <w:abstractNumId w:val="26"/>
  </w:num>
  <w:num w:numId="13">
    <w:abstractNumId w:val="4"/>
  </w:num>
  <w:num w:numId="14">
    <w:abstractNumId w:val="6"/>
  </w:num>
  <w:num w:numId="15">
    <w:abstractNumId w:val="18"/>
  </w:num>
  <w:num w:numId="16">
    <w:abstractNumId w:val="3"/>
  </w:num>
  <w:num w:numId="17">
    <w:abstractNumId w:val="13"/>
  </w:num>
  <w:num w:numId="18">
    <w:abstractNumId w:val="21"/>
  </w:num>
  <w:num w:numId="19">
    <w:abstractNumId w:val="8"/>
  </w:num>
  <w:num w:numId="20">
    <w:abstractNumId w:val="11"/>
  </w:num>
  <w:num w:numId="21">
    <w:abstractNumId w:val="2"/>
  </w:num>
  <w:num w:numId="22">
    <w:abstractNumId w:val="15"/>
  </w:num>
  <w:num w:numId="23">
    <w:abstractNumId w:val="0"/>
  </w:num>
  <w:num w:numId="24">
    <w:abstractNumId w:val="31"/>
  </w:num>
  <w:num w:numId="25">
    <w:abstractNumId w:val="25"/>
  </w:num>
  <w:num w:numId="26">
    <w:abstractNumId w:val="16"/>
  </w:num>
  <w:num w:numId="27">
    <w:abstractNumId w:val="19"/>
  </w:num>
  <w:num w:numId="28">
    <w:abstractNumId w:val="23"/>
  </w:num>
  <w:num w:numId="29">
    <w:abstractNumId w:val="1"/>
  </w:num>
  <w:num w:numId="30">
    <w:abstractNumId w:val="9"/>
  </w:num>
  <w:num w:numId="31">
    <w:abstractNumId w:val="24"/>
  </w:num>
  <w:num w:numId="32">
    <w:abstractNumId w:val="20"/>
  </w:num>
  <w:num w:numId="33">
    <w:abstractNumId w:val="22"/>
  </w:num>
  <w:num w:numId="34">
    <w:abstractNumId w:val="30"/>
  </w:num>
  <w:num w:numId="35">
    <w:abstractNumId w:val="12"/>
  </w:num>
  <w:num w:numId="3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1304"/>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217F8"/>
    <w:rsid w:val="00022647"/>
    <w:rsid w:val="00037C51"/>
    <w:rsid w:val="0004251E"/>
    <w:rsid w:val="00043195"/>
    <w:rsid w:val="000613D3"/>
    <w:rsid w:val="000757AA"/>
    <w:rsid w:val="00082643"/>
    <w:rsid w:val="000851CC"/>
    <w:rsid w:val="000A258F"/>
    <w:rsid w:val="000A4880"/>
    <w:rsid w:val="000C052A"/>
    <w:rsid w:val="000D2A43"/>
    <w:rsid w:val="000E3C85"/>
    <w:rsid w:val="001018DF"/>
    <w:rsid w:val="0010795C"/>
    <w:rsid w:val="00112E18"/>
    <w:rsid w:val="00114B6A"/>
    <w:rsid w:val="00121305"/>
    <w:rsid w:val="00141448"/>
    <w:rsid w:val="001475DE"/>
    <w:rsid w:val="0015130F"/>
    <w:rsid w:val="00164583"/>
    <w:rsid w:val="00175D32"/>
    <w:rsid w:val="00185D0A"/>
    <w:rsid w:val="00191E60"/>
    <w:rsid w:val="0019710B"/>
    <w:rsid w:val="001B0755"/>
    <w:rsid w:val="001B4110"/>
    <w:rsid w:val="001B705B"/>
    <w:rsid w:val="001C2F6C"/>
    <w:rsid w:val="001C5CE9"/>
    <w:rsid w:val="001D1BF6"/>
    <w:rsid w:val="002043AF"/>
    <w:rsid w:val="0021013F"/>
    <w:rsid w:val="00214784"/>
    <w:rsid w:val="00217942"/>
    <w:rsid w:val="002420F4"/>
    <w:rsid w:val="00260F3F"/>
    <w:rsid w:val="00290099"/>
    <w:rsid w:val="002A3774"/>
    <w:rsid w:val="002A6EF6"/>
    <w:rsid w:val="002B70E2"/>
    <w:rsid w:val="002D0AB6"/>
    <w:rsid w:val="002E1047"/>
    <w:rsid w:val="002E6A70"/>
    <w:rsid w:val="002F2FBB"/>
    <w:rsid w:val="002F38B3"/>
    <w:rsid w:val="00304706"/>
    <w:rsid w:val="00310B18"/>
    <w:rsid w:val="00317E78"/>
    <w:rsid w:val="00331B3F"/>
    <w:rsid w:val="00343A18"/>
    <w:rsid w:val="00350180"/>
    <w:rsid w:val="00354BB2"/>
    <w:rsid w:val="00356179"/>
    <w:rsid w:val="00361CA8"/>
    <w:rsid w:val="00370039"/>
    <w:rsid w:val="0037486E"/>
    <w:rsid w:val="00377C86"/>
    <w:rsid w:val="0038621F"/>
    <w:rsid w:val="003875A3"/>
    <w:rsid w:val="003A3E47"/>
    <w:rsid w:val="003A73EF"/>
    <w:rsid w:val="003B31CA"/>
    <w:rsid w:val="003C6C36"/>
    <w:rsid w:val="003E6703"/>
    <w:rsid w:val="00402486"/>
    <w:rsid w:val="004067C0"/>
    <w:rsid w:val="00407820"/>
    <w:rsid w:val="004141B9"/>
    <w:rsid w:val="00422F7B"/>
    <w:rsid w:val="004430DF"/>
    <w:rsid w:val="00445E3C"/>
    <w:rsid w:val="00461897"/>
    <w:rsid w:val="00474FA7"/>
    <w:rsid w:val="004837C7"/>
    <w:rsid w:val="004A3F71"/>
    <w:rsid w:val="004B57FD"/>
    <w:rsid w:val="004B638A"/>
    <w:rsid w:val="004C321E"/>
    <w:rsid w:val="004C7205"/>
    <w:rsid w:val="004D0694"/>
    <w:rsid w:val="004E70DB"/>
    <w:rsid w:val="004F3110"/>
    <w:rsid w:val="00525831"/>
    <w:rsid w:val="00526719"/>
    <w:rsid w:val="00537B4C"/>
    <w:rsid w:val="0054164C"/>
    <w:rsid w:val="00541E43"/>
    <w:rsid w:val="0055264E"/>
    <w:rsid w:val="0056282E"/>
    <w:rsid w:val="00563652"/>
    <w:rsid w:val="00570BCE"/>
    <w:rsid w:val="00587AD2"/>
    <w:rsid w:val="00590538"/>
    <w:rsid w:val="00596C3C"/>
    <w:rsid w:val="005B5A6B"/>
    <w:rsid w:val="005B7717"/>
    <w:rsid w:val="005C439D"/>
    <w:rsid w:val="005C719E"/>
    <w:rsid w:val="005D093E"/>
    <w:rsid w:val="005D0CA4"/>
    <w:rsid w:val="005D7107"/>
    <w:rsid w:val="005E49BD"/>
    <w:rsid w:val="005F1EBA"/>
    <w:rsid w:val="0061336B"/>
    <w:rsid w:val="0062673F"/>
    <w:rsid w:val="00655E5F"/>
    <w:rsid w:val="00656ECC"/>
    <w:rsid w:val="006625AC"/>
    <w:rsid w:val="006655B1"/>
    <w:rsid w:val="00665E2A"/>
    <w:rsid w:val="0067157B"/>
    <w:rsid w:val="006767BB"/>
    <w:rsid w:val="00686E0A"/>
    <w:rsid w:val="00694DD5"/>
    <w:rsid w:val="006A08D7"/>
    <w:rsid w:val="006A286A"/>
    <w:rsid w:val="006B271B"/>
    <w:rsid w:val="006E6062"/>
    <w:rsid w:val="006F2CEF"/>
    <w:rsid w:val="007510A3"/>
    <w:rsid w:val="0075384C"/>
    <w:rsid w:val="007569CA"/>
    <w:rsid w:val="007659B5"/>
    <w:rsid w:val="007915B5"/>
    <w:rsid w:val="007936DA"/>
    <w:rsid w:val="007A01C0"/>
    <w:rsid w:val="007C3BF4"/>
    <w:rsid w:val="007D0A41"/>
    <w:rsid w:val="007D3353"/>
    <w:rsid w:val="008075E1"/>
    <w:rsid w:val="00815566"/>
    <w:rsid w:val="00834DE7"/>
    <w:rsid w:val="00853D21"/>
    <w:rsid w:val="00854E84"/>
    <w:rsid w:val="00855236"/>
    <w:rsid w:val="008560E2"/>
    <w:rsid w:val="0087581E"/>
    <w:rsid w:val="008843AA"/>
    <w:rsid w:val="008920DF"/>
    <w:rsid w:val="008A0B64"/>
    <w:rsid w:val="008B23D4"/>
    <w:rsid w:val="008E31D2"/>
    <w:rsid w:val="008E46BA"/>
    <w:rsid w:val="008F3547"/>
    <w:rsid w:val="008F77A7"/>
    <w:rsid w:val="0090262B"/>
    <w:rsid w:val="00906583"/>
    <w:rsid w:val="0091288D"/>
    <w:rsid w:val="00920B45"/>
    <w:rsid w:val="009576EC"/>
    <w:rsid w:val="0097401A"/>
    <w:rsid w:val="00987219"/>
    <w:rsid w:val="00987DD5"/>
    <w:rsid w:val="009A419A"/>
    <w:rsid w:val="009A4A26"/>
    <w:rsid w:val="009A6BB8"/>
    <w:rsid w:val="009B2E48"/>
    <w:rsid w:val="009C60EA"/>
    <w:rsid w:val="009E70EF"/>
    <w:rsid w:val="009F4079"/>
    <w:rsid w:val="00A015E4"/>
    <w:rsid w:val="00A0740C"/>
    <w:rsid w:val="00A12843"/>
    <w:rsid w:val="00A16348"/>
    <w:rsid w:val="00A16AB2"/>
    <w:rsid w:val="00A3059E"/>
    <w:rsid w:val="00A37001"/>
    <w:rsid w:val="00A41E84"/>
    <w:rsid w:val="00A47015"/>
    <w:rsid w:val="00A757B8"/>
    <w:rsid w:val="00A81AA1"/>
    <w:rsid w:val="00A85E54"/>
    <w:rsid w:val="00AA0A42"/>
    <w:rsid w:val="00AA13EF"/>
    <w:rsid w:val="00AA7AE5"/>
    <w:rsid w:val="00AC1363"/>
    <w:rsid w:val="00AC2A5F"/>
    <w:rsid w:val="00AC6745"/>
    <w:rsid w:val="00AD3021"/>
    <w:rsid w:val="00AD6D43"/>
    <w:rsid w:val="00AE3947"/>
    <w:rsid w:val="00B00FDB"/>
    <w:rsid w:val="00B050E8"/>
    <w:rsid w:val="00B32D01"/>
    <w:rsid w:val="00B368D9"/>
    <w:rsid w:val="00B52C5F"/>
    <w:rsid w:val="00B56492"/>
    <w:rsid w:val="00B74903"/>
    <w:rsid w:val="00BA2CDD"/>
    <w:rsid w:val="00BA3D9B"/>
    <w:rsid w:val="00BA76BC"/>
    <w:rsid w:val="00BB0BC2"/>
    <w:rsid w:val="00BB414C"/>
    <w:rsid w:val="00BF7E13"/>
    <w:rsid w:val="00C03087"/>
    <w:rsid w:val="00C102AD"/>
    <w:rsid w:val="00C1380C"/>
    <w:rsid w:val="00C1560A"/>
    <w:rsid w:val="00C166B7"/>
    <w:rsid w:val="00C326A6"/>
    <w:rsid w:val="00C3476C"/>
    <w:rsid w:val="00C50B3C"/>
    <w:rsid w:val="00C55346"/>
    <w:rsid w:val="00C61496"/>
    <w:rsid w:val="00C83C8A"/>
    <w:rsid w:val="00C84699"/>
    <w:rsid w:val="00C924AF"/>
    <w:rsid w:val="00C93774"/>
    <w:rsid w:val="00CA1143"/>
    <w:rsid w:val="00CD4414"/>
    <w:rsid w:val="00CE02E7"/>
    <w:rsid w:val="00CE28B2"/>
    <w:rsid w:val="00CE3B7C"/>
    <w:rsid w:val="00CF2225"/>
    <w:rsid w:val="00CF442A"/>
    <w:rsid w:val="00CF67BE"/>
    <w:rsid w:val="00D02349"/>
    <w:rsid w:val="00D03119"/>
    <w:rsid w:val="00D04257"/>
    <w:rsid w:val="00D11162"/>
    <w:rsid w:val="00D167C9"/>
    <w:rsid w:val="00D175B9"/>
    <w:rsid w:val="00D350E3"/>
    <w:rsid w:val="00D4239B"/>
    <w:rsid w:val="00D516DD"/>
    <w:rsid w:val="00D701A0"/>
    <w:rsid w:val="00D70ABE"/>
    <w:rsid w:val="00DA110D"/>
    <w:rsid w:val="00DB17FC"/>
    <w:rsid w:val="00DB3BC8"/>
    <w:rsid w:val="00DC085D"/>
    <w:rsid w:val="00DC4F90"/>
    <w:rsid w:val="00DD2D9D"/>
    <w:rsid w:val="00DD3E85"/>
    <w:rsid w:val="00DD4245"/>
    <w:rsid w:val="00DE3421"/>
    <w:rsid w:val="00DF334E"/>
    <w:rsid w:val="00E0407B"/>
    <w:rsid w:val="00E10FDC"/>
    <w:rsid w:val="00E14F6B"/>
    <w:rsid w:val="00E220C0"/>
    <w:rsid w:val="00E25EE7"/>
    <w:rsid w:val="00E3598F"/>
    <w:rsid w:val="00E57CED"/>
    <w:rsid w:val="00E61181"/>
    <w:rsid w:val="00E626D3"/>
    <w:rsid w:val="00E63D88"/>
    <w:rsid w:val="00E6536F"/>
    <w:rsid w:val="00E83054"/>
    <w:rsid w:val="00EA148A"/>
    <w:rsid w:val="00EA172F"/>
    <w:rsid w:val="00EA1984"/>
    <w:rsid w:val="00EC53CE"/>
    <w:rsid w:val="00ED3DEE"/>
    <w:rsid w:val="00EF64E2"/>
    <w:rsid w:val="00F21365"/>
    <w:rsid w:val="00F26E7B"/>
    <w:rsid w:val="00F37D49"/>
    <w:rsid w:val="00F55090"/>
    <w:rsid w:val="00F62DBB"/>
    <w:rsid w:val="00F65B10"/>
    <w:rsid w:val="00F75F68"/>
    <w:rsid w:val="00F86630"/>
    <w:rsid w:val="00FA25DB"/>
    <w:rsid w:val="00FA4C4C"/>
    <w:rsid w:val="00FB04C4"/>
    <w:rsid w:val="00FD6BED"/>
    <w:rsid w:val="00FE2171"/>
    <w:rsid w:val="00FE5799"/>
    <w:rsid w:val="00FF6702"/>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5C5196"/>
  <w15:docId w15:val="{E41673D2-56E6-4554-89D6-0CC42AC93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DB3BC8"/>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semiHidden/>
    <w:rsid w:val="0061336B"/>
    <w:rPr>
      <w:sz w:val="16"/>
      <w:szCs w:val="16"/>
    </w:rPr>
  </w:style>
  <w:style w:type="paragraph" w:styleId="CommentText">
    <w:name w:val="annotation text"/>
    <w:basedOn w:val="Normal"/>
    <w:link w:val="CommentTextChar"/>
    <w:semiHidden/>
    <w:rsid w:val="0061336B"/>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CommentTextChar">
    <w:name w:val="Comment Text Char"/>
    <w:basedOn w:val="DefaultParagraphFont"/>
    <w:link w:val="CommentText"/>
    <w:semiHidden/>
    <w:rsid w:val="0061336B"/>
    <w:rPr>
      <w:rFonts w:ascii="Arial" w:eastAsiaTheme="minorEastAsia"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basedOn w:val="DefaultParagraphFont"/>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basedOn w:val="CommentText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basedOn w:val="Normal"/>
    <w:next w:val="Normal"/>
    <w:uiPriority w:val="35"/>
    <w:unhideWhenUsed/>
    <w:qFormat/>
    <w:rsid w:val="00037C51"/>
    <w:pPr>
      <w:spacing w:after="200"/>
    </w:pPr>
    <w:rPr>
      <w:b/>
      <w:bCs/>
      <w:sz w:val="18"/>
      <w:szCs w:val="18"/>
    </w:rPr>
  </w:style>
  <w:style w:type="paragraph" w:styleId="ListParagraph">
    <w:name w:val="List Paragraph"/>
    <w:basedOn w:val="Normal"/>
    <w:link w:val="ListParagraphChar"/>
    <w:uiPriority w:val="34"/>
    <w:qFormat/>
    <w:rsid w:val="00BA76BC"/>
    <w:pPr>
      <w:ind w:left="720"/>
      <w:contextualSpacing/>
    </w:pPr>
  </w:style>
  <w:style w:type="character" w:styleId="PlaceholderText">
    <w:name w:val="Placeholder Text"/>
    <w:basedOn w:val="DefaultParagraphFont"/>
    <w:uiPriority w:val="99"/>
    <w:semiHidden/>
    <w:rsid w:val="0056282E"/>
    <w:rPr>
      <w:color w:val="808080"/>
    </w:rPr>
  </w:style>
  <w:style w:type="paragraph" w:customStyle="1" w:styleId="Reference">
    <w:name w:val="Reference"/>
    <w:basedOn w:val="Normal"/>
    <w:link w:val="ReferenceChar"/>
    <w:rsid w:val="008920DF"/>
    <w:pPr>
      <w:numPr>
        <w:numId w:val="18"/>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8920DF"/>
    <w:rPr>
      <w:rFonts w:ascii="Arial" w:eastAsia="Times New Roman" w:hAnsi="Arial" w:cs="Times New Roman"/>
      <w:sz w:val="20"/>
      <w:szCs w:val="20"/>
      <w:lang w:val="en-GB" w:eastAsia="zh-CN"/>
    </w:rPr>
  </w:style>
  <w:style w:type="paragraph" w:styleId="EndnoteText">
    <w:name w:val="endnote text"/>
    <w:basedOn w:val="Normal"/>
    <w:link w:val="EndnoteTextChar"/>
    <w:uiPriority w:val="99"/>
    <w:semiHidden/>
    <w:unhideWhenUsed/>
    <w:rsid w:val="00402486"/>
    <w:rPr>
      <w:rFonts w:asciiTheme="minorHAnsi" w:eastAsiaTheme="minorHAnsi" w:hAnsiTheme="minorHAnsi" w:cstheme="minorBidi"/>
      <w:szCs w:val="20"/>
    </w:rPr>
  </w:style>
  <w:style w:type="character" w:customStyle="1" w:styleId="EndnoteTextChar">
    <w:name w:val="Endnote Text Char"/>
    <w:basedOn w:val="DefaultParagraphFont"/>
    <w:link w:val="EndnoteText"/>
    <w:uiPriority w:val="99"/>
    <w:semiHidden/>
    <w:rsid w:val="00402486"/>
    <w:rPr>
      <w:sz w:val="20"/>
      <w:szCs w:val="20"/>
      <w:lang w:val="en-US"/>
    </w:rPr>
  </w:style>
  <w:style w:type="character" w:styleId="EndnoteReference">
    <w:name w:val="endnote reference"/>
    <w:basedOn w:val="DefaultParagraphFont"/>
    <w:uiPriority w:val="99"/>
    <w:semiHidden/>
    <w:unhideWhenUsed/>
    <w:rsid w:val="00402486"/>
    <w:rPr>
      <w:vertAlign w:val="superscript"/>
    </w:rPr>
  </w:style>
  <w:style w:type="table" w:styleId="TableGrid">
    <w:name w:val="Table Grid"/>
    <w:basedOn w:val="TableNormal"/>
    <w:uiPriority w:val="59"/>
    <w:rsid w:val="004618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2F38B3"/>
    <w:rPr>
      <w:rFonts w:ascii="Times New Roman" w:eastAsia="Times New Roman" w:hAnsi="Times New Roman" w:cs="Times New Roman"/>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CFFF8C-2321-4C1B-94D9-CBD569E55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812</Words>
  <Characters>4630</Characters>
  <Application>Microsoft Office Word</Application>
  <DocSecurity>0</DocSecurity>
  <Lines>38</Lines>
  <Paragraphs>10</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Maximum number of sub-carriers and maximum channel BW</vt:lpstr>
      <vt:lpstr>Realizing a certain overall channel bandwidth.</vt:lpstr>
      <vt:lpstr>Summary</vt:lpstr>
    </vt:vector>
  </TitlesOfParts>
  <Company>Ericsson</Company>
  <LinksUpToDate>false</LinksUpToDate>
  <CharactersWithSpaces>5432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Stefan Parkvall</dc:creator>
  <cp:lastModifiedBy>Erik Dahlman</cp:lastModifiedBy>
  <cp:revision>4</cp:revision>
  <cp:lastPrinted>2017-02-06T17:02:00Z</cp:lastPrinted>
  <dcterms:created xsi:type="dcterms:W3CDTF">2017-03-24T19:57:00Z</dcterms:created>
  <dcterms:modified xsi:type="dcterms:W3CDTF">2017-03-24T20:05:00Z</dcterms:modified>
</cp:coreProperties>
</file>