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241F8" w14:textId="4A28855D" w:rsidR="00A85E54" w:rsidRPr="00CD6F16" w:rsidRDefault="00A85E54" w:rsidP="00A85E54">
      <w:pPr>
        <w:pStyle w:val="Header"/>
        <w:tabs>
          <w:tab w:val="clear" w:pos="4536"/>
        </w:tabs>
        <w:rPr>
          <w:i/>
          <w:lang w:val="de-DE"/>
        </w:rPr>
      </w:pPr>
      <w:r w:rsidRPr="00CD6F16">
        <w:rPr>
          <w:lang w:val="de-DE"/>
        </w:rPr>
        <w:t xml:space="preserve">TSG-RAN </w:t>
      </w:r>
      <w:proofErr w:type="spellStart"/>
      <w:r w:rsidRPr="00CD6F16">
        <w:rPr>
          <w:lang w:val="de-DE"/>
        </w:rPr>
        <w:t>WG1</w:t>
      </w:r>
      <w:r w:rsidR="006556BF" w:rsidRPr="00CD6F16">
        <w:rPr>
          <w:lang w:val="de-DE"/>
        </w:rPr>
        <w:t>#88bis</w:t>
      </w:r>
      <w:proofErr w:type="spellEnd"/>
      <w:r w:rsidRPr="00CD6F16">
        <w:rPr>
          <w:lang w:val="de-DE"/>
        </w:rPr>
        <w:tab/>
      </w:r>
      <w:proofErr w:type="spellStart"/>
      <w:r w:rsidR="00677999" w:rsidRPr="00677999">
        <w:rPr>
          <w:lang w:val="de-DE"/>
        </w:rPr>
        <w:t>R1</w:t>
      </w:r>
      <w:proofErr w:type="spellEnd"/>
      <w:r w:rsidR="00677999" w:rsidRPr="00677999">
        <w:rPr>
          <w:lang w:val="de-DE"/>
        </w:rPr>
        <w:t>-1704815</w:t>
      </w:r>
    </w:p>
    <w:p w14:paraId="4339B444" w14:textId="77777777" w:rsidR="00A85E54" w:rsidRPr="000833FA" w:rsidRDefault="00543494" w:rsidP="00A85E54">
      <w:pPr>
        <w:pStyle w:val="Header"/>
        <w:rPr>
          <w:color w:val="000000"/>
        </w:rPr>
      </w:pPr>
      <w:r>
        <w:t>Spokane, WA</w:t>
      </w:r>
      <w:r w:rsidR="00D11960">
        <w:t>, USA</w:t>
      </w:r>
      <w:r w:rsidR="0056282E">
        <w:t xml:space="preserve">, </w:t>
      </w:r>
      <w:r w:rsidR="006556BF">
        <w:t>April 3 – 7, 2017</w:t>
      </w:r>
    </w:p>
    <w:p w14:paraId="17C56122" w14:textId="77777777" w:rsidR="00A85E54" w:rsidRPr="000833FA" w:rsidRDefault="00A85E54" w:rsidP="00A85E54">
      <w:pPr>
        <w:pStyle w:val="Header"/>
      </w:pPr>
    </w:p>
    <w:p w14:paraId="0A2C1352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7EDEC95" w14:textId="77777777"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6556BF">
        <w:t xml:space="preserve">On </w:t>
      </w:r>
      <w:r w:rsidR="00AE0B6D">
        <w:t>uplink half-tone shift and LTE/NR co-existence</w:t>
      </w:r>
    </w:p>
    <w:p w14:paraId="5D99E805" w14:textId="1DFD6A01"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677999">
        <w:t>8.1.8</w:t>
      </w:r>
    </w:p>
    <w:p w14:paraId="7466E420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2A4A9770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0AA06840" w14:textId="77777777"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14:paraId="46CC1A71" w14:textId="36481371" w:rsidR="00AE0B6D" w:rsidRDefault="00003747" w:rsidP="00AE0B6D">
      <w:pPr>
        <w:pStyle w:val="BodyText"/>
      </w:pPr>
      <w:r>
        <w:t>In the LTE uplink, there is a half-tone shift of sub-carriers. Current agreement is that such a half-tone</w:t>
      </w:r>
      <w:r w:rsidR="008335E5">
        <w:t xml:space="preserve"> </w:t>
      </w:r>
      <w:r>
        <w:t>shift will not be used in the NR uplink. In the case of LTE and N</w:t>
      </w:r>
      <w:r w:rsidR="00AE0B6D">
        <w:t xml:space="preserve">R </w:t>
      </w:r>
      <w:r>
        <w:t xml:space="preserve">co-existing on the same carrier frequency, the uplink sub-carriers of the two </w:t>
      </w:r>
      <w:proofErr w:type="spellStart"/>
      <w:r>
        <w:t>RATs</w:t>
      </w:r>
      <w:proofErr w:type="spellEnd"/>
      <w:r>
        <w:t xml:space="preserve"> will therefore be dis-aligned relative to each other, leading to inter-sub-carrier interference</w:t>
      </w:r>
      <w:r w:rsidR="00AE0B6D">
        <w:t>.</w:t>
      </w:r>
    </w:p>
    <w:p w14:paraId="1F1F4DED" w14:textId="77777777" w:rsidR="00AE0B6D" w:rsidRDefault="00AE0B6D" w:rsidP="00AE0B6D">
      <w:pPr>
        <w:pStyle w:val="Heading1"/>
      </w:pPr>
      <w:r>
        <w:t>Alternative solutions</w:t>
      </w:r>
    </w:p>
    <w:p w14:paraId="0EFD2DA8" w14:textId="77777777" w:rsidR="00AE0B6D" w:rsidRDefault="00AE0B6D" w:rsidP="00AE0B6D">
      <w:pPr>
        <w:pStyle w:val="BodyText"/>
      </w:pPr>
      <w:r>
        <w:t>There are different alternatives how to handle this issue</w:t>
      </w:r>
    </w:p>
    <w:p w14:paraId="21CD2E1F" w14:textId="77777777" w:rsidR="00AE0B6D" w:rsidRPr="00897F7A" w:rsidRDefault="00AE0B6D" w:rsidP="00677999">
      <w:pPr>
        <w:pStyle w:val="Heading2"/>
      </w:pPr>
      <w:r w:rsidRPr="00897F7A">
        <w:t>Alternative #1: Do nothing</w:t>
      </w:r>
    </w:p>
    <w:p w14:paraId="576F158E" w14:textId="2338A0A0" w:rsidR="00AE0B6D" w:rsidRDefault="00AE0B6D" w:rsidP="00AE0B6D">
      <w:pPr>
        <w:pStyle w:val="BodyText"/>
      </w:pPr>
      <w:r>
        <w:t xml:space="preserve">One alternative is to keep the current agreement, i.e. </w:t>
      </w:r>
      <w:r w:rsidR="00003747">
        <w:t xml:space="preserve">there is no </w:t>
      </w:r>
      <w:r>
        <w:t>half-tone</w:t>
      </w:r>
      <w:r w:rsidR="00003747">
        <w:t xml:space="preserve"> shift in the </w:t>
      </w:r>
      <w:r>
        <w:t xml:space="preserve">NR uplink. </w:t>
      </w:r>
      <w:r w:rsidR="00003747">
        <w:t>The inter-sub-carrier i</w:t>
      </w:r>
      <w:r>
        <w:t xml:space="preserve">nterference between NR and LTE uplink transmissions on </w:t>
      </w:r>
      <w:r w:rsidR="00003747">
        <w:t xml:space="preserve">the same carrier can </w:t>
      </w:r>
      <w:r>
        <w:t>be reduced to an acceptable level be means of the joint scheduler providing suffi</w:t>
      </w:r>
      <w:r w:rsidR="00003747">
        <w:t xml:space="preserve">cient (intra-carrier) </w:t>
      </w:r>
      <w:proofErr w:type="spellStart"/>
      <w:r w:rsidR="00003747">
        <w:t>guardband</w:t>
      </w:r>
      <w:proofErr w:type="spellEnd"/>
      <w:r>
        <w:t xml:space="preserve"> between the two </w:t>
      </w:r>
      <w:proofErr w:type="spellStart"/>
      <w:r>
        <w:t>RATs</w:t>
      </w:r>
      <w:proofErr w:type="spellEnd"/>
      <w:r>
        <w:t xml:space="preserve">. Note that such scheduler-provided </w:t>
      </w:r>
      <w:proofErr w:type="spellStart"/>
      <w:r>
        <w:t>guardbands</w:t>
      </w:r>
      <w:proofErr w:type="spellEnd"/>
      <w:r>
        <w:t xml:space="preserve"> are anyway needed in case of LTE/NR co-existence with NR operating with a non-15-kHz numerology</w:t>
      </w:r>
      <w:r w:rsidR="009A0581">
        <w:t>.</w:t>
      </w:r>
    </w:p>
    <w:p w14:paraId="55C7F3CD" w14:textId="5BAF50F5" w:rsidR="00677999" w:rsidRDefault="00677999" w:rsidP="00AE0B6D">
      <w:pPr>
        <w:pStyle w:val="BodyText"/>
      </w:pPr>
      <w:r w:rsidRPr="00677999">
        <w:rPr>
          <w:b/>
        </w:rPr>
        <w:t>Observation:</w:t>
      </w:r>
      <w:r>
        <w:t xml:space="preserve"> Uplink in-carrier co-existence between LTE and NR can be supported without an NR h</w:t>
      </w:r>
      <w:r w:rsidR="009A0581">
        <w:t>alf-tone shift by means of scheduler-</w:t>
      </w:r>
      <w:r>
        <w:t>provided guard bands</w:t>
      </w:r>
      <w:r w:rsidR="009A0581">
        <w:t>.</w:t>
      </w:r>
    </w:p>
    <w:p w14:paraId="5B9ACE90" w14:textId="77777777" w:rsidR="00AE0B6D" w:rsidRDefault="00003747" w:rsidP="00677999">
      <w:pPr>
        <w:pStyle w:val="Heading2"/>
      </w:pPr>
      <w:r>
        <w:t>Alternative #2: Introduce</w:t>
      </w:r>
      <w:r w:rsidR="00AE0B6D">
        <w:t xml:space="preserve"> half-tone shift for NR uplink </w:t>
      </w:r>
    </w:p>
    <w:p w14:paraId="5CF34C51" w14:textId="77777777" w:rsidR="00003747" w:rsidRDefault="00AE0B6D" w:rsidP="00AE0B6D">
      <w:pPr>
        <w:pStyle w:val="BodyText"/>
      </w:pPr>
      <w:r>
        <w:t>The second alternative is to change the current agreement, i.e. introducing a half-tone shift also for the NR uplink.</w:t>
      </w:r>
      <w:r w:rsidR="00003747">
        <w:t xml:space="preserve"> There are different ways by which this can be done.</w:t>
      </w:r>
    </w:p>
    <w:p w14:paraId="7CC3AFBD" w14:textId="77777777" w:rsidR="00003747" w:rsidRDefault="00003747" w:rsidP="00003747">
      <w:pPr>
        <w:pStyle w:val="BodyText"/>
        <w:numPr>
          <w:ilvl w:val="0"/>
          <w:numId w:val="10"/>
        </w:numPr>
      </w:pPr>
      <w:r>
        <w:t xml:space="preserve">In general use half-tone shift for </w:t>
      </w:r>
      <w:r w:rsidR="00E316BC">
        <w:t xml:space="preserve">the </w:t>
      </w:r>
      <w:r>
        <w:t xml:space="preserve">NR uplink </w:t>
      </w:r>
    </w:p>
    <w:p w14:paraId="347158EE" w14:textId="78D6F4EE" w:rsidR="008335E5" w:rsidRDefault="00E316BC" w:rsidP="008335E5">
      <w:pPr>
        <w:pStyle w:val="BodyText"/>
        <w:numPr>
          <w:ilvl w:val="0"/>
          <w:numId w:val="10"/>
        </w:numPr>
      </w:pPr>
      <w:r>
        <w:t>Have a general possibility to configure a half-tone shift for the NR uplink, as a complement to “no</w:t>
      </w:r>
      <w:r w:rsidR="009A0581">
        <w:t>rmal” non-half-</w:t>
      </w:r>
      <w:proofErr w:type="spellStart"/>
      <w:r w:rsidR="009A0581">
        <w:t>tone</w:t>
      </w:r>
      <w:proofErr w:type="spellEnd"/>
      <w:r w:rsidR="009A0581">
        <w:t>-</w:t>
      </w:r>
      <w:r>
        <w:t>shifted uplink transmission</w:t>
      </w:r>
    </w:p>
    <w:p w14:paraId="5F0FD4E0" w14:textId="55A84F47" w:rsidR="008335E5" w:rsidRDefault="009A0581" w:rsidP="00003747">
      <w:pPr>
        <w:pStyle w:val="BodyText"/>
        <w:numPr>
          <w:ilvl w:val="0"/>
          <w:numId w:val="10"/>
        </w:numPr>
      </w:pPr>
      <w:r>
        <w:t xml:space="preserve">Limit uplink </w:t>
      </w:r>
      <w:r w:rsidR="008335E5">
        <w:t>half-tone shift (mandatory or complementary) to the 15 kHz numerology</w:t>
      </w:r>
    </w:p>
    <w:p w14:paraId="1BCF2E9E" w14:textId="32321D1D" w:rsidR="00E316BC" w:rsidRDefault="008335E5" w:rsidP="00003747">
      <w:pPr>
        <w:pStyle w:val="BodyText"/>
        <w:numPr>
          <w:ilvl w:val="0"/>
          <w:numId w:val="10"/>
        </w:numPr>
      </w:pPr>
      <w:r>
        <w:t xml:space="preserve">Limit </w:t>
      </w:r>
      <w:r w:rsidR="009A0581">
        <w:t xml:space="preserve">uplink </w:t>
      </w:r>
      <w:r>
        <w:t xml:space="preserve">half-tone shift (mandatory or complementary) to </w:t>
      </w:r>
      <w:r w:rsidR="00E316BC">
        <w:t>frequency bands for which co-existence wit</w:t>
      </w:r>
      <w:r w:rsidR="009A0581">
        <w:t>h LTE may be relevant.</w:t>
      </w:r>
    </w:p>
    <w:p w14:paraId="55138AFD" w14:textId="4A52EC98" w:rsidR="008335E5" w:rsidRDefault="008335E5" w:rsidP="00AE0B6D">
      <w:pPr>
        <w:pStyle w:val="BodyText"/>
      </w:pPr>
      <w:r>
        <w:t>Although there may be benefits of an NR uplink half-tone shift in terms of co-existence with LTE there are also drawbacks</w:t>
      </w:r>
      <w:r w:rsidR="009A0581">
        <w:t>. F</w:t>
      </w:r>
      <w:r>
        <w:t>or example</w:t>
      </w:r>
      <w:r w:rsidR="009A0581">
        <w:t>:</w:t>
      </w:r>
    </w:p>
    <w:p w14:paraId="00C37626" w14:textId="6A4B6958" w:rsidR="008335E5" w:rsidRDefault="008335E5" w:rsidP="008335E5">
      <w:pPr>
        <w:pStyle w:val="BodyText"/>
        <w:numPr>
          <w:ilvl w:val="0"/>
          <w:numId w:val="10"/>
        </w:numPr>
      </w:pPr>
      <w:r>
        <w:t xml:space="preserve">An uplink half-tone shift may s may spread interference from DC over multiple sub-carriers in case of uplink </w:t>
      </w:r>
      <w:proofErr w:type="spellStart"/>
      <w:r>
        <w:t>OFDM</w:t>
      </w:r>
      <w:proofErr w:type="spellEnd"/>
    </w:p>
    <w:p w14:paraId="7EE32665" w14:textId="77777777" w:rsidR="008335E5" w:rsidRDefault="008335E5" w:rsidP="00AE0B6D">
      <w:pPr>
        <w:pStyle w:val="BodyText"/>
        <w:numPr>
          <w:ilvl w:val="0"/>
          <w:numId w:val="10"/>
        </w:numPr>
      </w:pPr>
      <w:r>
        <w:t xml:space="preserve">The use of an uplink half-tone shift makes cross-link interference cancellation in case of dynamic </w:t>
      </w:r>
      <w:proofErr w:type="spellStart"/>
      <w:r>
        <w:t>TDD</w:t>
      </w:r>
      <w:proofErr w:type="spellEnd"/>
      <w:r>
        <w:t xml:space="preserve"> more difficult</w:t>
      </w:r>
    </w:p>
    <w:p w14:paraId="4CA02AB3" w14:textId="26DA1B9D" w:rsidR="008335E5" w:rsidRDefault="008335E5" w:rsidP="00AE0B6D">
      <w:pPr>
        <w:pStyle w:val="BodyText"/>
      </w:pPr>
      <w:r>
        <w:t xml:space="preserve">Thus a general use of uplink half-tone shift is not preferred. </w:t>
      </w:r>
      <w:r w:rsidR="009A0581">
        <w:t xml:space="preserve">At the same time, providing half-tone shift as a complementary feature, which would still </w:t>
      </w:r>
      <w:proofErr w:type="gramStart"/>
      <w:r w:rsidR="009A0581">
        <w:t>have to</w:t>
      </w:r>
      <w:proofErr w:type="gramEnd"/>
      <w:r w:rsidR="009A0581">
        <w:t xml:space="preserve"> be supported by all </w:t>
      </w:r>
      <w:proofErr w:type="spellStart"/>
      <w:r w:rsidR="009A0581">
        <w:t>UEs</w:t>
      </w:r>
      <w:proofErr w:type="spellEnd"/>
      <w:r w:rsidR="009A0581">
        <w:t xml:space="preserve">, would have a negative impact on </w:t>
      </w:r>
      <w:proofErr w:type="spellStart"/>
      <w:r w:rsidR="009A0581">
        <w:t>UE</w:t>
      </w:r>
      <w:proofErr w:type="spellEnd"/>
      <w:r w:rsidR="009A0581">
        <w:t xml:space="preserve"> complexity. </w:t>
      </w:r>
    </w:p>
    <w:p w14:paraId="3FEC3B56" w14:textId="758DD53E" w:rsidR="00AE0B6D" w:rsidRPr="008335E5" w:rsidRDefault="00AE0B6D" w:rsidP="00AE0B6D">
      <w:pPr>
        <w:pStyle w:val="BodyText"/>
      </w:pPr>
      <w:r>
        <w:rPr>
          <w:b/>
        </w:rPr>
        <w:t>Alternative #</w:t>
      </w:r>
      <w:r w:rsidR="001D2379">
        <w:rPr>
          <w:b/>
        </w:rPr>
        <w:t>3</w:t>
      </w:r>
      <w:r>
        <w:rPr>
          <w:b/>
        </w:rPr>
        <w:t xml:space="preserve">: Adjust uplink carrier frequency </w:t>
      </w:r>
      <w:r w:rsidR="001D2379">
        <w:rPr>
          <w:b/>
        </w:rPr>
        <w:t xml:space="preserve">by </w:t>
      </w:r>
      <w:r w:rsidRPr="000B3056">
        <w:rPr>
          <w:b/>
        </w:rPr>
        <w:t>7.5 kHz offset.</w:t>
      </w:r>
    </w:p>
    <w:p w14:paraId="64AD2CFA" w14:textId="2ADCCDF9" w:rsidR="00AE0B6D" w:rsidRDefault="00AE0B6D" w:rsidP="00AE0B6D">
      <w:pPr>
        <w:pStyle w:val="BodyText"/>
      </w:pPr>
      <w:r w:rsidRPr="00E20BFB">
        <w:t xml:space="preserve">A </w:t>
      </w:r>
      <w:r w:rsidR="00E316BC">
        <w:t>third</w:t>
      </w:r>
      <w:r w:rsidRPr="00E20BFB">
        <w:t xml:space="preserve"> alternative</w:t>
      </w:r>
      <w:r w:rsidR="00E316BC">
        <w:t xml:space="preserve"> </w:t>
      </w:r>
      <w:r w:rsidRPr="00E20BFB">
        <w:t xml:space="preserve">is </w:t>
      </w:r>
      <w:r w:rsidR="008335E5">
        <w:t>to, instead of a half</w:t>
      </w:r>
      <w:r w:rsidR="00E20BFB" w:rsidRPr="00E20BFB">
        <w:t>-tone shift, introduce the possibility to shift the entire uplink carrie</w:t>
      </w:r>
      <w:r w:rsidR="008335E5">
        <w:t xml:space="preserve">r by 7.5 kHz. This could </w:t>
      </w:r>
      <w:proofErr w:type="gramStart"/>
      <w:r w:rsidR="00E20BFB" w:rsidRPr="00E20BFB">
        <w:t>be seen as</w:t>
      </w:r>
      <w:proofErr w:type="gramEnd"/>
      <w:r w:rsidR="00E20BFB" w:rsidRPr="00E20BFB">
        <w:t xml:space="preserve"> a flexible duplex separation with no impact on the </w:t>
      </w:r>
      <w:proofErr w:type="spellStart"/>
      <w:r w:rsidR="00E316BC">
        <w:t>RAN1</w:t>
      </w:r>
      <w:proofErr w:type="spellEnd"/>
      <w:r w:rsidR="00E316BC">
        <w:t xml:space="preserve"> specifications. Such flex</w:t>
      </w:r>
      <w:r w:rsidR="00E20BFB" w:rsidRPr="00E20BFB">
        <w:t>i</w:t>
      </w:r>
      <w:r w:rsidR="00E316BC">
        <w:t>b</w:t>
      </w:r>
      <w:r w:rsidR="00E20BFB" w:rsidRPr="00E20BFB">
        <w:t xml:space="preserve">le duplex is, specification wise, already today supported by the specification supporting the configuration of an offset to the uplink carrier frequency. </w:t>
      </w:r>
      <w:r w:rsidR="009A0581">
        <w:t xml:space="preserve">We believe that this is the preferred option, should </w:t>
      </w:r>
      <w:proofErr w:type="spellStart"/>
      <w:r w:rsidR="009A0581">
        <w:t>RAN1</w:t>
      </w:r>
      <w:proofErr w:type="spellEnd"/>
      <w:r w:rsidR="009A0581">
        <w:t xml:space="preserve"> conclude that alternative 1 is not sufficient. </w:t>
      </w:r>
    </w:p>
    <w:p w14:paraId="3D582CEF" w14:textId="115157C2" w:rsidR="00677999" w:rsidRPr="00E20BFB" w:rsidRDefault="00677999" w:rsidP="00AE0B6D">
      <w:pPr>
        <w:pStyle w:val="BodyText"/>
      </w:pPr>
      <w:r w:rsidRPr="00677999">
        <w:rPr>
          <w:b/>
        </w:rPr>
        <w:lastRenderedPageBreak/>
        <w:t>Proposal:</w:t>
      </w:r>
      <w:r>
        <w:t xml:space="preserve"> Consider the introduction of a configurable 7.5 kHz uplink carrier offset to align NR and LTE uplink sub-carriers</w:t>
      </w:r>
    </w:p>
    <w:p w14:paraId="62A371BF" w14:textId="2BF160F1" w:rsidR="00E20BFB" w:rsidRDefault="00677999" w:rsidP="00E20BFB">
      <w:pPr>
        <w:pStyle w:val="Heading1"/>
      </w:pPr>
      <w:r>
        <w:t>Summary</w:t>
      </w:r>
    </w:p>
    <w:p w14:paraId="514CC92E" w14:textId="2426DF2E" w:rsidR="008335E5" w:rsidRDefault="008335E5" w:rsidP="00156B10">
      <w:pPr>
        <w:pStyle w:val="BodyText"/>
      </w:pPr>
      <w:r w:rsidRPr="00677999">
        <w:rPr>
          <w:b/>
        </w:rPr>
        <w:t>Observation:</w:t>
      </w:r>
      <w:r w:rsidR="00677999">
        <w:t xml:space="preserve"> Uplink</w:t>
      </w:r>
      <w:r>
        <w:t xml:space="preserve"> </w:t>
      </w:r>
      <w:r w:rsidR="00677999">
        <w:t>in-carrier co-existence between LTE and NR can be supported without an NR half-tone by means of scheduler- provided guard bands</w:t>
      </w:r>
    </w:p>
    <w:p w14:paraId="024CA17C" w14:textId="03373A74" w:rsidR="00677999" w:rsidRPr="00AE0B6D" w:rsidRDefault="00677999" w:rsidP="00156B10">
      <w:pPr>
        <w:pStyle w:val="BodyText"/>
      </w:pPr>
      <w:r w:rsidRPr="00677999">
        <w:rPr>
          <w:b/>
        </w:rPr>
        <w:t>Proposal:</w:t>
      </w:r>
      <w:r>
        <w:t xml:space="preserve"> Consider the introduction of a configurable 7.5 kHz uplink carrier offset to align NR and LTE uplink su</w:t>
      </w:r>
      <w:bookmarkStart w:id="3" w:name="_GoBack"/>
      <w:bookmarkEnd w:id="3"/>
      <w:r>
        <w:t>b-carriers</w:t>
      </w:r>
    </w:p>
    <w:sectPr w:rsidR="00677999" w:rsidRPr="00AE0B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8FAD3" w14:textId="77777777" w:rsidR="00E908A9" w:rsidRDefault="00E908A9">
      <w:r>
        <w:separator/>
      </w:r>
    </w:p>
  </w:endnote>
  <w:endnote w:type="continuationSeparator" w:id="0">
    <w:p w14:paraId="0F839DC8" w14:textId="77777777" w:rsidR="00E908A9" w:rsidRDefault="00E90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43608" w14:textId="77777777" w:rsidR="00E908A9" w:rsidRDefault="00E908A9">
      <w:r>
        <w:separator/>
      </w:r>
    </w:p>
  </w:footnote>
  <w:footnote w:type="continuationSeparator" w:id="0">
    <w:p w14:paraId="0058A94A" w14:textId="77777777" w:rsidR="00E908A9" w:rsidRDefault="00E90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172B4" w14:textId="77777777" w:rsidR="004D4F57" w:rsidRDefault="00E908A9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45018"/>
    <w:multiLevelType w:val="hybridMultilevel"/>
    <w:tmpl w:val="D516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BB7CBD"/>
    <w:multiLevelType w:val="hybridMultilevel"/>
    <w:tmpl w:val="59D0D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C9673C"/>
    <w:multiLevelType w:val="hybridMultilevel"/>
    <w:tmpl w:val="089A6F8A"/>
    <w:lvl w:ilvl="0" w:tplc="85F8EEE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F0BF0"/>
    <w:multiLevelType w:val="hybridMultilevel"/>
    <w:tmpl w:val="4DBC9022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05A9F"/>
    <w:multiLevelType w:val="hybridMultilevel"/>
    <w:tmpl w:val="654C6D9A"/>
    <w:lvl w:ilvl="0" w:tplc="7C08DFF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3124C"/>
    <w:multiLevelType w:val="hybridMultilevel"/>
    <w:tmpl w:val="44ACF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F200C3"/>
    <w:multiLevelType w:val="hybridMultilevel"/>
    <w:tmpl w:val="AD808828"/>
    <w:lvl w:ilvl="0" w:tplc="0C36D74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A075B"/>
    <w:multiLevelType w:val="hybridMultilevel"/>
    <w:tmpl w:val="A15CB296"/>
    <w:lvl w:ilvl="0" w:tplc="A92465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6"/>
  </w:num>
  <w:num w:numId="8">
    <w:abstractNumId w:val="3"/>
  </w:num>
  <w:num w:numId="9">
    <w:abstractNumId w:val="8"/>
  </w:num>
  <w:num w:numId="1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3747"/>
    <w:rsid w:val="000217F8"/>
    <w:rsid w:val="00037C51"/>
    <w:rsid w:val="0004251E"/>
    <w:rsid w:val="00055C3F"/>
    <w:rsid w:val="00056F8C"/>
    <w:rsid w:val="0009038A"/>
    <w:rsid w:val="000944E4"/>
    <w:rsid w:val="000A258F"/>
    <w:rsid w:val="000C02AC"/>
    <w:rsid w:val="0010025E"/>
    <w:rsid w:val="001018DF"/>
    <w:rsid w:val="001027FF"/>
    <w:rsid w:val="00112E18"/>
    <w:rsid w:val="00114B6A"/>
    <w:rsid w:val="001373A6"/>
    <w:rsid w:val="00141448"/>
    <w:rsid w:val="00142260"/>
    <w:rsid w:val="00156B10"/>
    <w:rsid w:val="0017310F"/>
    <w:rsid w:val="00175D32"/>
    <w:rsid w:val="00191E60"/>
    <w:rsid w:val="001B4110"/>
    <w:rsid w:val="001C5CE9"/>
    <w:rsid w:val="001D2379"/>
    <w:rsid w:val="001D5808"/>
    <w:rsid w:val="001E1B99"/>
    <w:rsid w:val="002029F5"/>
    <w:rsid w:val="00205AF2"/>
    <w:rsid w:val="00210105"/>
    <w:rsid w:val="0021013F"/>
    <w:rsid w:val="00214784"/>
    <w:rsid w:val="00216888"/>
    <w:rsid w:val="00222656"/>
    <w:rsid w:val="00232BB1"/>
    <w:rsid w:val="0023314F"/>
    <w:rsid w:val="0025780D"/>
    <w:rsid w:val="002634F0"/>
    <w:rsid w:val="00264D4E"/>
    <w:rsid w:val="00290099"/>
    <w:rsid w:val="00290F9F"/>
    <w:rsid w:val="002B139C"/>
    <w:rsid w:val="002B5439"/>
    <w:rsid w:val="002C0453"/>
    <w:rsid w:val="002C3A4F"/>
    <w:rsid w:val="002D0AB6"/>
    <w:rsid w:val="002E6A70"/>
    <w:rsid w:val="0030364D"/>
    <w:rsid w:val="00304706"/>
    <w:rsid w:val="0031422F"/>
    <w:rsid w:val="00343A18"/>
    <w:rsid w:val="00350180"/>
    <w:rsid w:val="00361CA8"/>
    <w:rsid w:val="00363390"/>
    <w:rsid w:val="003875A3"/>
    <w:rsid w:val="003A3E47"/>
    <w:rsid w:val="003B5644"/>
    <w:rsid w:val="003C040C"/>
    <w:rsid w:val="003E2560"/>
    <w:rsid w:val="004067C0"/>
    <w:rsid w:val="004165C9"/>
    <w:rsid w:val="004217B5"/>
    <w:rsid w:val="00422F7B"/>
    <w:rsid w:val="00437ACB"/>
    <w:rsid w:val="00460EB6"/>
    <w:rsid w:val="004837C7"/>
    <w:rsid w:val="00492A78"/>
    <w:rsid w:val="004B57FD"/>
    <w:rsid w:val="004C321E"/>
    <w:rsid w:val="004C4387"/>
    <w:rsid w:val="004D7360"/>
    <w:rsid w:val="004E70DB"/>
    <w:rsid w:val="00511453"/>
    <w:rsid w:val="00525831"/>
    <w:rsid w:val="00525911"/>
    <w:rsid w:val="005260BE"/>
    <w:rsid w:val="00537B4C"/>
    <w:rsid w:val="0054164C"/>
    <w:rsid w:val="00541E43"/>
    <w:rsid w:val="00543494"/>
    <w:rsid w:val="0054555D"/>
    <w:rsid w:val="0055264E"/>
    <w:rsid w:val="00554025"/>
    <w:rsid w:val="0056282E"/>
    <w:rsid w:val="00566F92"/>
    <w:rsid w:val="00570BCE"/>
    <w:rsid w:val="00580D67"/>
    <w:rsid w:val="00587AD2"/>
    <w:rsid w:val="00594C69"/>
    <w:rsid w:val="005A0E80"/>
    <w:rsid w:val="005A2873"/>
    <w:rsid w:val="005A4D1F"/>
    <w:rsid w:val="005B0522"/>
    <w:rsid w:val="005C439D"/>
    <w:rsid w:val="005D67F9"/>
    <w:rsid w:val="005E2BCF"/>
    <w:rsid w:val="005F57CF"/>
    <w:rsid w:val="0060203F"/>
    <w:rsid w:val="0061336B"/>
    <w:rsid w:val="0062673F"/>
    <w:rsid w:val="006348C5"/>
    <w:rsid w:val="00636F01"/>
    <w:rsid w:val="0064164A"/>
    <w:rsid w:val="00643A16"/>
    <w:rsid w:val="006549E5"/>
    <w:rsid w:val="006556BF"/>
    <w:rsid w:val="00665E2A"/>
    <w:rsid w:val="00670FD9"/>
    <w:rsid w:val="00677999"/>
    <w:rsid w:val="006942D1"/>
    <w:rsid w:val="006A286A"/>
    <w:rsid w:val="006B271B"/>
    <w:rsid w:val="006E0D45"/>
    <w:rsid w:val="006E62F1"/>
    <w:rsid w:val="00714D20"/>
    <w:rsid w:val="00726A12"/>
    <w:rsid w:val="00741E68"/>
    <w:rsid w:val="007506C7"/>
    <w:rsid w:val="0075384C"/>
    <w:rsid w:val="007563CC"/>
    <w:rsid w:val="007569CA"/>
    <w:rsid w:val="00762DF4"/>
    <w:rsid w:val="0076348D"/>
    <w:rsid w:val="00765485"/>
    <w:rsid w:val="007A01C0"/>
    <w:rsid w:val="007C217E"/>
    <w:rsid w:val="007E2C96"/>
    <w:rsid w:val="007F3F65"/>
    <w:rsid w:val="00815566"/>
    <w:rsid w:val="008302A2"/>
    <w:rsid w:val="008335E5"/>
    <w:rsid w:val="0083401B"/>
    <w:rsid w:val="00834DE7"/>
    <w:rsid w:val="0083689E"/>
    <w:rsid w:val="00841BE8"/>
    <w:rsid w:val="00843FE9"/>
    <w:rsid w:val="00854EA0"/>
    <w:rsid w:val="0086087F"/>
    <w:rsid w:val="008739DF"/>
    <w:rsid w:val="008A0B64"/>
    <w:rsid w:val="008A3AF2"/>
    <w:rsid w:val="008B1B81"/>
    <w:rsid w:val="008B23D4"/>
    <w:rsid w:val="008B38BA"/>
    <w:rsid w:val="008D1E1F"/>
    <w:rsid w:val="008E31D2"/>
    <w:rsid w:val="008E7AA2"/>
    <w:rsid w:val="008F77A7"/>
    <w:rsid w:val="0091401C"/>
    <w:rsid w:val="0091488F"/>
    <w:rsid w:val="00944B89"/>
    <w:rsid w:val="0096027F"/>
    <w:rsid w:val="00973F8C"/>
    <w:rsid w:val="0097401A"/>
    <w:rsid w:val="00977B9E"/>
    <w:rsid w:val="009A0581"/>
    <w:rsid w:val="009A6BB8"/>
    <w:rsid w:val="009B2E48"/>
    <w:rsid w:val="009C60EA"/>
    <w:rsid w:val="009D3405"/>
    <w:rsid w:val="009E70EF"/>
    <w:rsid w:val="009F0F87"/>
    <w:rsid w:val="009F4079"/>
    <w:rsid w:val="00A04388"/>
    <w:rsid w:val="00A2540F"/>
    <w:rsid w:val="00A3059E"/>
    <w:rsid w:val="00A37001"/>
    <w:rsid w:val="00A41E84"/>
    <w:rsid w:val="00A47015"/>
    <w:rsid w:val="00A7428A"/>
    <w:rsid w:val="00A757B8"/>
    <w:rsid w:val="00A808F6"/>
    <w:rsid w:val="00A81AA1"/>
    <w:rsid w:val="00A81EFF"/>
    <w:rsid w:val="00A85E54"/>
    <w:rsid w:val="00A93AEC"/>
    <w:rsid w:val="00AA0A42"/>
    <w:rsid w:val="00AA13EF"/>
    <w:rsid w:val="00AA23C5"/>
    <w:rsid w:val="00AB6372"/>
    <w:rsid w:val="00AC2A5F"/>
    <w:rsid w:val="00AD5F57"/>
    <w:rsid w:val="00AE0B6D"/>
    <w:rsid w:val="00AE3947"/>
    <w:rsid w:val="00AE7A97"/>
    <w:rsid w:val="00B00FDB"/>
    <w:rsid w:val="00B34FDB"/>
    <w:rsid w:val="00B368D9"/>
    <w:rsid w:val="00B42F5C"/>
    <w:rsid w:val="00B52C5F"/>
    <w:rsid w:val="00B5516A"/>
    <w:rsid w:val="00B63298"/>
    <w:rsid w:val="00B85DCB"/>
    <w:rsid w:val="00BA2CDD"/>
    <w:rsid w:val="00BA3D9B"/>
    <w:rsid w:val="00BA76BC"/>
    <w:rsid w:val="00BF7E13"/>
    <w:rsid w:val="00C04B3F"/>
    <w:rsid w:val="00C073DB"/>
    <w:rsid w:val="00C13452"/>
    <w:rsid w:val="00C1560A"/>
    <w:rsid w:val="00C326A6"/>
    <w:rsid w:val="00C44FF8"/>
    <w:rsid w:val="00C50B3C"/>
    <w:rsid w:val="00C55346"/>
    <w:rsid w:val="00C61496"/>
    <w:rsid w:val="00C76E90"/>
    <w:rsid w:val="00C93774"/>
    <w:rsid w:val="00CB4D3D"/>
    <w:rsid w:val="00CD6F16"/>
    <w:rsid w:val="00CE02E7"/>
    <w:rsid w:val="00CE28B2"/>
    <w:rsid w:val="00CE3E00"/>
    <w:rsid w:val="00CE4E11"/>
    <w:rsid w:val="00CE7F2E"/>
    <w:rsid w:val="00CF2225"/>
    <w:rsid w:val="00CF67BE"/>
    <w:rsid w:val="00CF7534"/>
    <w:rsid w:val="00D02349"/>
    <w:rsid w:val="00D03119"/>
    <w:rsid w:val="00D04257"/>
    <w:rsid w:val="00D11960"/>
    <w:rsid w:val="00D23CBA"/>
    <w:rsid w:val="00D338CE"/>
    <w:rsid w:val="00D350E3"/>
    <w:rsid w:val="00D516DD"/>
    <w:rsid w:val="00D63209"/>
    <w:rsid w:val="00D701A0"/>
    <w:rsid w:val="00D83B62"/>
    <w:rsid w:val="00DA110D"/>
    <w:rsid w:val="00DB3BC8"/>
    <w:rsid w:val="00DC085D"/>
    <w:rsid w:val="00DD1935"/>
    <w:rsid w:val="00DD4245"/>
    <w:rsid w:val="00DE3421"/>
    <w:rsid w:val="00DE5946"/>
    <w:rsid w:val="00DE63BC"/>
    <w:rsid w:val="00DF49ED"/>
    <w:rsid w:val="00DF6135"/>
    <w:rsid w:val="00DF71DB"/>
    <w:rsid w:val="00DF762C"/>
    <w:rsid w:val="00E0270C"/>
    <w:rsid w:val="00E0407B"/>
    <w:rsid w:val="00E13BDA"/>
    <w:rsid w:val="00E20BFB"/>
    <w:rsid w:val="00E220C0"/>
    <w:rsid w:val="00E30E59"/>
    <w:rsid w:val="00E31041"/>
    <w:rsid w:val="00E316BC"/>
    <w:rsid w:val="00E45EB0"/>
    <w:rsid w:val="00E57CED"/>
    <w:rsid w:val="00E63D88"/>
    <w:rsid w:val="00E767F1"/>
    <w:rsid w:val="00E83054"/>
    <w:rsid w:val="00E908A9"/>
    <w:rsid w:val="00EA148A"/>
    <w:rsid w:val="00EA172F"/>
    <w:rsid w:val="00EA1984"/>
    <w:rsid w:val="00EA479A"/>
    <w:rsid w:val="00EC61BE"/>
    <w:rsid w:val="00EC76D4"/>
    <w:rsid w:val="00EE478D"/>
    <w:rsid w:val="00EF4B30"/>
    <w:rsid w:val="00F0587F"/>
    <w:rsid w:val="00F21365"/>
    <w:rsid w:val="00F24DDE"/>
    <w:rsid w:val="00F302D9"/>
    <w:rsid w:val="00F37D49"/>
    <w:rsid w:val="00F4190F"/>
    <w:rsid w:val="00F47068"/>
    <w:rsid w:val="00F51EB4"/>
    <w:rsid w:val="00FA3B0E"/>
    <w:rsid w:val="00FB04C4"/>
    <w:rsid w:val="00FB1B57"/>
    <w:rsid w:val="00FD4D0F"/>
    <w:rsid w:val="00FD6BED"/>
    <w:rsid w:val="00FD72DD"/>
    <w:rsid w:val="00FE304E"/>
    <w:rsid w:val="00FE5799"/>
    <w:rsid w:val="00FE5897"/>
    <w:rsid w:val="00FE6E6F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243545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556BF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A6899-D7C8-45B9-9F9A-A2EDC456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タイトル</vt:lpstr>
      </vt:variant>
      <vt:variant>
        <vt:i4>1</vt:i4>
      </vt:variant>
    </vt:vector>
  </HeadingPairs>
  <TitlesOfParts>
    <vt:vector size="7" baseType="lpstr">
      <vt:lpstr/>
      <vt:lpstr>Introduction</vt:lpstr>
      <vt:lpstr>Alternative solutions</vt:lpstr>
      <vt:lpstr>    Alternative #1: Do nothing</vt:lpstr>
      <vt:lpstr>    Alternative #2: Introduce half-tone shift for NR uplink </vt:lpstr>
      <vt:lpstr>Summary</vt:lpstr>
      <vt:lpstr/>
    </vt:vector>
  </TitlesOfParts>
  <Company>Ericsson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Erik Dahlman</cp:lastModifiedBy>
  <cp:revision>3</cp:revision>
  <dcterms:created xsi:type="dcterms:W3CDTF">2017-03-22T22:29:00Z</dcterms:created>
  <dcterms:modified xsi:type="dcterms:W3CDTF">2017-03-23T23:38:00Z</dcterms:modified>
</cp:coreProperties>
</file>