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24E0E" w14:textId="0372664F" w:rsidR="00282882" w:rsidRPr="00AD7021" w:rsidRDefault="00931898" w:rsidP="00282882">
      <w:pPr>
        <w:pStyle w:val="3GPPHeader"/>
        <w:spacing w:after="0"/>
        <w:rPr>
          <w:rFonts w:ascii="Arial" w:hAnsi="Arial" w:cs="Arial"/>
          <w:lang w:val="en-US"/>
        </w:rPr>
      </w:pPr>
      <w:bookmarkStart w:id="0" w:name="_Ref409106980"/>
      <w:bookmarkStart w:id="1" w:name="_Ref387147111"/>
      <w:bookmarkStart w:id="2" w:name="_Ref416466774"/>
      <w:r w:rsidRPr="003B0F9C">
        <w:rPr>
          <w:rFonts w:ascii="Arial" w:hAnsi="Arial" w:cs="Arial"/>
        </w:rPr>
        <w:t>3GPP TSG RAN WG1 Meeting #88bis</w:t>
      </w:r>
      <w:r w:rsidR="00282882" w:rsidRPr="006F7EB1">
        <w:rPr>
          <w:rFonts w:ascii="Arial" w:hAnsi="Arial" w:cs="Arial"/>
          <w:sz w:val="20"/>
          <w:lang w:val="en-US"/>
        </w:rPr>
        <w:tab/>
      </w:r>
      <w:r w:rsidR="00282882" w:rsidRPr="00AD7021">
        <w:rPr>
          <w:rFonts w:ascii="Arial" w:hAnsi="Arial" w:cs="Arial"/>
          <w:lang w:val="en-US"/>
        </w:rPr>
        <w:t xml:space="preserve"> R1-</w:t>
      </w:r>
      <w:r w:rsidR="00A147E0" w:rsidRPr="00AD7021">
        <w:rPr>
          <w:rFonts w:ascii="Arial" w:hAnsi="Arial" w:cs="Arial"/>
          <w:lang w:val="en-US"/>
        </w:rPr>
        <w:t>17</w:t>
      </w:r>
      <w:r w:rsidRPr="00AD7021">
        <w:rPr>
          <w:rFonts w:ascii="Arial" w:hAnsi="Arial" w:cs="Arial"/>
          <w:lang w:val="en-US"/>
        </w:rPr>
        <w:t>046</w:t>
      </w:r>
      <w:r w:rsidR="00E3525C" w:rsidRPr="00AD7021">
        <w:rPr>
          <w:rFonts w:ascii="Arial" w:hAnsi="Arial" w:cs="Arial"/>
          <w:lang w:val="en-US"/>
        </w:rPr>
        <w:t>98</w:t>
      </w:r>
    </w:p>
    <w:p w14:paraId="68E42094" w14:textId="77777777" w:rsidR="00931898" w:rsidRPr="00A32B26" w:rsidRDefault="00931898" w:rsidP="00931898">
      <w:pPr>
        <w:tabs>
          <w:tab w:val="center" w:pos="4536"/>
          <w:tab w:val="right" w:pos="9072"/>
        </w:tabs>
        <w:rPr>
          <w:rFonts w:ascii="Arial" w:hAnsi="Arial" w:cs="Arial"/>
          <w:b/>
          <w:sz w:val="24"/>
        </w:rPr>
      </w:pPr>
      <w:r w:rsidRPr="003B0F9C">
        <w:rPr>
          <w:rFonts w:ascii="Arial" w:hAnsi="Arial" w:cs="Arial"/>
          <w:b/>
          <w:sz w:val="24"/>
        </w:rPr>
        <w:t>Spokane, USA 3</w:t>
      </w:r>
      <w:r w:rsidRPr="003B0F9C">
        <w:rPr>
          <w:rFonts w:ascii="Arial" w:hAnsi="Arial" w:cs="Arial"/>
          <w:b/>
          <w:sz w:val="24"/>
          <w:vertAlign w:val="superscript"/>
        </w:rPr>
        <w:t>rd</w:t>
      </w:r>
      <w:r w:rsidRPr="003B0F9C">
        <w:rPr>
          <w:rFonts w:ascii="Arial" w:hAnsi="Arial" w:cs="Arial"/>
          <w:b/>
          <w:sz w:val="24"/>
        </w:rPr>
        <w:t xml:space="preserve"> – 7</w:t>
      </w:r>
      <w:r w:rsidRPr="003B0F9C">
        <w:rPr>
          <w:rFonts w:ascii="Arial" w:hAnsi="Arial" w:cs="Arial"/>
          <w:b/>
          <w:sz w:val="24"/>
          <w:vertAlign w:val="superscript"/>
        </w:rPr>
        <w:t>th</w:t>
      </w:r>
      <w:r w:rsidRPr="003B0F9C">
        <w:rPr>
          <w:rFonts w:ascii="Arial" w:hAnsi="Arial" w:cs="Arial"/>
          <w:b/>
          <w:sz w:val="24"/>
        </w:rPr>
        <w:t xml:space="preserve"> April 2017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622AF69B" w14:textId="77777777" w:rsidR="00931898" w:rsidRPr="00443753" w:rsidRDefault="00931898" w:rsidP="00931898">
      <w:pPr>
        <w:spacing w:after="0"/>
        <w:ind w:left="1988" w:hanging="1988"/>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5438F85" w14:textId="7D0AFD81"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 xml:space="preserve">Title:  </w:t>
      </w:r>
      <w:r w:rsidRPr="00677911">
        <w:rPr>
          <w:rFonts w:ascii="Arial" w:hAnsi="Arial"/>
          <w:lang w:val="en-US"/>
        </w:rPr>
        <w:tab/>
        <w:t xml:space="preserve">DL Power Consumption Reduction for </w:t>
      </w:r>
      <w:r>
        <w:rPr>
          <w:rFonts w:ascii="Arial" w:hAnsi="Arial"/>
          <w:lang w:val="en-US"/>
        </w:rPr>
        <w:t>feNB-IoT</w:t>
      </w:r>
      <w:r w:rsidRPr="00677911">
        <w:rPr>
          <w:sz w:val="28"/>
        </w:rPr>
        <w:t xml:space="preserve">           </w:t>
      </w:r>
    </w:p>
    <w:p w14:paraId="2BE5BAC8" w14:textId="5D3E5EF1"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Agenda Item:</w:t>
      </w:r>
      <w:r w:rsidRPr="00677911">
        <w:rPr>
          <w:rFonts w:ascii="Arial" w:hAnsi="Arial"/>
          <w:lang w:val="en-US"/>
        </w:rPr>
        <w:tab/>
        <w:t>7.2.</w:t>
      </w:r>
      <w:r>
        <w:rPr>
          <w:rFonts w:ascii="Arial" w:hAnsi="Arial"/>
          <w:lang w:val="en-US"/>
        </w:rPr>
        <w:t>7.1.1</w:t>
      </w:r>
    </w:p>
    <w:p w14:paraId="3D0F9346" w14:textId="3CCD257C" w:rsidR="00931898" w:rsidRPr="00931898" w:rsidRDefault="00931898" w:rsidP="00931898">
      <w:pPr>
        <w:spacing w:after="0"/>
        <w:ind w:left="1988" w:hanging="1988"/>
        <w:rPr>
          <w:rFonts w:ascii="Arial" w:hAnsi="Arial"/>
          <w:b/>
          <w:sz w:val="24"/>
        </w:rPr>
      </w:pPr>
      <w:r w:rsidRPr="00677911">
        <w:rPr>
          <w:rFonts w:ascii="Arial" w:hAnsi="Arial"/>
          <w:b/>
          <w:sz w:val="24"/>
        </w:rPr>
        <w:t>Document for:</w:t>
      </w:r>
      <w:bookmarkStart w:id="3" w:name="DocumentFor"/>
      <w:bookmarkEnd w:id="3"/>
      <w:r w:rsidRPr="00677911">
        <w:rPr>
          <w:rFonts w:ascii="Arial" w:hAnsi="Arial"/>
          <w:b/>
          <w:sz w:val="24"/>
        </w:rPr>
        <w:tab/>
      </w:r>
      <w:r w:rsidRPr="00443753">
        <w:rPr>
          <w:rFonts w:ascii="Arial" w:hAnsi="Arial" w:cs="Arial"/>
          <w:b/>
          <w:sz w:val="24"/>
        </w:rPr>
        <w:t>Discussion</w:t>
      </w:r>
      <w:r w:rsidRPr="00BC0881">
        <w:rPr>
          <w:rFonts w:ascii="Arial" w:eastAsia="Malgun Gothic" w:hAnsi="Arial" w:cs="Arial" w:hint="eastAsia"/>
          <w:b/>
          <w:sz w:val="24"/>
          <w:lang w:eastAsia="ko-KR"/>
        </w:rPr>
        <w:t>/</w:t>
      </w:r>
      <w:r w:rsidRPr="00677911">
        <w:rPr>
          <w:rFonts w:ascii="Arial" w:hAnsi="Arial"/>
          <w:b/>
          <w:sz w:val="24"/>
        </w:rPr>
        <w:t>Decision</w:t>
      </w:r>
    </w:p>
    <w:p w14:paraId="0C6DB347" w14:textId="77777777" w:rsidR="001B4C46" w:rsidRPr="00282882" w:rsidRDefault="001B4C46" w:rsidP="00CB6A16">
      <w:pPr>
        <w:pStyle w:val="Heading1"/>
      </w:pPr>
      <w:r w:rsidRPr="00282882">
        <w:t>Introduction</w:t>
      </w:r>
      <w:bookmarkEnd w:id="0"/>
    </w:p>
    <w:p w14:paraId="4213F606" w14:textId="7562FD27" w:rsidR="0096341F" w:rsidRPr="00A0763E" w:rsidRDefault="0096341F" w:rsidP="0096341F">
      <w:pPr>
        <w:rPr>
          <w:sz w:val="20"/>
        </w:rPr>
      </w:pPr>
      <w:bookmarkStart w:id="4" w:name="_Ref421460494"/>
      <w:r w:rsidRPr="00A0763E">
        <w:rPr>
          <w:sz w:val="20"/>
        </w:rPr>
        <w:t xml:space="preserve">In </w:t>
      </w:r>
      <w:r w:rsidR="00A0763E">
        <w:rPr>
          <w:sz w:val="20"/>
        </w:rPr>
        <w:t>previous releases for machine type communications (MTC) devices such</w:t>
      </w:r>
      <w:r w:rsidRPr="00A0763E">
        <w:rPr>
          <w:sz w:val="20"/>
        </w:rPr>
        <w:t xml:space="preserve"> </w:t>
      </w:r>
      <w:r w:rsidR="00AD7021">
        <w:rPr>
          <w:sz w:val="20"/>
        </w:rPr>
        <w:t xml:space="preserve">as </w:t>
      </w:r>
      <w:r w:rsidRPr="00A0763E">
        <w:rPr>
          <w:sz w:val="20"/>
        </w:rPr>
        <w:t>NB-IoT,</w:t>
      </w:r>
      <w:r w:rsidR="00C62B19" w:rsidRPr="00A0763E">
        <w:rPr>
          <w:sz w:val="20"/>
        </w:rPr>
        <w:t xml:space="preserve"> mechanisms </w:t>
      </w:r>
      <w:r w:rsidR="00FA1C14">
        <w:rPr>
          <w:sz w:val="20"/>
        </w:rPr>
        <w:t>s</w:t>
      </w:r>
      <w:r w:rsidR="00C62B19" w:rsidRPr="00A0763E">
        <w:rPr>
          <w:sz w:val="20"/>
        </w:rPr>
        <w:t xml:space="preserve">uch as Power Saving Mode (PSM) and extended DRX (eDRX) during Idle </w:t>
      </w:r>
      <w:r w:rsidRPr="00A0763E">
        <w:rPr>
          <w:sz w:val="20"/>
        </w:rPr>
        <w:t xml:space="preserve">and </w:t>
      </w:r>
      <w:r w:rsidR="00C62B19" w:rsidRPr="00A0763E">
        <w:rPr>
          <w:sz w:val="20"/>
        </w:rPr>
        <w:t>C</w:t>
      </w:r>
      <w:r w:rsidR="00A0763E">
        <w:rPr>
          <w:sz w:val="20"/>
        </w:rPr>
        <w:t>onnected mode DRX (C-e</w:t>
      </w:r>
      <w:r w:rsidRPr="00A0763E">
        <w:rPr>
          <w:sz w:val="20"/>
        </w:rPr>
        <w:t xml:space="preserve">DRX) </w:t>
      </w:r>
      <w:r w:rsidR="00A0763E">
        <w:rPr>
          <w:sz w:val="20"/>
        </w:rPr>
        <w:t xml:space="preserve">have been defined </w:t>
      </w:r>
      <w:r w:rsidRPr="00A0763E">
        <w:rPr>
          <w:sz w:val="20"/>
        </w:rPr>
        <w:t xml:space="preserve">to allow UE to save battery power by </w:t>
      </w:r>
      <w:r w:rsidR="00782952" w:rsidRPr="00A0763E">
        <w:rPr>
          <w:sz w:val="20"/>
        </w:rPr>
        <w:t xml:space="preserve">duty-cycling between different power states and reducing the time the UE is available </w:t>
      </w:r>
      <w:r w:rsidRPr="00A0763E">
        <w:rPr>
          <w:sz w:val="20"/>
        </w:rPr>
        <w:t xml:space="preserve">to monitor </w:t>
      </w:r>
      <w:r w:rsidR="00C62B19" w:rsidRPr="00A0763E">
        <w:rPr>
          <w:sz w:val="20"/>
        </w:rPr>
        <w:t xml:space="preserve">the </w:t>
      </w:r>
      <w:r w:rsidR="00AD7021">
        <w:rPr>
          <w:sz w:val="20"/>
        </w:rPr>
        <w:t>N</w:t>
      </w:r>
      <w:r w:rsidRPr="00A0763E">
        <w:rPr>
          <w:sz w:val="20"/>
        </w:rPr>
        <w:t xml:space="preserve">PDCCH. Though this helps </w:t>
      </w:r>
      <w:r w:rsidR="00C62B19" w:rsidRPr="00A0763E">
        <w:rPr>
          <w:sz w:val="20"/>
        </w:rPr>
        <w:t xml:space="preserve">to </w:t>
      </w:r>
      <w:r w:rsidRPr="00A0763E">
        <w:rPr>
          <w:sz w:val="20"/>
        </w:rPr>
        <w:t>r</w:t>
      </w:r>
      <w:r w:rsidR="00782952" w:rsidRPr="00A0763E">
        <w:rPr>
          <w:sz w:val="20"/>
        </w:rPr>
        <w:t>educe UE power</w:t>
      </w:r>
      <w:r w:rsidR="00A0763E">
        <w:rPr>
          <w:sz w:val="20"/>
        </w:rPr>
        <w:t xml:space="preserve"> and extend its battery lifetime</w:t>
      </w:r>
      <w:r w:rsidRPr="00A0763E">
        <w:rPr>
          <w:sz w:val="20"/>
        </w:rPr>
        <w:t xml:space="preserve">, </w:t>
      </w:r>
      <w:r w:rsidR="00AD7021">
        <w:rPr>
          <w:sz w:val="20"/>
        </w:rPr>
        <w:t>N</w:t>
      </w:r>
      <w:r w:rsidR="00C62B19" w:rsidRPr="00A0763E">
        <w:rPr>
          <w:sz w:val="20"/>
        </w:rPr>
        <w:t>PDCCH</w:t>
      </w:r>
      <w:r w:rsidRPr="00A0763E">
        <w:rPr>
          <w:sz w:val="20"/>
        </w:rPr>
        <w:t xml:space="preserve"> </w:t>
      </w:r>
      <w:r w:rsidR="00C62B19" w:rsidRPr="00A0763E">
        <w:rPr>
          <w:sz w:val="20"/>
        </w:rPr>
        <w:t xml:space="preserve">monitoring </w:t>
      </w:r>
      <w:r w:rsidRPr="00A0763E">
        <w:rPr>
          <w:sz w:val="20"/>
        </w:rPr>
        <w:t xml:space="preserve">still consumes </w:t>
      </w:r>
      <w:r w:rsidR="00C62B19" w:rsidRPr="00A0763E">
        <w:rPr>
          <w:sz w:val="20"/>
        </w:rPr>
        <w:t>significant</w:t>
      </w:r>
      <w:r w:rsidRPr="00A0763E">
        <w:rPr>
          <w:sz w:val="20"/>
        </w:rPr>
        <w:t xml:space="preserve"> power</w:t>
      </w:r>
      <w:r w:rsidR="00C62B19" w:rsidRPr="00A0763E">
        <w:rPr>
          <w:sz w:val="20"/>
        </w:rPr>
        <w:t xml:space="preserve"> [1,2</w:t>
      </w:r>
      <w:r w:rsidR="00986EEC">
        <w:rPr>
          <w:sz w:val="20"/>
        </w:rPr>
        <w:t>,6</w:t>
      </w:r>
      <w:r w:rsidR="00C62B19" w:rsidRPr="00A0763E">
        <w:rPr>
          <w:sz w:val="20"/>
        </w:rPr>
        <w:t xml:space="preserve">] and in addition, the use of eDRX and PSM introduces significant latency on the order of several hours for </w:t>
      </w:r>
      <w:r w:rsidR="00A0763E">
        <w:rPr>
          <w:sz w:val="20"/>
        </w:rPr>
        <w:t xml:space="preserve">various types of traffic, particularly MTC devices such as actuators expecting </w:t>
      </w:r>
      <w:r w:rsidR="00C62B19" w:rsidRPr="00A0763E">
        <w:rPr>
          <w:sz w:val="20"/>
        </w:rPr>
        <w:t>DL control and command type of traffic</w:t>
      </w:r>
      <w:r w:rsidR="00986EEC">
        <w:rPr>
          <w:sz w:val="20"/>
        </w:rPr>
        <w:t xml:space="preserve"> [8]</w:t>
      </w:r>
      <w:r w:rsidR="00C62B19" w:rsidRPr="00A0763E">
        <w:rPr>
          <w:sz w:val="20"/>
        </w:rPr>
        <w:t xml:space="preserve">. </w:t>
      </w:r>
    </w:p>
    <w:p w14:paraId="0D6984DD" w14:textId="77777777" w:rsidR="00A0763E" w:rsidRPr="00A0763E" w:rsidRDefault="0096341F" w:rsidP="0096341F">
      <w:pPr>
        <w:pStyle w:val="BodyText"/>
        <w:rPr>
          <w:sz w:val="20"/>
        </w:rPr>
      </w:pPr>
      <w:r w:rsidRPr="00A0763E">
        <w:rPr>
          <w:sz w:val="20"/>
        </w:rPr>
        <w:t xml:space="preserve">Note that low power consumption is one of the key desirable features to extend the life time of the battery for eMTC and NB-IoT devices. To further reduce the power </w:t>
      </w:r>
      <w:r w:rsidR="00782952" w:rsidRPr="00A0763E">
        <w:rPr>
          <w:sz w:val="20"/>
        </w:rPr>
        <w:t xml:space="preserve">consumption, one </w:t>
      </w:r>
      <w:r w:rsidR="00A0763E" w:rsidRPr="00A0763E">
        <w:rPr>
          <w:sz w:val="20"/>
        </w:rPr>
        <w:t xml:space="preserve">of the </w:t>
      </w:r>
      <w:r w:rsidR="00782952" w:rsidRPr="00A0763E">
        <w:rPr>
          <w:sz w:val="20"/>
        </w:rPr>
        <w:t>objective</w:t>
      </w:r>
      <w:r w:rsidR="00A0763E" w:rsidRPr="00A0763E">
        <w:rPr>
          <w:sz w:val="20"/>
        </w:rPr>
        <w:t>s</w:t>
      </w:r>
      <w:r w:rsidR="00782952" w:rsidRPr="00A0763E">
        <w:rPr>
          <w:sz w:val="20"/>
        </w:rPr>
        <w:t xml:space="preserve"> specified during RAN#75 plenary </w:t>
      </w:r>
      <w:r w:rsidRPr="00A0763E">
        <w:rPr>
          <w:sz w:val="20"/>
        </w:rPr>
        <w:t>f</w:t>
      </w:r>
      <w:r w:rsidR="00782952" w:rsidRPr="00A0763E">
        <w:rPr>
          <w:sz w:val="20"/>
        </w:rPr>
        <w:t>or</w:t>
      </w:r>
      <w:r w:rsidR="00A0763E" w:rsidRPr="00A0763E">
        <w:rPr>
          <w:sz w:val="20"/>
        </w:rPr>
        <w:t xml:space="preserve"> Rel-15</w:t>
      </w:r>
      <w:r w:rsidRPr="00A0763E">
        <w:rPr>
          <w:sz w:val="20"/>
        </w:rPr>
        <w:t xml:space="preserve"> feNB-IoT </w:t>
      </w:r>
      <w:r w:rsidR="00A0763E" w:rsidRPr="00A0763E">
        <w:rPr>
          <w:sz w:val="20"/>
        </w:rPr>
        <w:t>[</w:t>
      </w:r>
      <w:r w:rsidR="00782952" w:rsidRPr="00A0763E">
        <w:rPr>
          <w:sz w:val="20"/>
        </w:rPr>
        <w:t xml:space="preserve">4] </w:t>
      </w:r>
      <w:r w:rsidRPr="00A0763E">
        <w:rPr>
          <w:sz w:val="20"/>
        </w:rPr>
        <w:t xml:space="preserve">is </w:t>
      </w:r>
      <w:r w:rsidR="00A0763E" w:rsidRPr="00A0763E">
        <w:rPr>
          <w:sz w:val="20"/>
        </w:rPr>
        <w:t>stated as follows:</w:t>
      </w:r>
    </w:p>
    <w:p w14:paraId="3FFC0336" w14:textId="34692142" w:rsidR="0096341F" w:rsidRPr="00A0763E" w:rsidRDefault="00782952" w:rsidP="0096341F">
      <w:pPr>
        <w:pStyle w:val="BodyText"/>
        <w:rPr>
          <w:sz w:val="20"/>
        </w:rPr>
      </w:pPr>
      <w:r w:rsidRPr="00A0763E">
        <w:rPr>
          <w:i/>
          <w:sz w:val="20"/>
        </w:rPr>
        <w:t>“Study and, if found beneficial for idle mode paging and/or connected mode DRX, specify physical signal/channel that can be efficiently decoded or detected prior to decoding the physical downlink control/data channel</w:t>
      </w:r>
      <w:r w:rsidRPr="00A0763E">
        <w:rPr>
          <w:sz w:val="20"/>
        </w:rPr>
        <w:t>”.</w:t>
      </w:r>
    </w:p>
    <w:bookmarkEnd w:id="4"/>
    <w:p w14:paraId="580D811C" w14:textId="277814C6" w:rsidR="00782952" w:rsidRDefault="00782952" w:rsidP="002B7260">
      <w:pPr>
        <w:pStyle w:val="BodyText"/>
        <w:rPr>
          <w:rFonts w:ascii="Arial" w:hAnsi="Arial" w:cs="Arial"/>
          <w:sz w:val="20"/>
        </w:rPr>
      </w:pPr>
      <w:r w:rsidRPr="00A0763E">
        <w:rPr>
          <w:sz w:val="20"/>
        </w:rPr>
        <w:t xml:space="preserve">The purpose of this paper is to evaluate </w:t>
      </w:r>
      <w:r w:rsidR="00986EEC">
        <w:rPr>
          <w:sz w:val="20"/>
        </w:rPr>
        <w:t xml:space="preserve">feNB-IoT </w:t>
      </w:r>
      <w:r w:rsidRPr="00A0763E">
        <w:rPr>
          <w:sz w:val="20"/>
        </w:rPr>
        <w:t>use cases to show the benefits of using a specific physical signal or channel using wake-up signalling in terms of power consumption and latency.</w:t>
      </w:r>
    </w:p>
    <w:p w14:paraId="5B077DC9" w14:textId="1B2EAF3B" w:rsidR="001B4C46" w:rsidRPr="00282882" w:rsidRDefault="00C76256" w:rsidP="001B4C46">
      <w:pPr>
        <w:pStyle w:val="Heading1"/>
      </w:pPr>
      <w:r>
        <w:t>Power Analysis for NB-IoT use case</w:t>
      </w:r>
    </w:p>
    <w:p w14:paraId="3BCEBE0B" w14:textId="77777777" w:rsidR="0051150E" w:rsidRDefault="0051150E" w:rsidP="007E5196">
      <w:pPr>
        <w:pStyle w:val="Heading2"/>
        <w:numPr>
          <w:ilvl w:val="1"/>
          <w:numId w:val="4"/>
        </w:numPr>
        <w:textAlignment w:val="auto"/>
      </w:pPr>
      <w:r>
        <w:t>General methodology of evaluation</w:t>
      </w:r>
    </w:p>
    <w:p w14:paraId="207B7D57" w14:textId="77777777" w:rsidR="00986EEC" w:rsidRDefault="00C15647" w:rsidP="001B4C46">
      <w:pPr>
        <w:tabs>
          <w:tab w:val="left" w:pos="5245"/>
        </w:tabs>
        <w:rPr>
          <w:sz w:val="20"/>
        </w:rPr>
      </w:pPr>
      <w:r w:rsidRPr="00986EEC">
        <w:rPr>
          <w:sz w:val="20"/>
        </w:rPr>
        <w:t>During the work on N</w:t>
      </w:r>
      <w:r w:rsidR="00B46990" w:rsidRPr="00986EEC">
        <w:rPr>
          <w:sz w:val="20"/>
        </w:rPr>
        <w:t>B-IoT</w:t>
      </w:r>
      <w:r w:rsidR="00986EEC">
        <w:rPr>
          <w:sz w:val="20"/>
        </w:rPr>
        <w:t xml:space="preserve"> in Release 13,</w:t>
      </w:r>
      <w:r w:rsidR="00C60394" w:rsidRPr="00986EEC">
        <w:rPr>
          <w:sz w:val="20"/>
        </w:rPr>
        <w:t xml:space="preserve"> </w:t>
      </w:r>
      <w:r w:rsidR="001B4C46" w:rsidRPr="00986EEC">
        <w:rPr>
          <w:sz w:val="20"/>
        </w:rPr>
        <w:t xml:space="preserve">battery </w:t>
      </w:r>
      <w:r w:rsidR="00C60394" w:rsidRPr="00986EEC">
        <w:rPr>
          <w:sz w:val="20"/>
        </w:rPr>
        <w:t xml:space="preserve">life evaluation was performed based on the </w:t>
      </w:r>
      <w:r w:rsidR="001B4C46" w:rsidRPr="00986EEC">
        <w:rPr>
          <w:sz w:val="20"/>
        </w:rPr>
        <w:t>methodology described i</w:t>
      </w:r>
      <w:r w:rsidR="00A77026" w:rsidRPr="00986EEC">
        <w:rPr>
          <w:sz w:val="20"/>
        </w:rPr>
        <w:t xml:space="preserve">n </w:t>
      </w:r>
      <w:r w:rsidRPr="00986EEC">
        <w:rPr>
          <w:sz w:val="20"/>
        </w:rPr>
        <w:t>the study on Cellular system support for ultra-low complexity and low throughput Internet of Things</w:t>
      </w:r>
      <w:r w:rsidR="006C71E1" w:rsidRPr="00986EEC">
        <w:rPr>
          <w:sz w:val="20"/>
        </w:rPr>
        <w:t xml:space="preserve"> </w:t>
      </w:r>
      <w:r w:rsidR="00A77026" w:rsidRPr="00986EEC">
        <w:rPr>
          <w:sz w:val="20"/>
        </w:rPr>
        <w:fldChar w:fldCharType="begin"/>
      </w:r>
      <w:r w:rsidR="00A77026" w:rsidRPr="00986EEC">
        <w:rPr>
          <w:sz w:val="20"/>
        </w:rPr>
        <w:instrText xml:space="preserve"> REF _Ref463001619 \r \h </w:instrText>
      </w:r>
      <w:r w:rsidR="00EA2399" w:rsidRPr="00986EEC">
        <w:rPr>
          <w:sz w:val="20"/>
        </w:rPr>
        <w:instrText xml:space="preserve"> \* MERGEFORMAT </w:instrText>
      </w:r>
      <w:r w:rsidR="00A77026" w:rsidRPr="00986EEC">
        <w:rPr>
          <w:sz w:val="20"/>
        </w:rPr>
      </w:r>
      <w:r w:rsidR="00A77026" w:rsidRPr="00986EEC">
        <w:rPr>
          <w:sz w:val="20"/>
        </w:rPr>
        <w:fldChar w:fldCharType="separate"/>
      </w:r>
      <w:r w:rsidR="00986EEC" w:rsidRPr="00986EEC">
        <w:rPr>
          <w:sz w:val="20"/>
        </w:rPr>
        <w:t>[7</w:t>
      </w:r>
      <w:r w:rsidR="00462AFD" w:rsidRPr="00986EEC">
        <w:rPr>
          <w:sz w:val="20"/>
        </w:rPr>
        <w:t>]</w:t>
      </w:r>
      <w:r w:rsidR="00A77026" w:rsidRPr="00986EEC">
        <w:rPr>
          <w:sz w:val="20"/>
        </w:rPr>
        <w:fldChar w:fldCharType="end"/>
      </w:r>
      <w:r w:rsidR="00986EEC">
        <w:rPr>
          <w:sz w:val="20"/>
        </w:rPr>
        <w:t xml:space="preserve">. This model was primarily for Mobile Autonomous Reporting (MAR) traffic as defined in TR 45.820 for uplink traffic, but it also </w:t>
      </w:r>
      <w:r w:rsidR="005A7855" w:rsidRPr="00986EEC">
        <w:rPr>
          <w:sz w:val="20"/>
        </w:rPr>
        <w:t xml:space="preserve">included </w:t>
      </w:r>
      <w:r w:rsidR="00986EEC">
        <w:rPr>
          <w:sz w:val="20"/>
        </w:rPr>
        <w:t xml:space="preserve">periods where the UE spent time monitoring </w:t>
      </w:r>
      <w:r w:rsidR="005A7855" w:rsidRPr="00986EEC">
        <w:rPr>
          <w:sz w:val="20"/>
        </w:rPr>
        <w:t xml:space="preserve">control channels for downlink response </w:t>
      </w:r>
      <w:r w:rsidR="00986EEC">
        <w:rPr>
          <w:sz w:val="20"/>
        </w:rPr>
        <w:t xml:space="preserve">in either C-eDRX or I-eDRX states. </w:t>
      </w:r>
    </w:p>
    <w:p w14:paraId="161D5818" w14:textId="5C615608" w:rsidR="00C15647" w:rsidRPr="00F7319B" w:rsidRDefault="005A7855" w:rsidP="001B4C46">
      <w:pPr>
        <w:tabs>
          <w:tab w:val="left" w:pos="5245"/>
        </w:tabs>
        <w:rPr>
          <w:sz w:val="20"/>
        </w:rPr>
      </w:pPr>
      <w:r w:rsidRPr="00986EEC">
        <w:rPr>
          <w:sz w:val="20"/>
        </w:rPr>
        <w:t>Figure 1 shows the power states used when the monitoring of the control channels is done using Idle eDRX particularly, for shorter paging cycles &lt;4</w:t>
      </w:r>
      <w:r w:rsidR="00986EEC" w:rsidRPr="00986EEC">
        <w:rPr>
          <w:sz w:val="20"/>
        </w:rPr>
        <w:t>0.96 seconds. It was shown in [5] that Deep Sleep power savings that were 10</w:t>
      </w:r>
      <w:r w:rsidR="00986EEC" w:rsidRPr="001A57BD">
        <w:rPr>
          <w:sz w:val="20"/>
          <w:vertAlign w:val="superscript"/>
        </w:rPr>
        <w:t>4</w:t>
      </w:r>
      <w:r w:rsidR="00986EEC" w:rsidRPr="00986EEC">
        <w:rPr>
          <w:sz w:val="20"/>
        </w:rPr>
        <w:t xml:space="preserve"> times less than the power consumed during active listening were critical to achieving long battery lifetimes greater than that of 10 years. </w:t>
      </w:r>
      <w:r w:rsidR="001A57BD">
        <w:rPr>
          <w:sz w:val="20"/>
        </w:rPr>
        <w:t>However, the evaluation methodology didn’t account for the fact that deep sleep times of such low values also require a wake-up penalty where the UE consumes power to turn the components back on. Given that the NB-IoT UEs require more time to perform channel acquisition and synchronization, this is another factor that contributes to higher costs in periodically monitoring the control channel for DL grants or control messages</w:t>
      </w:r>
      <w:r w:rsidR="00F7319B">
        <w:rPr>
          <w:sz w:val="20"/>
        </w:rPr>
        <w:t xml:space="preserve"> during DRX ON periods</w:t>
      </w:r>
      <w:r w:rsidR="001A57BD">
        <w:rPr>
          <w:sz w:val="20"/>
        </w:rPr>
        <w:t>.</w:t>
      </w:r>
      <w:r w:rsidR="00F7319B">
        <w:rPr>
          <w:sz w:val="20"/>
        </w:rPr>
        <w:t xml:space="preserve"> Figure 1 shows that every time the UE wakes up to monitor the PO from a sleep state, it must spend some time to re-synchronize itself with the channel, which is indicated by T</w:t>
      </w:r>
      <w:r w:rsidR="00F7319B">
        <w:rPr>
          <w:sz w:val="20"/>
          <w:vertAlign w:val="subscript"/>
        </w:rPr>
        <w:t>P</w:t>
      </w:r>
      <w:r w:rsidR="00F7319B" w:rsidRPr="00F7319B">
        <w:rPr>
          <w:sz w:val="20"/>
          <w:vertAlign w:val="subscript"/>
        </w:rPr>
        <w:t xml:space="preserve">rep_PO </w:t>
      </w:r>
      <w:r w:rsidR="00F7319B">
        <w:rPr>
          <w:sz w:val="20"/>
        </w:rPr>
        <w:t>in figure 1.</w:t>
      </w:r>
      <w:r w:rsidR="001A57BD">
        <w:rPr>
          <w:sz w:val="20"/>
        </w:rPr>
        <w:t xml:space="preserve"> </w:t>
      </w:r>
    </w:p>
    <w:p w14:paraId="54B5BDBA" w14:textId="67C8CC9C" w:rsidR="001B4C46" w:rsidRPr="00282882" w:rsidRDefault="007E5196" w:rsidP="001B4C46">
      <w:pPr>
        <w:spacing w:after="0"/>
        <w:jc w:val="center"/>
        <w:rPr>
          <w:rFonts w:ascii="Arial" w:hAnsi="Arial" w:cs="Arial"/>
        </w:rPr>
      </w:pPr>
      <w:r>
        <w:object w:dxaOrig="16296" w:dyaOrig="7405" w14:anchorId="1D6A6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in" o:ole="">
            <v:imagedata r:id="rId7" o:title=""/>
          </v:shape>
          <o:OLEObject Type="Embed" ProgID="Visio.Drawing.15" ShapeID="_x0000_i1025" DrawAspect="Content" ObjectID="_1551910191" r:id="rId8"/>
        </w:object>
      </w:r>
      <w:r>
        <w:rPr>
          <w:noProof/>
          <w:lang w:val="en-US" w:eastAsia="en-US"/>
        </w:rPr>
        <w:t xml:space="preserve"> </w:t>
      </w:r>
    </w:p>
    <w:p w14:paraId="5B3C7032" w14:textId="613B1F8A" w:rsidR="001B4C46" w:rsidRPr="00C42FBF" w:rsidRDefault="001B4C46" w:rsidP="001B4C46">
      <w:pPr>
        <w:pStyle w:val="Caption"/>
        <w:ind w:hanging="432"/>
        <w:rPr>
          <w:sz w:val="20"/>
        </w:rPr>
      </w:pPr>
      <w:bookmarkStart w:id="5" w:name="_Ref425337423"/>
      <w:r w:rsidRPr="00C42FBF">
        <w:rPr>
          <w:sz w:val="20"/>
        </w:rPr>
        <w:t xml:space="preserve">Figure </w:t>
      </w:r>
      <w:r w:rsidR="00372EB8" w:rsidRPr="00C42FBF">
        <w:rPr>
          <w:sz w:val="20"/>
        </w:rPr>
        <w:fldChar w:fldCharType="begin"/>
      </w:r>
      <w:r w:rsidRPr="00C42FBF">
        <w:rPr>
          <w:sz w:val="20"/>
        </w:rPr>
        <w:instrText xml:space="preserve"> SEQ Figure \* ARABIC </w:instrText>
      </w:r>
      <w:r w:rsidR="00372EB8" w:rsidRPr="00C42FBF">
        <w:rPr>
          <w:sz w:val="20"/>
        </w:rPr>
        <w:fldChar w:fldCharType="separate"/>
      </w:r>
      <w:r w:rsidR="00462AFD" w:rsidRPr="00C42FBF">
        <w:rPr>
          <w:noProof/>
          <w:sz w:val="20"/>
        </w:rPr>
        <w:t>1</w:t>
      </w:r>
      <w:r w:rsidR="00372EB8" w:rsidRPr="00C42FBF">
        <w:rPr>
          <w:noProof/>
          <w:sz w:val="20"/>
        </w:rPr>
        <w:fldChar w:fldCharType="end"/>
      </w:r>
      <w:bookmarkEnd w:id="5"/>
      <w:r w:rsidRPr="00C42FBF">
        <w:rPr>
          <w:sz w:val="20"/>
        </w:rPr>
        <w:t xml:space="preserve">: </w:t>
      </w:r>
      <w:r w:rsidR="007E5196" w:rsidRPr="00C42FBF">
        <w:rPr>
          <w:sz w:val="20"/>
        </w:rPr>
        <w:t>Idle eDRX</w:t>
      </w:r>
      <w:r w:rsidR="0069028F" w:rsidRPr="00C42FBF">
        <w:rPr>
          <w:sz w:val="20"/>
        </w:rPr>
        <w:t>.</w:t>
      </w:r>
      <w:r w:rsidRPr="00C42FBF">
        <w:rPr>
          <w:sz w:val="20"/>
        </w:rPr>
        <w:t xml:space="preserve"> </w:t>
      </w:r>
    </w:p>
    <w:p w14:paraId="29A36FDD" w14:textId="77777777" w:rsidR="007E5196" w:rsidRDefault="007E5196" w:rsidP="007E5196"/>
    <w:p w14:paraId="74844E37" w14:textId="21237BB8" w:rsidR="007E5196" w:rsidRPr="007E5196" w:rsidRDefault="00F7319B" w:rsidP="007E5196">
      <w:r>
        <w:object w:dxaOrig="16692" w:dyaOrig="8304" w14:anchorId="359522B0">
          <v:shape id="_x0000_i1026" type="#_x0000_t75" style="width:479.8pt;height:240.2pt" o:ole="">
            <v:imagedata r:id="rId9" o:title=""/>
          </v:shape>
          <o:OLEObject Type="Embed" ProgID="Visio.Drawing.15" ShapeID="_x0000_i1026" DrawAspect="Content" ObjectID="_1551910192" r:id="rId10"/>
        </w:object>
      </w:r>
    </w:p>
    <w:p w14:paraId="1078802F" w14:textId="40D3C19E" w:rsidR="0069028F" w:rsidRPr="00C42FBF" w:rsidRDefault="007E5196" w:rsidP="00C42FBF">
      <w:pPr>
        <w:tabs>
          <w:tab w:val="left" w:pos="5245"/>
        </w:tabs>
        <w:jc w:val="center"/>
        <w:rPr>
          <w:b/>
          <w:sz w:val="20"/>
        </w:rPr>
      </w:pPr>
      <w:r w:rsidRPr="00C42FBF">
        <w:rPr>
          <w:b/>
          <w:sz w:val="20"/>
        </w:rPr>
        <w:t xml:space="preserve">Figure 2: Use WUR to monitor WUS for </w:t>
      </w:r>
      <w:r w:rsidR="00A74E45" w:rsidRPr="00C42FBF">
        <w:rPr>
          <w:b/>
          <w:sz w:val="20"/>
        </w:rPr>
        <w:t>N</w:t>
      </w:r>
      <w:r w:rsidRPr="00C42FBF">
        <w:rPr>
          <w:b/>
          <w:sz w:val="20"/>
        </w:rPr>
        <w:t>PDCCH wake-up</w:t>
      </w:r>
    </w:p>
    <w:p w14:paraId="2930DBC0" w14:textId="77777777" w:rsidR="007E5196" w:rsidRDefault="007E5196" w:rsidP="0069028F">
      <w:pPr>
        <w:tabs>
          <w:tab w:val="left" w:pos="5245"/>
        </w:tabs>
        <w:rPr>
          <w:rFonts w:ascii="Arial" w:hAnsi="Arial" w:cs="Arial"/>
          <w:b/>
          <w:sz w:val="20"/>
        </w:rPr>
      </w:pPr>
    </w:p>
    <w:p w14:paraId="226DE15B" w14:textId="62580611" w:rsidR="00D62F33" w:rsidRPr="00C42FBF" w:rsidRDefault="00D62F33" w:rsidP="00D62F33">
      <w:pPr>
        <w:tabs>
          <w:tab w:val="left" w:pos="5245"/>
        </w:tabs>
        <w:rPr>
          <w:sz w:val="20"/>
        </w:rPr>
      </w:pPr>
      <w:r w:rsidRPr="00C42FBF">
        <w:rPr>
          <w:sz w:val="20"/>
        </w:rPr>
        <w:t xml:space="preserve">In [10], it was shown that there are still cases where traffic arrives every 2hrs, the battery lifetime requirements are not met and DL reachability factors and their impact has not been fully accounted for. Although I-eDRX reduces power consumption, paging still consumes a significant amount of energy as the devices spend a large portion of their time monitoring the </w:t>
      </w:r>
      <w:r w:rsidR="00FF2DBA" w:rsidRPr="00C42FBF">
        <w:rPr>
          <w:sz w:val="20"/>
        </w:rPr>
        <w:t>N</w:t>
      </w:r>
      <w:r w:rsidRPr="00C42FBF">
        <w:rPr>
          <w:sz w:val="20"/>
        </w:rPr>
        <w:t xml:space="preserve">PDCCH for paging messages [6]. Thus, reducing power consumption is now a trade-off with added latency or no downlink reachability for large periods of time (PSM), which may be unacceptable for many IoT use cases such as for example, </w:t>
      </w:r>
      <w:r w:rsidR="001E0225" w:rsidRPr="00C42FBF">
        <w:rPr>
          <w:sz w:val="20"/>
        </w:rPr>
        <w:t>an actuator device that gets triggered when the the cloud detects a certain condition</w:t>
      </w:r>
      <w:r w:rsidRPr="00C42FBF">
        <w:rPr>
          <w:sz w:val="20"/>
        </w:rPr>
        <w:t xml:space="preserve">. The use cases that are particularly relevant here show the following characteristics: </w:t>
      </w:r>
    </w:p>
    <w:p w14:paraId="6C6B3147" w14:textId="6759E0A9" w:rsidR="00D62F33" w:rsidRPr="00C42FBF" w:rsidRDefault="00A74E45" w:rsidP="00D62F33">
      <w:pPr>
        <w:pStyle w:val="ListParagraph"/>
        <w:numPr>
          <w:ilvl w:val="0"/>
          <w:numId w:val="7"/>
        </w:numPr>
        <w:tabs>
          <w:tab w:val="left" w:pos="5245"/>
        </w:tabs>
        <w:jc w:val="both"/>
        <w:rPr>
          <w:i/>
          <w:sz w:val="20"/>
        </w:rPr>
      </w:pPr>
      <w:r w:rsidRPr="00C42FBF">
        <w:rPr>
          <w:i/>
          <w:sz w:val="20"/>
        </w:rPr>
        <w:t>I</w:t>
      </w:r>
      <w:r w:rsidR="00D62F33" w:rsidRPr="00C42FBF">
        <w:rPr>
          <w:i/>
          <w:sz w:val="20"/>
        </w:rPr>
        <w:t xml:space="preserve">nfrequent DL traffic, </w:t>
      </w:r>
      <w:r w:rsidR="001E0225" w:rsidRPr="00C42FBF">
        <w:rPr>
          <w:i/>
          <w:sz w:val="20"/>
        </w:rPr>
        <w:t xml:space="preserve"> where IATs are typically in the order of several minutes, &gt; 10 minutes</w:t>
      </w:r>
    </w:p>
    <w:p w14:paraId="674E6D19" w14:textId="57913E3A" w:rsidR="00D62F33" w:rsidRPr="00C42FBF" w:rsidRDefault="00D62F33" w:rsidP="00D62F33">
      <w:pPr>
        <w:pStyle w:val="ListParagraph"/>
        <w:numPr>
          <w:ilvl w:val="0"/>
          <w:numId w:val="7"/>
        </w:numPr>
        <w:tabs>
          <w:tab w:val="left" w:pos="5245"/>
        </w:tabs>
        <w:jc w:val="both"/>
        <w:rPr>
          <w:i/>
          <w:sz w:val="20"/>
        </w:rPr>
      </w:pPr>
      <w:r w:rsidRPr="00C42FBF">
        <w:rPr>
          <w:i/>
          <w:sz w:val="20"/>
        </w:rPr>
        <w:t>DL reachability is a consideration, i.e. latency within several seconds &lt; 10s is desirable.</w:t>
      </w:r>
    </w:p>
    <w:p w14:paraId="46BC3F1C" w14:textId="77777777" w:rsidR="00D62F33" w:rsidRPr="00F35BFE" w:rsidRDefault="00D62F33" w:rsidP="00D62F33">
      <w:pPr>
        <w:pStyle w:val="ListParagraph"/>
        <w:ind w:left="1440"/>
        <w:jc w:val="both"/>
        <w:rPr>
          <w:i/>
        </w:rPr>
      </w:pPr>
    </w:p>
    <w:p w14:paraId="3ECDE5A5" w14:textId="77777777" w:rsidR="00D62F33" w:rsidRDefault="00D62F33" w:rsidP="00D62F33">
      <w:pPr>
        <w:pStyle w:val="Heading2"/>
        <w:numPr>
          <w:ilvl w:val="1"/>
          <w:numId w:val="4"/>
        </w:numPr>
        <w:jc w:val="both"/>
        <w:textAlignment w:val="auto"/>
      </w:pPr>
      <w:r>
        <w:lastRenderedPageBreak/>
        <w:t xml:space="preserve">Wake-up signals  </w:t>
      </w:r>
    </w:p>
    <w:p w14:paraId="7BEFC7ED" w14:textId="4C22DF92" w:rsidR="00D62F33" w:rsidRPr="00C42FBF" w:rsidRDefault="00D62F33" w:rsidP="00D62F33">
      <w:pPr>
        <w:pStyle w:val="ListParagraph"/>
        <w:ind w:left="0"/>
        <w:jc w:val="both"/>
        <w:rPr>
          <w:rFonts w:eastAsia="SimSun"/>
          <w:sz w:val="20"/>
          <w:szCs w:val="20"/>
          <w:lang w:val="en-GB" w:eastAsia="zh-CN"/>
        </w:rPr>
      </w:pPr>
      <w:r w:rsidRPr="00C42FBF">
        <w:rPr>
          <w:rFonts w:eastAsia="SimSun"/>
          <w:sz w:val="20"/>
          <w:szCs w:val="20"/>
          <w:lang w:val="en-GB" w:eastAsia="zh-CN"/>
        </w:rPr>
        <w:t xml:space="preserve">To further reduce power consumption involved in monitoring DL control channels, we need to look at other mechanisms such as lowering the active power consumption of monitoring the </w:t>
      </w:r>
      <w:r w:rsidR="00A74E45" w:rsidRPr="00C42FBF">
        <w:rPr>
          <w:rFonts w:eastAsia="SimSun"/>
          <w:sz w:val="20"/>
          <w:szCs w:val="20"/>
          <w:lang w:val="en-GB" w:eastAsia="zh-CN"/>
        </w:rPr>
        <w:t>N</w:t>
      </w:r>
      <w:r w:rsidRPr="00C42FBF">
        <w:rPr>
          <w:rFonts w:eastAsia="SimSun"/>
          <w:sz w:val="20"/>
          <w:szCs w:val="20"/>
          <w:lang w:val="en-GB" w:eastAsia="zh-CN"/>
        </w:rPr>
        <w:t xml:space="preserve">PDCCH through the use of simpler signals and dedicated channels. Thus, we introduce the idea of a wake-up receiver (WUR) which is a low-power receiver that monitors the wake-up signal (WUS) which basically allows the device to operate in low power modes as shown in figure 2. </w:t>
      </w:r>
    </w:p>
    <w:p w14:paraId="38D5B8E6" w14:textId="77777777" w:rsidR="00D62F33" w:rsidRPr="00C42FBF" w:rsidRDefault="00D62F33" w:rsidP="00D62F33">
      <w:pPr>
        <w:pStyle w:val="ListParagraph"/>
        <w:ind w:left="0"/>
        <w:jc w:val="both"/>
        <w:rPr>
          <w:rFonts w:eastAsia="SimSun"/>
          <w:sz w:val="20"/>
          <w:szCs w:val="20"/>
          <w:lang w:val="en-GB" w:eastAsia="zh-CN"/>
        </w:rPr>
      </w:pPr>
    </w:p>
    <w:p w14:paraId="7A23154F" w14:textId="77777777" w:rsidR="00D62F33" w:rsidRPr="00C42FBF" w:rsidRDefault="00D62F33" w:rsidP="00D62F33">
      <w:pPr>
        <w:pStyle w:val="ListParagraph"/>
        <w:ind w:left="0"/>
        <w:jc w:val="both"/>
        <w:rPr>
          <w:rFonts w:eastAsia="SimSun"/>
          <w:sz w:val="20"/>
          <w:szCs w:val="20"/>
          <w:lang w:val="en-GB" w:eastAsia="zh-CN"/>
        </w:rPr>
      </w:pPr>
      <w:r w:rsidRPr="00C42FBF">
        <w:rPr>
          <w:rFonts w:eastAsia="SimSun"/>
          <w:sz w:val="20"/>
          <w:szCs w:val="20"/>
          <w:lang w:val="en-GB" w:eastAsia="zh-CN"/>
        </w:rPr>
        <w:t>Some of the potential power optimizations that can occur through the use of WUR are:</w:t>
      </w:r>
    </w:p>
    <w:p w14:paraId="2EF57C06" w14:textId="7E0C964C" w:rsidR="00D62F33" w:rsidRPr="00C42FBF" w:rsidRDefault="00D62F33" w:rsidP="00D62F33">
      <w:pPr>
        <w:pStyle w:val="ListParagraph"/>
        <w:numPr>
          <w:ilvl w:val="0"/>
          <w:numId w:val="8"/>
        </w:numPr>
        <w:jc w:val="both"/>
        <w:rPr>
          <w:rFonts w:eastAsia="SimSun"/>
          <w:sz w:val="20"/>
          <w:szCs w:val="20"/>
          <w:lang w:val="en-GB" w:eastAsia="zh-CN"/>
        </w:rPr>
      </w:pPr>
      <w:r w:rsidRPr="00C42FBF">
        <w:rPr>
          <w:rFonts w:eastAsia="SimSun"/>
          <w:sz w:val="20"/>
          <w:szCs w:val="20"/>
          <w:lang w:val="en-GB" w:eastAsia="zh-CN"/>
        </w:rPr>
        <w:t xml:space="preserve">Reducing the power consumed during active monitoring of </w:t>
      </w:r>
      <w:r w:rsidR="00A74E45" w:rsidRPr="00C42FBF">
        <w:rPr>
          <w:rFonts w:eastAsia="SimSun"/>
          <w:sz w:val="20"/>
          <w:szCs w:val="20"/>
          <w:lang w:val="en-GB" w:eastAsia="zh-CN"/>
        </w:rPr>
        <w:t>N</w:t>
      </w:r>
      <w:r w:rsidRPr="00C42FBF">
        <w:rPr>
          <w:rFonts w:eastAsia="SimSun"/>
          <w:sz w:val="20"/>
          <w:szCs w:val="20"/>
          <w:lang w:val="en-GB" w:eastAsia="zh-CN"/>
        </w:rPr>
        <w:t xml:space="preserve">PDCCH in either RRC_Connected or RRC_Idle state by using a simple wake-up signal dedicated for this purpose alone that doesn’t require the complex mechanism of blind decoding of NPDCCH etc. </w:t>
      </w:r>
    </w:p>
    <w:p w14:paraId="1AA3C3A1" w14:textId="77777777" w:rsidR="00D62F33" w:rsidRPr="00C42FBF" w:rsidRDefault="00D62F33" w:rsidP="00D62F33">
      <w:pPr>
        <w:pStyle w:val="ListParagraph"/>
        <w:numPr>
          <w:ilvl w:val="0"/>
          <w:numId w:val="8"/>
        </w:numPr>
        <w:jc w:val="both"/>
        <w:rPr>
          <w:rFonts w:eastAsia="SimSun"/>
          <w:sz w:val="20"/>
          <w:szCs w:val="20"/>
          <w:lang w:val="en-GB" w:eastAsia="zh-CN"/>
        </w:rPr>
      </w:pPr>
      <w:r w:rsidRPr="00C42FBF">
        <w:rPr>
          <w:rFonts w:eastAsia="SimSun"/>
          <w:sz w:val="20"/>
          <w:szCs w:val="20"/>
          <w:lang w:val="en-GB" w:eastAsia="zh-CN"/>
        </w:rPr>
        <w:t>Being able to power down the receiver to deeper sleep states by allowing the receiver baseband processing modules to be shut down.</w:t>
      </w:r>
    </w:p>
    <w:p w14:paraId="1794BBFA" w14:textId="77777777" w:rsidR="00D62F33" w:rsidRPr="00C42FBF" w:rsidRDefault="00D62F33" w:rsidP="00D62F33">
      <w:pPr>
        <w:pStyle w:val="ListParagraph"/>
        <w:numPr>
          <w:ilvl w:val="0"/>
          <w:numId w:val="8"/>
        </w:numPr>
        <w:jc w:val="both"/>
        <w:rPr>
          <w:rFonts w:eastAsia="SimSun"/>
          <w:sz w:val="20"/>
          <w:szCs w:val="20"/>
          <w:lang w:val="en-GB" w:eastAsia="zh-CN"/>
        </w:rPr>
      </w:pPr>
      <w:r w:rsidRPr="00C42FBF">
        <w:rPr>
          <w:rFonts w:eastAsia="SimSun"/>
          <w:sz w:val="20"/>
          <w:szCs w:val="20"/>
          <w:lang w:val="en-GB" w:eastAsia="zh-CN"/>
        </w:rPr>
        <w:t>Reducing the time spent in active state by reducing the processing complexity for the wake-up signal (by for example using a signal that requires a non-coherent detection mechanism).</w:t>
      </w:r>
    </w:p>
    <w:p w14:paraId="3FFC1A0C" w14:textId="77777777" w:rsidR="00D62F33" w:rsidRPr="00C42FBF" w:rsidRDefault="00D62F33" w:rsidP="00D62F33">
      <w:pPr>
        <w:pStyle w:val="ListParagraph"/>
        <w:ind w:left="0"/>
        <w:jc w:val="both"/>
        <w:rPr>
          <w:rFonts w:eastAsia="SimSun"/>
          <w:sz w:val="20"/>
          <w:szCs w:val="20"/>
          <w:lang w:val="en-GB" w:eastAsia="zh-CN"/>
        </w:rPr>
      </w:pPr>
    </w:p>
    <w:p w14:paraId="458008FD" w14:textId="57ECB8F5" w:rsidR="00D62F33" w:rsidRPr="00C42FBF" w:rsidRDefault="00D62F33" w:rsidP="00D62F33">
      <w:pPr>
        <w:tabs>
          <w:tab w:val="left" w:pos="5245"/>
        </w:tabs>
        <w:rPr>
          <w:i/>
          <w:sz w:val="20"/>
        </w:rPr>
      </w:pPr>
      <w:r w:rsidRPr="00C42FBF">
        <w:rPr>
          <w:b/>
          <w:sz w:val="20"/>
        </w:rPr>
        <w:t xml:space="preserve">Proposal 1: Aim to define a wake-up receiver/signal design that enables the </w:t>
      </w:r>
      <w:r w:rsidR="00AC442B" w:rsidRPr="00C42FBF">
        <w:rPr>
          <w:b/>
          <w:sz w:val="20"/>
        </w:rPr>
        <w:t xml:space="preserve">feNB-IoT </w:t>
      </w:r>
      <w:r w:rsidRPr="00C42FBF">
        <w:rPr>
          <w:b/>
          <w:sz w:val="20"/>
        </w:rPr>
        <w:t xml:space="preserve">UE to avoid monitoring the </w:t>
      </w:r>
      <w:r w:rsidR="00A74E45" w:rsidRPr="00C42FBF">
        <w:rPr>
          <w:b/>
          <w:sz w:val="20"/>
        </w:rPr>
        <w:t>N</w:t>
      </w:r>
      <w:r w:rsidRPr="00C42FBF">
        <w:rPr>
          <w:b/>
          <w:sz w:val="20"/>
        </w:rPr>
        <w:t xml:space="preserve">PDCCH during DRX ON periods either during RRC_Connected or RRC_Idle modes to reduce UE power consumption. The </w:t>
      </w:r>
      <w:r w:rsidR="001F6AD7" w:rsidRPr="00C42FBF">
        <w:rPr>
          <w:b/>
          <w:sz w:val="20"/>
        </w:rPr>
        <w:t xml:space="preserve">monitoring instances for </w:t>
      </w:r>
      <w:r w:rsidRPr="00C42FBF">
        <w:rPr>
          <w:b/>
          <w:sz w:val="20"/>
        </w:rPr>
        <w:t>WUS can also be periodically duty-cycled in a manner similar to DRX operation. Details FFS.</w:t>
      </w:r>
      <w:r w:rsidRPr="00C42FBF" w:rsidDel="00F43EDA">
        <w:rPr>
          <w:b/>
          <w:sz w:val="20"/>
        </w:rPr>
        <w:t xml:space="preserve"> </w:t>
      </w:r>
    </w:p>
    <w:p w14:paraId="0F666C9D" w14:textId="77777777" w:rsidR="00D62F33" w:rsidRPr="00DA324C" w:rsidRDefault="00D62F33" w:rsidP="0069028F">
      <w:pPr>
        <w:tabs>
          <w:tab w:val="left" w:pos="5245"/>
        </w:tabs>
        <w:rPr>
          <w:rFonts w:ascii="Arial" w:hAnsi="Arial" w:cs="Arial"/>
          <w:sz w:val="20"/>
        </w:rPr>
      </w:pPr>
    </w:p>
    <w:p w14:paraId="48D7D50E" w14:textId="6994E01B" w:rsidR="00D01723" w:rsidRPr="00D62F33" w:rsidRDefault="0069028F" w:rsidP="00D62F33">
      <w:pPr>
        <w:pStyle w:val="Heading2"/>
        <w:numPr>
          <w:ilvl w:val="1"/>
          <w:numId w:val="4"/>
        </w:numPr>
      </w:pPr>
      <w:r w:rsidRPr="00462AFD">
        <w:t>Evaluation assumptions</w:t>
      </w:r>
    </w:p>
    <w:p w14:paraId="4FEC96ED" w14:textId="3D00C9D4" w:rsidR="00A0763E" w:rsidRPr="00C42FBF" w:rsidRDefault="00AC442B" w:rsidP="00A0763E">
      <w:pPr>
        <w:rPr>
          <w:sz w:val="20"/>
        </w:rPr>
      </w:pPr>
      <w:r w:rsidRPr="00C42FBF">
        <w:rPr>
          <w:sz w:val="20"/>
        </w:rPr>
        <w:t xml:space="preserve">Table 1 presents the assumptions regarding the power consumption values that may be achievable through the use of a WUR. Note the values for WUR are projections only, </w:t>
      </w:r>
      <w:r w:rsidR="00A74E45" w:rsidRPr="00C42FBF">
        <w:rPr>
          <w:sz w:val="20"/>
        </w:rPr>
        <w:t xml:space="preserve">and </w:t>
      </w:r>
      <w:r w:rsidRPr="00C42FBF">
        <w:rPr>
          <w:sz w:val="20"/>
        </w:rPr>
        <w:t xml:space="preserve">the values for I-eDRX are derived from power models used in [3] for I-eDRX. The values for WUR are based on the optimizations described in the previous section. This analysis does not include </w:t>
      </w:r>
      <w:r w:rsidR="00A74E45" w:rsidRPr="00C42FBF">
        <w:rPr>
          <w:sz w:val="20"/>
        </w:rPr>
        <w:t xml:space="preserve">coverage enhancement impacts and </w:t>
      </w:r>
      <w:r w:rsidRPr="00C42FBF">
        <w:rPr>
          <w:sz w:val="20"/>
        </w:rPr>
        <w:t>mobility related activity such as cell measurements and their power consumption impact</w:t>
      </w:r>
      <w:r w:rsidR="00A74E45" w:rsidRPr="00C42FBF">
        <w:rPr>
          <w:sz w:val="20"/>
        </w:rPr>
        <w:t>,</w:t>
      </w:r>
      <w:r w:rsidRPr="00C42FBF">
        <w:rPr>
          <w:sz w:val="20"/>
        </w:rPr>
        <w:t xml:space="preserve"> and </w:t>
      </w:r>
      <w:r w:rsidR="00A74E45" w:rsidRPr="00C42FBF">
        <w:rPr>
          <w:sz w:val="20"/>
        </w:rPr>
        <w:t xml:space="preserve">these </w:t>
      </w:r>
      <w:r w:rsidRPr="00C42FBF">
        <w:rPr>
          <w:sz w:val="20"/>
        </w:rPr>
        <w:t>will be considered for future contributions.</w:t>
      </w:r>
    </w:p>
    <w:p w14:paraId="4266DF89" w14:textId="77777777" w:rsidR="00A0763E" w:rsidRPr="00C42FBF" w:rsidRDefault="00A0763E" w:rsidP="00A0763E">
      <w:pPr>
        <w:rPr>
          <w:sz w:val="20"/>
        </w:rPr>
      </w:pPr>
    </w:p>
    <w:tbl>
      <w:tblPr>
        <w:tblStyle w:val="TableGrid"/>
        <w:tblW w:w="8455" w:type="dxa"/>
        <w:tblLook w:val="04A0" w:firstRow="1" w:lastRow="0" w:firstColumn="1" w:lastColumn="0" w:noHBand="0" w:noVBand="1"/>
      </w:tblPr>
      <w:tblGrid>
        <w:gridCol w:w="1885"/>
        <w:gridCol w:w="2340"/>
        <w:gridCol w:w="2160"/>
        <w:gridCol w:w="2070"/>
      </w:tblGrid>
      <w:tr w:rsidR="00A0763E" w:rsidRPr="00C42FBF" w14:paraId="4FBA4C8D" w14:textId="77777777" w:rsidTr="002D369C">
        <w:tc>
          <w:tcPr>
            <w:tcW w:w="1885" w:type="dxa"/>
          </w:tcPr>
          <w:p w14:paraId="236AC4EF" w14:textId="77777777" w:rsidR="00A0763E" w:rsidRPr="00C42FBF" w:rsidRDefault="00A0763E" w:rsidP="002D369C">
            <w:pPr>
              <w:pStyle w:val="ListParagraph"/>
              <w:ind w:left="0"/>
              <w:rPr>
                <w:i/>
                <w:sz w:val="20"/>
                <w:szCs w:val="20"/>
              </w:rPr>
            </w:pPr>
          </w:p>
        </w:tc>
        <w:tc>
          <w:tcPr>
            <w:tcW w:w="2340" w:type="dxa"/>
          </w:tcPr>
          <w:p w14:paraId="5211C9D5" w14:textId="77777777" w:rsidR="00A0763E" w:rsidRPr="00C42FBF" w:rsidRDefault="00A0763E" w:rsidP="002D369C">
            <w:pPr>
              <w:tabs>
                <w:tab w:val="left" w:pos="5245"/>
              </w:tabs>
              <w:rPr>
                <w:sz w:val="20"/>
                <w:lang w:val="en-US"/>
              </w:rPr>
            </w:pPr>
            <w:r w:rsidRPr="00C42FBF">
              <w:rPr>
                <w:b/>
                <w:bCs/>
                <w:sz w:val="20"/>
                <w:lang w:val="en-US"/>
              </w:rPr>
              <w:t>I-eDRX</w:t>
            </w:r>
          </w:p>
        </w:tc>
        <w:tc>
          <w:tcPr>
            <w:tcW w:w="2160" w:type="dxa"/>
          </w:tcPr>
          <w:p w14:paraId="0F78D563" w14:textId="77777777" w:rsidR="00A0763E" w:rsidRPr="00C42FBF" w:rsidRDefault="00A0763E" w:rsidP="002D369C">
            <w:pPr>
              <w:pStyle w:val="ListParagraph"/>
              <w:ind w:left="0"/>
              <w:rPr>
                <w:i/>
                <w:sz w:val="20"/>
                <w:szCs w:val="20"/>
              </w:rPr>
            </w:pPr>
            <w:r w:rsidRPr="00C42FBF">
              <w:rPr>
                <w:b/>
                <w:bCs/>
                <w:sz w:val="20"/>
                <w:szCs w:val="20"/>
              </w:rPr>
              <w:t>WUR-1</w:t>
            </w:r>
          </w:p>
        </w:tc>
        <w:tc>
          <w:tcPr>
            <w:tcW w:w="2070" w:type="dxa"/>
          </w:tcPr>
          <w:p w14:paraId="299EE4BF" w14:textId="77777777" w:rsidR="00A0763E" w:rsidRPr="00C42FBF" w:rsidRDefault="00A0763E" w:rsidP="002D369C">
            <w:pPr>
              <w:pStyle w:val="ListParagraph"/>
              <w:ind w:left="0"/>
              <w:rPr>
                <w:i/>
                <w:sz w:val="20"/>
                <w:szCs w:val="20"/>
              </w:rPr>
            </w:pPr>
            <w:r w:rsidRPr="00C42FBF">
              <w:rPr>
                <w:b/>
                <w:bCs/>
                <w:sz w:val="20"/>
                <w:szCs w:val="20"/>
              </w:rPr>
              <w:t>WUR-2</w:t>
            </w:r>
          </w:p>
        </w:tc>
      </w:tr>
      <w:tr w:rsidR="00AC442B" w:rsidRPr="00C42FBF" w14:paraId="295FB18B" w14:textId="77777777" w:rsidTr="002D369C">
        <w:tc>
          <w:tcPr>
            <w:tcW w:w="1885" w:type="dxa"/>
            <w:vAlign w:val="center"/>
          </w:tcPr>
          <w:p w14:paraId="39179CE8" w14:textId="46FA1C12" w:rsidR="00AC442B" w:rsidRPr="00C42FBF" w:rsidRDefault="00AC442B" w:rsidP="00AC442B">
            <w:pPr>
              <w:pStyle w:val="ListParagraph"/>
              <w:ind w:left="0"/>
              <w:rPr>
                <w:i/>
                <w:sz w:val="20"/>
                <w:szCs w:val="20"/>
              </w:rPr>
            </w:pPr>
            <w:r w:rsidRPr="00C42FBF">
              <w:rPr>
                <w:b/>
                <w:bCs/>
                <w:sz w:val="20"/>
                <w:szCs w:val="20"/>
              </w:rPr>
              <w:t>P</w:t>
            </w:r>
            <w:r w:rsidRPr="00C42FBF">
              <w:rPr>
                <w:b/>
                <w:bCs/>
                <w:sz w:val="20"/>
                <w:szCs w:val="20"/>
                <w:vertAlign w:val="subscript"/>
              </w:rPr>
              <w:t>Rx</w:t>
            </w:r>
          </w:p>
        </w:tc>
        <w:tc>
          <w:tcPr>
            <w:tcW w:w="2340" w:type="dxa"/>
            <w:vAlign w:val="center"/>
          </w:tcPr>
          <w:p w14:paraId="59EB4865" w14:textId="77777777" w:rsidR="00AC442B" w:rsidRPr="00C42FBF" w:rsidRDefault="00AC442B" w:rsidP="00AC442B">
            <w:pPr>
              <w:pStyle w:val="ListParagraph"/>
              <w:ind w:left="0"/>
              <w:rPr>
                <w:i/>
                <w:sz w:val="20"/>
                <w:szCs w:val="20"/>
              </w:rPr>
            </w:pPr>
            <w:r w:rsidRPr="00C42FBF">
              <w:rPr>
                <w:sz w:val="20"/>
                <w:szCs w:val="20"/>
              </w:rPr>
              <w:t>1 unit/ms</w:t>
            </w:r>
          </w:p>
        </w:tc>
        <w:tc>
          <w:tcPr>
            <w:tcW w:w="2160" w:type="dxa"/>
          </w:tcPr>
          <w:p w14:paraId="32453BE9" w14:textId="77777777" w:rsidR="00AC442B" w:rsidRPr="00C42FBF" w:rsidRDefault="00AC442B" w:rsidP="00AC442B">
            <w:pPr>
              <w:pStyle w:val="ListParagraph"/>
              <w:ind w:left="0"/>
              <w:rPr>
                <w:i/>
                <w:sz w:val="20"/>
                <w:szCs w:val="20"/>
              </w:rPr>
            </w:pPr>
            <w:r w:rsidRPr="00C42FBF">
              <w:rPr>
                <w:sz w:val="20"/>
                <w:szCs w:val="20"/>
              </w:rPr>
              <w:t>0.8 unit/ms</w:t>
            </w:r>
          </w:p>
        </w:tc>
        <w:tc>
          <w:tcPr>
            <w:tcW w:w="2070" w:type="dxa"/>
          </w:tcPr>
          <w:p w14:paraId="25181EBB" w14:textId="77777777" w:rsidR="00AC442B" w:rsidRPr="00C42FBF" w:rsidRDefault="00AC442B" w:rsidP="00AC442B">
            <w:pPr>
              <w:pStyle w:val="ListParagraph"/>
              <w:ind w:left="0"/>
              <w:rPr>
                <w:i/>
                <w:sz w:val="20"/>
                <w:szCs w:val="20"/>
              </w:rPr>
            </w:pPr>
            <w:r w:rsidRPr="00C42FBF">
              <w:rPr>
                <w:sz w:val="20"/>
                <w:szCs w:val="20"/>
              </w:rPr>
              <w:t>0.8 units/ms</w:t>
            </w:r>
          </w:p>
        </w:tc>
      </w:tr>
      <w:tr w:rsidR="00AC442B" w:rsidRPr="00C42FBF" w14:paraId="56FCE492" w14:textId="77777777" w:rsidTr="002D369C">
        <w:tc>
          <w:tcPr>
            <w:tcW w:w="1885" w:type="dxa"/>
          </w:tcPr>
          <w:p w14:paraId="572AF185" w14:textId="04E2A3EA" w:rsidR="00AC442B" w:rsidRPr="00C42FBF" w:rsidRDefault="00AC442B" w:rsidP="00AC442B">
            <w:pPr>
              <w:pStyle w:val="ListParagraph"/>
              <w:ind w:left="0"/>
              <w:rPr>
                <w:i/>
                <w:sz w:val="20"/>
                <w:szCs w:val="20"/>
              </w:rPr>
            </w:pPr>
            <w:r w:rsidRPr="00C42FBF">
              <w:rPr>
                <w:b/>
                <w:bCs/>
                <w:sz w:val="20"/>
                <w:szCs w:val="20"/>
              </w:rPr>
              <w:t>Light Sleep</w:t>
            </w:r>
          </w:p>
        </w:tc>
        <w:tc>
          <w:tcPr>
            <w:tcW w:w="2340" w:type="dxa"/>
          </w:tcPr>
          <w:p w14:paraId="258054DC" w14:textId="77777777" w:rsidR="00AC442B" w:rsidRPr="00C42FBF" w:rsidRDefault="00AC442B" w:rsidP="00AC442B">
            <w:pPr>
              <w:pStyle w:val="ListParagraph"/>
              <w:ind w:left="0"/>
              <w:rPr>
                <w:i/>
                <w:sz w:val="20"/>
                <w:szCs w:val="20"/>
              </w:rPr>
            </w:pPr>
            <w:r w:rsidRPr="00C42FBF">
              <w:rPr>
                <w:sz w:val="20"/>
                <w:szCs w:val="20"/>
              </w:rPr>
              <w:t>0.01 unit/ms</w:t>
            </w:r>
          </w:p>
        </w:tc>
        <w:tc>
          <w:tcPr>
            <w:tcW w:w="2160" w:type="dxa"/>
          </w:tcPr>
          <w:p w14:paraId="474431B8" w14:textId="77777777" w:rsidR="00AC442B" w:rsidRPr="00C42FBF" w:rsidRDefault="00AC442B" w:rsidP="00AC442B">
            <w:pPr>
              <w:pStyle w:val="ListParagraph"/>
              <w:ind w:left="0"/>
              <w:rPr>
                <w:i/>
                <w:sz w:val="20"/>
                <w:szCs w:val="20"/>
              </w:rPr>
            </w:pPr>
            <w:r w:rsidRPr="00C42FBF">
              <w:rPr>
                <w:sz w:val="20"/>
                <w:szCs w:val="20"/>
              </w:rPr>
              <w:t>0.01 unit/ms</w:t>
            </w:r>
          </w:p>
        </w:tc>
        <w:tc>
          <w:tcPr>
            <w:tcW w:w="2070" w:type="dxa"/>
          </w:tcPr>
          <w:p w14:paraId="1E3449B8" w14:textId="77777777" w:rsidR="00AC442B" w:rsidRPr="00C42FBF" w:rsidRDefault="00AC442B" w:rsidP="00AC442B">
            <w:pPr>
              <w:pStyle w:val="ListParagraph"/>
              <w:ind w:left="0"/>
              <w:rPr>
                <w:i/>
                <w:sz w:val="20"/>
                <w:szCs w:val="20"/>
              </w:rPr>
            </w:pPr>
            <w:r w:rsidRPr="00C42FBF">
              <w:rPr>
                <w:sz w:val="20"/>
                <w:szCs w:val="20"/>
              </w:rPr>
              <w:t>0.01 unit/ms</w:t>
            </w:r>
          </w:p>
        </w:tc>
      </w:tr>
      <w:tr w:rsidR="00AC442B" w:rsidRPr="00C42FBF" w14:paraId="5D0E7B63" w14:textId="77777777" w:rsidTr="002D369C">
        <w:tc>
          <w:tcPr>
            <w:tcW w:w="1885" w:type="dxa"/>
          </w:tcPr>
          <w:p w14:paraId="3ED98EE1" w14:textId="5522F504" w:rsidR="00AC442B" w:rsidRPr="00C42FBF" w:rsidRDefault="00AC442B" w:rsidP="00AC442B">
            <w:pPr>
              <w:pStyle w:val="ListParagraph"/>
              <w:ind w:left="0"/>
              <w:rPr>
                <w:i/>
                <w:sz w:val="20"/>
                <w:szCs w:val="20"/>
              </w:rPr>
            </w:pPr>
            <w:r w:rsidRPr="00C42FBF">
              <w:rPr>
                <w:b/>
                <w:bCs/>
                <w:sz w:val="20"/>
                <w:szCs w:val="20"/>
              </w:rPr>
              <w:t>Deep Sleep</w:t>
            </w:r>
          </w:p>
        </w:tc>
        <w:tc>
          <w:tcPr>
            <w:tcW w:w="2340" w:type="dxa"/>
          </w:tcPr>
          <w:p w14:paraId="3B4B1F69" w14:textId="77777777" w:rsidR="00AC442B" w:rsidRPr="00C42FBF" w:rsidRDefault="00AC442B" w:rsidP="00AC442B">
            <w:pPr>
              <w:pStyle w:val="ListParagraph"/>
              <w:ind w:left="0"/>
              <w:rPr>
                <w:i/>
                <w:sz w:val="20"/>
                <w:szCs w:val="20"/>
              </w:rPr>
            </w:pPr>
            <w:r w:rsidRPr="00C42FBF">
              <w:rPr>
                <w:bCs/>
                <w:sz w:val="20"/>
                <w:szCs w:val="20"/>
              </w:rPr>
              <w:t>0.001 unit/ms</w:t>
            </w:r>
          </w:p>
        </w:tc>
        <w:tc>
          <w:tcPr>
            <w:tcW w:w="2160" w:type="dxa"/>
          </w:tcPr>
          <w:p w14:paraId="4C00D889" w14:textId="75134B21" w:rsidR="00AC442B" w:rsidRPr="00C42FBF" w:rsidRDefault="00AC442B" w:rsidP="00AC442B">
            <w:pPr>
              <w:pStyle w:val="ListParagraph"/>
              <w:ind w:left="0"/>
              <w:rPr>
                <w:i/>
                <w:sz w:val="20"/>
                <w:szCs w:val="20"/>
              </w:rPr>
            </w:pPr>
            <w:r w:rsidRPr="00C42FBF">
              <w:rPr>
                <w:sz w:val="20"/>
                <w:szCs w:val="20"/>
              </w:rPr>
              <w:t>0.001 unit/ms</w:t>
            </w:r>
          </w:p>
        </w:tc>
        <w:tc>
          <w:tcPr>
            <w:tcW w:w="2070" w:type="dxa"/>
          </w:tcPr>
          <w:p w14:paraId="577FCDFE" w14:textId="77777777" w:rsidR="00AC442B" w:rsidRPr="00C42FBF" w:rsidRDefault="00AC442B" w:rsidP="00AC442B">
            <w:pPr>
              <w:pStyle w:val="ListParagraph"/>
              <w:ind w:left="0"/>
              <w:rPr>
                <w:i/>
                <w:sz w:val="20"/>
                <w:szCs w:val="20"/>
              </w:rPr>
            </w:pPr>
            <w:r w:rsidRPr="00C42FBF">
              <w:rPr>
                <w:sz w:val="20"/>
                <w:szCs w:val="20"/>
              </w:rPr>
              <w:t>0.0001 unit/ms</w:t>
            </w:r>
          </w:p>
        </w:tc>
      </w:tr>
      <w:tr w:rsidR="00AC442B" w:rsidRPr="00C42FBF" w14:paraId="7099B089" w14:textId="77777777" w:rsidTr="002D369C">
        <w:tc>
          <w:tcPr>
            <w:tcW w:w="1885" w:type="dxa"/>
            <w:vAlign w:val="center"/>
          </w:tcPr>
          <w:p w14:paraId="0FA0774F" w14:textId="604933F3" w:rsidR="00AC442B" w:rsidRPr="00C42FBF" w:rsidRDefault="00AC442B" w:rsidP="00AC442B">
            <w:pPr>
              <w:pStyle w:val="ListParagraph"/>
              <w:ind w:left="0"/>
              <w:rPr>
                <w:i/>
                <w:sz w:val="20"/>
                <w:szCs w:val="20"/>
              </w:rPr>
            </w:pPr>
            <w:r w:rsidRPr="00C42FBF">
              <w:rPr>
                <w:b/>
                <w:bCs/>
                <w:sz w:val="20"/>
                <w:szCs w:val="20"/>
              </w:rPr>
              <w:t>T</w:t>
            </w:r>
            <w:r w:rsidRPr="00C42FBF">
              <w:rPr>
                <w:b/>
                <w:bCs/>
                <w:sz w:val="20"/>
                <w:szCs w:val="20"/>
                <w:vertAlign w:val="subscript"/>
              </w:rPr>
              <w:t xml:space="preserve">Prepare_PO </w:t>
            </w:r>
            <w:r w:rsidRPr="00C42FBF">
              <w:rPr>
                <w:b/>
                <w:bCs/>
                <w:sz w:val="20"/>
                <w:szCs w:val="20"/>
                <w:vertAlign w:val="superscript"/>
              </w:rPr>
              <w:t xml:space="preserve">1 </w:t>
            </w:r>
            <w:r w:rsidRPr="00C42FBF">
              <w:rPr>
                <w:b/>
                <w:bCs/>
                <w:sz w:val="20"/>
                <w:szCs w:val="20"/>
              </w:rPr>
              <w:t>, T</w:t>
            </w:r>
            <w:r w:rsidRPr="00C42FBF">
              <w:rPr>
                <w:b/>
                <w:bCs/>
                <w:sz w:val="20"/>
                <w:szCs w:val="20"/>
                <w:vertAlign w:val="subscript"/>
              </w:rPr>
              <w:t>a</w:t>
            </w:r>
            <w:r w:rsidRPr="00C42FBF">
              <w:rPr>
                <w:b/>
                <w:bCs/>
                <w:sz w:val="20"/>
                <w:szCs w:val="20"/>
                <w:vertAlign w:val="superscript"/>
              </w:rPr>
              <w:t>3</w:t>
            </w:r>
          </w:p>
        </w:tc>
        <w:tc>
          <w:tcPr>
            <w:tcW w:w="2340" w:type="dxa"/>
            <w:vAlign w:val="center"/>
          </w:tcPr>
          <w:p w14:paraId="1A0DCC39" w14:textId="01F905EB" w:rsidR="00AC442B" w:rsidRPr="00C42FBF" w:rsidRDefault="001E0225" w:rsidP="00AC442B">
            <w:pPr>
              <w:pStyle w:val="ListParagraph"/>
              <w:ind w:left="0"/>
              <w:rPr>
                <w:i/>
                <w:sz w:val="20"/>
                <w:szCs w:val="20"/>
              </w:rPr>
            </w:pPr>
            <w:r w:rsidRPr="00C42FBF">
              <w:rPr>
                <w:sz w:val="20"/>
                <w:szCs w:val="20"/>
              </w:rPr>
              <w:t>80</w:t>
            </w:r>
            <w:r w:rsidR="00AC442B" w:rsidRPr="00C42FBF">
              <w:rPr>
                <w:sz w:val="20"/>
                <w:szCs w:val="20"/>
              </w:rPr>
              <w:t xml:space="preserve"> ms</w:t>
            </w:r>
          </w:p>
        </w:tc>
        <w:tc>
          <w:tcPr>
            <w:tcW w:w="2160" w:type="dxa"/>
          </w:tcPr>
          <w:p w14:paraId="1E6054DE" w14:textId="3864C70F" w:rsidR="00AC442B" w:rsidRPr="00C42FBF" w:rsidRDefault="001E0225" w:rsidP="00AC442B">
            <w:pPr>
              <w:pStyle w:val="ListParagraph"/>
              <w:ind w:left="0"/>
              <w:rPr>
                <w:i/>
                <w:sz w:val="20"/>
                <w:szCs w:val="20"/>
              </w:rPr>
            </w:pPr>
            <w:r w:rsidRPr="00C42FBF">
              <w:rPr>
                <w:sz w:val="20"/>
                <w:szCs w:val="20"/>
              </w:rPr>
              <w:t>2</w:t>
            </w:r>
            <w:r w:rsidR="00AC442B" w:rsidRPr="00C42FBF">
              <w:rPr>
                <w:sz w:val="20"/>
                <w:szCs w:val="20"/>
              </w:rPr>
              <w:t>0 ms</w:t>
            </w:r>
          </w:p>
        </w:tc>
        <w:tc>
          <w:tcPr>
            <w:tcW w:w="2070" w:type="dxa"/>
          </w:tcPr>
          <w:p w14:paraId="70A477ED" w14:textId="53A024B4" w:rsidR="00AC442B" w:rsidRPr="00C42FBF" w:rsidRDefault="001E0225" w:rsidP="00AC442B">
            <w:pPr>
              <w:pStyle w:val="ListParagraph"/>
              <w:ind w:left="0"/>
              <w:rPr>
                <w:i/>
                <w:sz w:val="20"/>
                <w:szCs w:val="20"/>
              </w:rPr>
            </w:pPr>
            <w:r w:rsidRPr="00C42FBF">
              <w:rPr>
                <w:sz w:val="20"/>
                <w:szCs w:val="20"/>
              </w:rPr>
              <w:t>2</w:t>
            </w:r>
            <w:r w:rsidR="00AC442B" w:rsidRPr="00C42FBF">
              <w:rPr>
                <w:sz w:val="20"/>
                <w:szCs w:val="20"/>
              </w:rPr>
              <w:t>0 ms</w:t>
            </w:r>
          </w:p>
        </w:tc>
      </w:tr>
      <w:tr w:rsidR="00AC442B" w:rsidRPr="00C42FBF" w14:paraId="71611DA9" w14:textId="77777777" w:rsidTr="002D369C">
        <w:tc>
          <w:tcPr>
            <w:tcW w:w="1885" w:type="dxa"/>
          </w:tcPr>
          <w:p w14:paraId="53167845" w14:textId="020E9772" w:rsidR="00AC442B" w:rsidRPr="00C42FBF" w:rsidRDefault="00AC442B" w:rsidP="00AC442B">
            <w:pPr>
              <w:pStyle w:val="ListParagraph"/>
              <w:ind w:left="0"/>
              <w:rPr>
                <w:i/>
                <w:sz w:val="20"/>
                <w:szCs w:val="20"/>
              </w:rPr>
            </w:pPr>
            <w:r w:rsidRPr="00C42FBF">
              <w:rPr>
                <w:b/>
                <w:bCs/>
                <w:sz w:val="20"/>
                <w:szCs w:val="20"/>
              </w:rPr>
              <w:t>T</w:t>
            </w:r>
            <w:r w:rsidRPr="00C42FBF">
              <w:rPr>
                <w:b/>
                <w:bCs/>
                <w:sz w:val="20"/>
                <w:szCs w:val="20"/>
                <w:vertAlign w:val="subscript"/>
              </w:rPr>
              <w:t>sync</w:t>
            </w:r>
            <w:r w:rsidRPr="00C42FBF">
              <w:rPr>
                <w:b/>
                <w:bCs/>
                <w:sz w:val="20"/>
                <w:szCs w:val="20"/>
                <w:vertAlign w:val="superscript"/>
              </w:rPr>
              <w:t>2</w:t>
            </w:r>
          </w:p>
        </w:tc>
        <w:tc>
          <w:tcPr>
            <w:tcW w:w="2340" w:type="dxa"/>
          </w:tcPr>
          <w:p w14:paraId="2010DCB0" w14:textId="77777777" w:rsidR="00AC442B" w:rsidRPr="00C42FBF" w:rsidRDefault="00AC442B" w:rsidP="00AC442B">
            <w:pPr>
              <w:pStyle w:val="ListParagraph"/>
              <w:ind w:left="0"/>
              <w:rPr>
                <w:i/>
                <w:sz w:val="20"/>
                <w:szCs w:val="20"/>
              </w:rPr>
            </w:pPr>
            <w:r w:rsidRPr="00C42FBF">
              <w:rPr>
                <w:sz w:val="20"/>
                <w:szCs w:val="20"/>
              </w:rPr>
              <w:t>200 ms</w:t>
            </w:r>
          </w:p>
        </w:tc>
        <w:tc>
          <w:tcPr>
            <w:tcW w:w="2160" w:type="dxa"/>
          </w:tcPr>
          <w:p w14:paraId="41EF1BD0" w14:textId="77777777" w:rsidR="00AC442B" w:rsidRPr="00C42FBF" w:rsidRDefault="00AC442B" w:rsidP="00AC442B">
            <w:pPr>
              <w:pStyle w:val="ListParagraph"/>
              <w:ind w:left="0"/>
              <w:rPr>
                <w:i/>
                <w:sz w:val="20"/>
                <w:szCs w:val="20"/>
              </w:rPr>
            </w:pPr>
            <w:r w:rsidRPr="00C42FBF">
              <w:rPr>
                <w:sz w:val="20"/>
                <w:szCs w:val="20"/>
              </w:rPr>
              <w:t>200 ms</w:t>
            </w:r>
          </w:p>
        </w:tc>
        <w:tc>
          <w:tcPr>
            <w:tcW w:w="2070" w:type="dxa"/>
          </w:tcPr>
          <w:p w14:paraId="0D0AC62B" w14:textId="77777777" w:rsidR="00AC442B" w:rsidRPr="00C42FBF" w:rsidRDefault="00AC442B" w:rsidP="00AC442B">
            <w:pPr>
              <w:pStyle w:val="ListParagraph"/>
              <w:ind w:left="0"/>
              <w:rPr>
                <w:i/>
                <w:sz w:val="20"/>
                <w:szCs w:val="20"/>
              </w:rPr>
            </w:pPr>
            <w:r w:rsidRPr="00C42FBF">
              <w:rPr>
                <w:sz w:val="20"/>
                <w:szCs w:val="20"/>
              </w:rPr>
              <w:t>200 ms</w:t>
            </w:r>
          </w:p>
        </w:tc>
      </w:tr>
      <w:tr w:rsidR="00AC442B" w:rsidRPr="00C42FBF" w14:paraId="55E3E8E7" w14:textId="77777777" w:rsidTr="002D369C">
        <w:tc>
          <w:tcPr>
            <w:tcW w:w="1885" w:type="dxa"/>
            <w:vAlign w:val="center"/>
          </w:tcPr>
          <w:p w14:paraId="35BBC585" w14:textId="6EBC9B30" w:rsidR="00AC442B" w:rsidRPr="00C42FBF" w:rsidRDefault="00AC442B" w:rsidP="00AC442B">
            <w:pPr>
              <w:pStyle w:val="ListParagraph"/>
              <w:ind w:left="0"/>
              <w:rPr>
                <w:i/>
                <w:sz w:val="20"/>
                <w:szCs w:val="20"/>
              </w:rPr>
            </w:pPr>
            <w:r w:rsidRPr="00C42FBF">
              <w:rPr>
                <w:b/>
                <w:bCs/>
                <w:sz w:val="20"/>
                <w:szCs w:val="20"/>
              </w:rPr>
              <w:t>T</w:t>
            </w:r>
            <w:r w:rsidRPr="00C42FBF">
              <w:rPr>
                <w:b/>
                <w:bCs/>
                <w:sz w:val="20"/>
                <w:szCs w:val="20"/>
                <w:vertAlign w:val="subscript"/>
              </w:rPr>
              <w:t>wake-up</w:t>
            </w:r>
            <w:r w:rsidRPr="00C42FBF">
              <w:rPr>
                <w:b/>
                <w:bCs/>
                <w:sz w:val="20"/>
                <w:szCs w:val="20"/>
                <w:vertAlign w:val="superscript"/>
              </w:rPr>
              <w:t>4</w:t>
            </w:r>
          </w:p>
        </w:tc>
        <w:tc>
          <w:tcPr>
            <w:tcW w:w="2340" w:type="dxa"/>
            <w:vAlign w:val="center"/>
          </w:tcPr>
          <w:p w14:paraId="7F955328" w14:textId="77777777" w:rsidR="00AC442B" w:rsidRPr="00C42FBF" w:rsidRDefault="00AC442B" w:rsidP="00AC442B">
            <w:pPr>
              <w:pStyle w:val="ListParagraph"/>
              <w:ind w:left="0"/>
              <w:rPr>
                <w:i/>
                <w:sz w:val="20"/>
                <w:szCs w:val="20"/>
              </w:rPr>
            </w:pPr>
            <w:r w:rsidRPr="00C42FBF">
              <w:rPr>
                <w:sz w:val="20"/>
                <w:szCs w:val="20"/>
              </w:rPr>
              <w:t>0 ms</w:t>
            </w:r>
          </w:p>
        </w:tc>
        <w:tc>
          <w:tcPr>
            <w:tcW w:w="2160" w:type="dxa"/>
          </w:tcPr>
          <w:p w14:paraId="1EA42F8D" w14:textId="77777777" w:rsidR="00AC442B" w:rsidRPr="00C42FBF" w:rsidRDefault="00AC442B" w:rsidP="00AC442B">
            <w:pPr>
              <w:pStyle w:val="ListParagraph"/>
              <w:ind w:left="0"/>
              <w:rPr>
                <w:i/>
                <w:sz w:val="20"/>
                <w:szCs w:val="20"/>
              </w:rPr>
            </w:pPr>
            <w:r w:rsidRPr="00C42FBF">
              <w:rPr>
                <w:sz w:val="20"/>
                <w:szCs w:val="20"/>
              </w:rPr>
              <w:t>2s</w:t>
            </w:r>
          </w:p>
        </w:tc>
        <w:tc>
          <w:tcPr>
            <w:tcW w:w="2070" w:type="dxa"/>
          </w:tcPr>
          <w:p w14:paraId="1BC0FE2E" w14:textId="340AB3D1" w:rsidR="00AC442B" w:rsidRPr="00C42FBF" w:rsidRDefault="00EB0EF6" w:rsidP="00AC442B">
            <w:pPr>
              <w:pStyle w:val="ListParagraph"/>
              <w:ind w:left="0"/>
              <w:rPr>
                <w:i/>
                <w:sz w:val="20"/>
                <w:szCs w:val="20"/>
              </w:rPr>
            </w:pPr>
            <w:r w:rsidRPr="00C42FBF">
              <w:rPr>
                <w:sz w:val="20"/>
                <w:szCs w:val="20"/>
              </w:rPr>
              <w:t>2</w:t>
            </w:r>
            <w:r w:rsidR="00AC442B" w:rsidRPr="00C42FBF">
              <w:rPr>
                <w:sz w:val="20"/>
                <w:szCs w:val="20"/>
              </w:rPr>
              <w:t>s</w:t>
            </w:r>
          </w:p>
        </w:tc>
      </w:tr>
      <w:tr w:rsidR="00AC442B" w:rsidRPr="00C42FBF" w14:paraId="7B350327" w14:textId="77777777" w:rsidTr="002D369C">
        <w:tc>
          <w:tcPr>
            <w:tcW w:w="1885" w:type="dxa"/>
            <w:vAlign w:val="center"/>
          </w:tcPr>
          <w:p w14:paraId="2963DA6B" w14:textId="17ED2990" w:rsidR="00AC442B" w:rsidRPr="00C42FBF" w:rsidRDefault="00AC442B" w:rsidP="00AC442B">
            <w:pPr>
              <w:pStyle w:val="ListParagraph"/>
              <w:ind w:left="0"/>
              <w:rPr>
                <w:b/>
                <w:bCs/>
                <w:sz w:val="20"/>
                <w:szCs w:val="20"/>
              </w:rPr>
            </w:pPr>
            <w:r w:rsidRPr="00C42FBF">
              <w:rPr>
                <w:b/>
                <w:bCs/>
                <w:sz w:val="20"/>
                <w:szCs w:val="20"/>
              </w:rPr>
              <w:t>DRX Cycle</w:t>
            </w:r>
            <w:r w:rsidRPr="00C42FBF">
              <w:rPr>
                <w:b/>
                <w:bCs/>
                <w:sz w:val="20"/>
                <w:szCs w:val="20"/>
                <w:vertAlign w:val="superscript"/>
              </w:rPr>
              <w:t>5</w:t>
            </w:r>
          </w:p>
        </w:tc>
        <w:tc>
          <w:tcPr>
            <w:tcW w:w="2340" w:type="dxa"/>
            <w:vAlign w:val="center"/>
          </w:tcPr>
          <w:p w14:paraId="76BEFD1B" w14:textId="00604093" w:rsidR="00AC442B" w:rsidRPr="00C42FBF" w:rsidRDefault="00AC442B" w:rsidP="00AC442B">
            <w:pPr>
              <w:pStyle w:val="ListParagraph"/>
              <w:ind w:left="0"/>
              <w:rPr>
                <w:sz w:val="20"/>
                <w:szCs w:val="20"/>
              </w:rPr>
            </w:pPr>
            <w:r w:rsidRPr="00C42FBF">
              <w:rPr>
                <w:sz w:val="20"/>
                <w:szCs w:val="20"/>
              </w:rPr>
              <w:t>5.12 seconds</w:t>
            </w:r>
          </w:p>
        </w:tc>
        <w:tc>
          <w:tcPr>
            <w:tcW w:w="2160" w:type="dxa"/>
          </w:tcPr>
          <w:p w14:paraId="1800E488" w14:textId="0799F0EB" w:rsidR="00AC442B" w:rsidRPr="00C42FBF" w:rsidRDefault="00AC442B" w:rsidP="00AC442B">
            <w:pPr>
              <w:pStyle w:val="ListParagraph"/>
              <w:ind w:left="0"/>
              <w:rPr>
                <w:sz w:val="20"/>
                <w:szCs w:val="20"/>
              </w:rPr>
            </w:pPr>
            <w:r w:rsidRPr="00C42FBF">
              <w:rPr>
                <w:sz w:val="20"/>
                <w:szCs w:val="20"/>
              </w:rPr>
              <w:t>2.56 seconds</w:t>
            </w:r>
          </w:p>
        </w:tc>
        <w:tc>
          <w:tcPr>
            <w:tcW w:w="2070" w:type="dxa"/>
          </w:tcPr>
          <w:p w14:paraId="754BE249" w14:textId="37BC0C9D" w:rsidR="00AC442B" w:rsidRPr="00C42FBF" w:rsidRDefault="00AC442B" w:rsidP="00AC442B">
            <w:pPr>
              <w:pStyle w:val="ListParagraph"/>
              <w:ind w:left="0"/>
              <w:rPr>
                <w:sz w:val="20"/>
                <w:szCs w:val="20"/>
              </w:rPr>
            </w:pPr>
            <w:r w:rsidRPr="00C42FBF">
              <w:rPr>
                <w:sz w:val="20"/>
                <w:szCs w:val="20"/>
              </w:rPr>
              <w:t>2.56 seconds</w:t>
            </w:r>
          </w:p>
        </w:tc>
      </w:tr>
    </w:tbl>
    <w:p w14:paraId="49DB9450" w14:textId="77777777" w:rsidR="00AC442B" w:rsidRPr="00C42FBF" w:rsidRDefault="00AC442B" w:rsidP="00AC442B">
      <w:pPr>
        <w:tabs>
          <w:tab w:val="left" w:pos="5245"/>
        </w:tabs>
        <w:jc w:val="center"/>
        <w:rPr>
          <w:b/>
          <w:sz w:val="20"/>
        </w:rPr>
      </w:pPr>
      <w:r w:rsidRPr="00C42FBF">
        <w:rPr>
          <w:b/>
          <w:sz w:val="20"/>
        </w:rPr>
        <w:t>Table 1: Power consumption assumptions for I-eDRX and WUR</w:t>
      </w:r>
    </w:p>
    <w:p w14:paraId="7781F935" w14:textId="77777777" w:rsidR="00AC442B" w:rsidRPr="00C42FBF" w:rsidRDefault="00AC442B" w:rsidP="00AC442B">
      <w:pPr>
        <w:tabs>
          <w:tab w:val="left" w:pos="5245"/>
        </w:tabs>
        <w:ind w:left="720"/>
        <w:rPr>
          <w:sz w:val="20"/>
        </w:rPr>
      </w:pPr>
    </w:p>
    <w:p w14:paraId="7F9BA2AA" w14:textId="77777777" w:rsidR="00AC442B" w:rsidRPr="00C42FBF" w:rsidRDefault="00AC442B" w:rsidP="00AC442B">
      <w:pPr>
        <w:tabs>
          <w:tab w:val="left" w:pos="5245"/>
        </w:tabs>
        <w:rPr>
          <w:sz w:val="20"/>
        </w:rPr>
      </w:pPr>
      <w:r w:rsidRPr="00C42FBF">
        <w:rPr>
          <w:sz w:val="20"/>
        </w:rPr>
        <w:t>Notes:</w:t>
      </w:r>
    </w:p>
    <w:p w14:paraId="10BC4EB8" w14:textId="77777777" w:rsidR="00AC442B" w:rsidRPr="00C42FBF" w:rsidRDefault="00AC442B" w:rsidP="00AC442B">
      <w:pPr>
        <w:pStyle w:val="ListParagraph"/>
        <w:numPr>
          <w:ilvl w:val="0"/>
          <w:numId w:val="9"/>
        </w:numPr>
        <w:tabs>
          <w:tab w:val="left" w:pos="5245"/>
        </w:tabs>
        <w:ind w:left="360"/>
        <w:rPr>
          <w:sz w:val="20"/>
          <w:szCs w:val="20"/>
        </w:rPr>
      </w:pPr>
      <w:r w:rsidRPr="00C42FBF">
        <w:rPr>
          <w:b/>
          <w:bCs/>
          <w:sz w:val="20"/>
          <w:szCs w:val="20"/>
        </w:rPr>
        <w:t>T</w:t>
      </w:r>
      <w:r w:rsidRPr="00C42FBF">
        <w:rPr>
          <w:b/>
          <w:bCs/>
          <w:sz w:val="20"/>
          <w:szCs w:val="20"/>
          <w:vertAlign w:val="subscript"/>
        </w:rPr>
        <w:t xml:space="preserve">Prepare_PO </w:t>
      </w:r>
      <w:r w:rsidRPr="00C42FBF">
        <w:rPr>
          <w:bCs/>
          <w:sz w:val="20"/>
          <w:szCs w:val="20"/>
        </w:rPr>
        <w:t>refers</w:t>
      </w:r>
      <w:r w:rsidRPr="00C42FBF">
        <w:rPr>
          <w:b/>
          <w:bCs/>
          <w:sz w:val="20"/>
          <w:szCs w:val="20"/>
          <w:vertAlign w:val="subscript"/>
        </w:rPr>
        <w:t xml:space="preserve"> </w:t>
      </w:r>
      <w:r w:rsidRPr="00C42FBF">
        <w:rPr>
          <w:sz w:val="20"/>
          <w:szCs w:val="20"/>
        </w:rPr>
        <w:t>to the time spent by the UE to resynchronize itself when it is just emerging from its sleep state and is applicable to I-eDRX only</w:t>
      </w:r>
    </w:p>
    <w:p w14:paraId="23249F2B" w14:textId="77777777" w:rsidR="00AC442B" w:rsidRPr="00C42FBF" w:rsidRDefault="00AC442B" w:rsidP="00AC442B">
      <w:pPr>
        <w:pStyle w:val="ListParagraph"/>
        <w:numPr>
          <w:ilvl w:val="0"/>
          <w:numId w:val="9"/>
        </w:numPr>
        <w:tabs>
          <w:tab w:val="left" w:pos="5245"/>
        </w:tabs>
        <w:ind w:left="360"/>
        <w:rPr>
          <w:sz w:val="20"/>
          <w:szCs w:val="20"/>
        </w:rPr>
      </w:pPr>
      <w:r w:rsidRPr="00C42FBF">
        <w:rPr>
          <w:b/>
          <w:bCs/>
          <w:sz w:val="20"/>
          <w:szCs w:val="20"/>
        </w:rPr>
        <w:t>T</w:t>
      </w:r>
      <w:r w:rsidRPr="00C42FBF">
        <w:rPr>
          <w:b/>
          <w:bCs/>
          <w:sz w:val="20"/>
          <w:szCs w:val="20"/>
          <w:vertAlign w:val="subscript"/>
        </w:rPr>
        <w:t xml:space="preserve">sync </w:t>
      </w:r>
      <w:r w:rsidRPr="00C42FBF">
        <w:rPr>
          <w:bCs/>
          <w:sz w:val="20"/>
          <w:szCs w:val="20"/>
        </w:rPr>
        <w:t>refers to the time</w:t>
      </w:r>
      <w:r w:rsidRPr="00C42FBF">
        <w:rPr>
          <w:b/>
          <w:bCs/>
          <w:sz w:val="20"/>
          <w:szCs w:val="20"/>
          <w:vertAlign w:val="subscript"/>
        </w:rPr>
        <w:t xml:space="preserve"> </w:t>
      </w:r>
      <w:r w:rsidRPr="00C42FBF">
        <w:rPr>
          <w:sz w:val="20"/>
          <w:szCs w:val="20"/>
        </w:rPr>
        <w:t>spent by the UE to perform initial synchronization when it gets out of deep sleep state and in this instance is applicable to WUR-1 and WUR-2 only.</w:t>
      </w:r>
    </w:p>
    <w:p w14:paraId="4EFB028C" w14:textId="77777777" w:rsidR="00AC442B" w:rsidRPr="00C42FBF" w:rsidRDefault="00AC442B" w:rsidP="00AC442B">
      <w:pPr>
        <w:pStyle w:val="ListParagraph"/>
        <w:numPr>
          <w:ilvl w:val="0"/>
          <w:numId w:val="9"/>
        </w:numPr>
        <w:tabs>
          <w:tab w:val="left" w:pos="5245"/>
        </w:tabs>
        <w:ind w:left="360"/>
        <w:rPr>
          <w:sz w:val="20"/>
          <w:szCs w:val="20"/>
        </w:rPr>
      </w:pPr>
      <w:r w:rsidRPr="00C42FBF">
        <w:rPr>
          <w:b/>
          <w:bCs/>
          <w:sz w:val="20"/>
          <w:szCs w:val="20"/>
        </w:rPr>
        <w:t>T</w:t>
      </w:r>
      <w:r w:rsidRPr="00C42FBF">
        <w:rPr>
          <w:b/>
          <w:bCs/>
          <w:sz w:val="20"/>
          <w:szCs w:val="20"/>
          <w:vertAlign w:val="subscript"/>
        </w:rPr>
        <w:t xml:space="preserve">a </w:t>
      </w:r>
      <w:r w:rsidRPr="00C42FBF">
        <w:rPr>
          <w:bCs/>
          <w:sz w:val="20"/>
          <w:szCs w:val="20"/>
        </w:rPr>
        <w:t>refers to the time the WUR is in high power state to enable it to actively</w:t>
      </w:r>
      <w:r w:rsidRPr="00C42FBF">
        <w:rPr>
          <w:b/>
          <w:bCs/>
          <w:sz w:val="20"/>
          <w:szCs w:val="20"/>
          <w:vertAlign w:val="subscript"/>
        </w:rPr>
        <w:t xml:space="preserve"> </w:t>
      </w:r>
      <w:r w:rsidRPr="00C42FBF">
        <w:rPr>
          <w:sz w:val="20"/>
          <w:szCs w:val="20"/>
        </w:rPr>
        <w:t>listen to the channel during its duty-cycle</w:t>
      </w:r>
    </w:p>
    <w:p w14:paraId="0E9D8B1B" w14:textId="77777777" w:rsidR="00AC442B" w:rsidRPr="00C42FBF" w:rsidRDefault="00AC442B" w:rsidP="00AC442B">
      <w:pPr>
        <w:pStyle w:val="ListParagraph"/>
        <w:numPr>
          <w:ilvl w:val="0"/>
          <w:numId w:val="9"/>
        </w:numPr>
        <w:tabs>
          <w:tab w:val="left" w:pos="5245"/>
        </w:tabs>
        <w:ind w:left="360"/>
        <w:rPr>
          <w:sz w:val="20"/>
          <w:szCs w:val="20"/>
        </w:rPr>
      </w:pPr>
      <w:r w:rsidRPr="00C42FBF">
        <w:rPr>
          <w:b/>
          <w:bCs/>
          <w:sz w:val="20"/>
          <w:szCs w:val="20"/>
        </w:rPr>
        <w:t>T</w:t>
      </w:r>
      <w:r w:rsidRPr="00C42FBF">
        <w:rPr>
          <w:b/>
          <w:bCs/>
          <w:sz w:val="20"/>
          <w:szCs w:val="20"/>
          <w:vertAlign w:val="subscript"/>
        </w:rPr>
        <w:t xml:space="preserve">wake-up </w:t>
      </w:r>
      <w:r w:rsidRPr="00C42FBF">
        <w:rPr>
          <w:sz w:val="20"/>
          <w:szCs w:val="20"/>
        </w:rPr>
        <w:t>refers to  the wake-up penalty time to wake up the receiver modules needed to process the PDCCH when a WUS is detected by the WUR</w:t>
      </w:r>
    </w:p>
    <w:p w14:paraId="473DA835" w14:textId="46302EBB" w:rsidR="00A0763E" w:rsidRPr="00C42FBF" w:rsidRDefault="00AC442B" w:rsidP="00AC442B">
      <w:pPr>
        <w:pStyle w:val="ListParagraph"/>
        <w:numPr>
          <w:ilvl w:val="0"/>
          <w:numId w:val="9"/>
        </w:numPr>
        <w:tabs>
          <w:tab w:val="left" w:pos="5245"/>
        </w:tabs>
        <w:ind w:left="360"/>
        <w:rPr>
          <w:sz w:val="20"/>
          <w:szCs w:val="20"/>
        </w:rPr>
      </w:pPr>
      <w:r w:rsidRPr="00C42FBF">
        <w:rPr>
          <w:sz w:val="20"/>
          <w:szCs w:val="20"/>
        </w:rPr>
        <w:t xml:space="preserve">The DRX cycle length being compared for </w:t>
      </w:r>
      <w:r w:rsidR="006C5108" w:rsidRPr="00C42FBF">
        <w:rPr>
          <w:sz w:val="20"/>
          <w:szCs w:val="20"/>
        </w:rPr>
        <w:t>WUR-1 and WUR-2 is 2.56 vs. to the 5.12s</w:t>
      </w:r>
      <w:r w:rsidRPr="00C42FBF">
        <w:rPr>
          <w:sz w:val="20"/>
          <w:szCs w:val="20"/>
        </w:rPr>
        <w:t xml:space="preserve"> used by I-eDRX to account for the impact of the penalty of waking up the receiver module</w:t>
      </w:r>
    </w:p>
    <w:p w14:paraId="2938E963" w14:textId="460EB2F1" w:rsidR="00897751" w:rsidRPr="00C42FBF" w:rsidRDefault="00897751" w:rsidP="0022592F">
      <w:pPr>
        <w:pStyle w:val="Caption"/>
        <w:keepNext/>
        <w:rPr>
          <w:sz w:val="20"/>
        </w:rPr>
      </w:pPr>
    </w:p>
    <w:p w14:paraId="28A15DEC" w14:textId="32C6B492" w:rsidR="006C5108" w:rsidRPr="00C42FBF" w:rsidRDefault="00EB0EF6" w:rsidP="00EB0EF6">
      <w:pPr>
        <w:tabs>
          <w:tab w:val="left" w:pos="5245"/>
        </w:tabs>
        <w:rPr>
          <w:sz w:val="20"/>
        </w:rPr>
      </w:pPr>
      <w:r w:rsidRPr="00C42FBF">
        <w:rPr>
          <w:sz w:val="20"/>
        </w:rPr>
        <w:t xml:space="preserve">In the following figures 3 and 4, we show the potential power saving gains achievable through the use of a WUR for different IAT </w:t>
      </w:r>
      <w:r w:rsidR="00C42FBF" w:rsidRPr="00C42FBF">
        <w:rPr>
          <w:sz w:val="20"/>
        </w:rPr>
        <w:t>values</w:t>
      </w:r>
      <w:r w:rsidRPr="00C42FBF">
        <w:rPr>
          <w:sz w:val="20"/>
        </w:rPr>
        <w:t>. We consider two different WUR values, one may achieve very deep sleep i.e. WUR-2 and the other WUR-1, achieves less deep states.</w:t>
      </w:r>
    </w:p>
    <w:p w14:paraId="6738FCD5" w14:textId="09029FF0" w:rsidR="006C5108" w:rsidRPr="00C42FBF" w:rsidRDefault="006C5108" w:rsidP="00EB0EF6">
      <w:pPr>
        <w:tabs>
          <w:tab w:val="left" w:pos="5245"/>
        </w:tabs>
        <w:rPr>
          <w:sz w:val="20"/>
        </w:rPr>
      </w:pPr>
      <w:r w:rsidRPr="00C42FBF">
        <w:rPr>
          <w:b/>
          <w:sz w:val="20"/>
        </w:rPr>
        <w:lastRenderedPageBreak/>
        <w:t xml:space="preserve">Observation 1: </w:t>
      </w:r>
      <w:r w:rsidR="00EB0EF6" w:rsidRPr="00C42FBF">
        <w:rPr>
          <w:b/>
          <w:sz w:val="20"/>
        </w:rPr>
        <w:t xml:space="preserve"> </w:t>
      </w:r>
      <w:r w:rsidR="00C62666" w:rsidRPr="00C42FBF">
        <w:rPr>
          <w:b/>
          <w:sz w:val="20"/>
        </w:rPr>
        <w:t>The initial analysis results show that using a WUR can</w:t>
      </w:r>
      <w:r w:rsidRPr="00C42FBF">
        <w:rPr>
          <w:b/>
          <w:sz w:val="20"/>
        </w:rPr>
        <w:t xml:space="preserve"> produce substantial power savings of up t</w:t>
      </w:r>
      <w:r w:rsidR="00C62666" w:rsidRPr="00C42FBF">
        <w:rPr>
          <w:b/>
          <w:sz w:val="20"/>
        </w:rPr>
        <w:t xml:space="preserve">o 3-4.5x as compared to I-eDRX </w:t>
      </w:r>
      <w:r w:rsidRPr="00C42FBF">
        <w:rPr>
          <w:b/>
          <w:sz w:val="20"/>
        </w:rPr>
        <w:t>for feNB-IoT devices which are so battery constrained.</w:t>
      </w:r>
      <w:r w:rsidRPr="00C42FBF">
        <w:rPr>
          <w:sz w:val="20"/>
        </w:rPr>
        <w:t xml:space="preserve"> </w:t>
      </w:r>
    </w:p>
    <w:p w14:paraId="4742DF40" w14:textId="0C17D841" w:rsidR="006C5108" w:rsidRPr="00C42FBF" w:rsidRDefault="006C5108" w:rsidP="00EB0EF6">
      <w:pPr>
        <w:tabs>
          <w:tab w:val="left" w:pos="5245"/>
        </w:tabs>
        <w:rPr>
          <w:sz w:val="20"/>
        </w:rPr>
      </w:pPr>
      <w:r w:rsidRPr="00C42FBF">
        <w:rPr>
          <w:sz w:val="20"/>
        </w:rPr>
        <w:t xml:space="preserve">Even using a less aggressive sleep state, the WUR-1 produces fairly substantial savings. As IAT </w:t>
      </w:r>
      <w:r w:rsidR="00C42FBF" w:rsidRPr="00C42FBF">
        <w:rPr>
          <w:sz w:val="20"/>
        </w:rPr>
        <w:t>values</w:t>
      </w:r>
      <w:r w:rsidRPr="00C42FBF">
        <w:rPr>
          <w:sz w:val="20"/>
        </w:rPr>
        <w:t xml:space="preserve"> drop to a few minutes, the power savings become lower as the wake-up penalty becomes a larger portion of the overall energy consumed.</w:t>
      </w:r>
    </w:p>
    <w:p w14:paraId="50F95E77" w14:textId="5D969D81" w:rsidR="00901FDC" w:rsidRPr="00C42FBF" w:rsidRDefault="006C5108" w:rsidP="00EB0EF6">
      <w:pPr>
        <w:tabs>
          <w:tab w:val="left" w:pos="5245"/>
        </w:tabs>
        <w:rPr>
          <w:b/>
          <w:sz w:val="20"/>
        </w:rPr>
      </w:pPr>
      <w:r w:rsidRPr="00C42FBF">
        <w:rPr>
          <w:b/>
          <w:sz w:val="20"/>
        </w:rPr>
        <w:t xml:space="preserve">Observation 2: The wake-up </w:t>
      </w:r>
      <w:r w:rsidR="00EB0EF6" w:rsidRPr="00C42FBF">
        <w:rPr>
          <w:b/>
          <w:sz w:val="20"/>
        </w:rPr>
        <w:t>penalty may be less if the WUR were to use a Light Sleep power saving mode but correspondingly also have less power savings. This may be the used by the WUR to save power for C-eDRX modes.</w:t>
      </w:r>
    </w:p>
    <w:p w14:paraId="50F28EE8" w14:textId="77777777" w:rsidR="00901FDC" w:rsidRDefault="00901FDC" w:rsidP="00EB0EF6">
      <w:pPr>
        <w:tabs>
          <w:tab w:val="left" w:pos="5245"/>
        </w:tabs>
        <w:rPr>
          <w:rFonts w:ascii="Arial" w:hAnsi="Arial" w:cs="Arial"/>
          <w:sz w:val="20"/>
        </w:rPr>
      </w:pPr>
    </w:p>
    <w:p w14:paraId="48E93377" w14:textId="09A9DEAA" w:rsidR="00EB0EF6" w:rsidRDefault="00901FDC" w:rsidP="00901FDC">
      <w:pPr>
        <w:tabs>
          <w:tab w:val="left" w:pos="5245"/>
        </w:tabs>
        <w:jc w:val="center"/>
        <w:rPr>
          <w:rFonts w:ascii="Arial" w:hAnsi="Arial" w:cs="Arial"/>
          <w:sz w:val="20"/>
        </w:rPr>
      </w:pPr>
      <w:r>
        <w:rPr>
          <w:rFonts w:ascii="Arial" w:hAnsi="Arial" w:cs="Arial"/>
          <w:noProof/>
          <w:sz w:val="20"/>
          <w:lang w:val="en-US"/>
        </w:rPr>
        <w:drawing>
          <wp:inline distT="0" distB="0" distL="0" distR="0" wp14:anchorId="48A723F3" wp14:editId="00E5EA0D">
            <wp:extent cx="4584700" cy="27559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075AC0B" w14:textId="017AD3B1" w:rsidR="00901FDC" w:rsidRPr="00C42FBF" w:rsidRDefault="00901FDC" w:rsidP="00901FDC">
      <w:pPr>
        <w:tabs>
          <w:tab w:val="left" w:pos="5245"/>
        </w:tabs>
        <w:jc w:val="center"/>
        <w:rPr>
          <w:b/>
          <w:sz w:val="20"/>
        </w:rPr>
      </w:pPr>
      <w:r>
        <w:rPr>
          <w:rFonts w:ascii="Arial" w:hAnsi="Arial" w:cs="Arial"/>
          <w:sz w:val="20"/>
        </w:rPr>
        <w:t xml:space="preserve"> </w:t>
      </w:r>
      <w:r w:rsidRPr="00C42FBF">
        <w:rPr>
          <w:b/>
          <w:sz w:val="20"/>
        </w:rPr>
        <w:t>Figure 3: Power savings comparison using a WUR-1 vs. I-eDRX for different IAT</w:t>
      </w:r>
    </w:p>
    <w:p w14:paraId="02E85179" w14:textId="77777777" w:rsidR="00901FDC" w:rsidRDefault="00901FDC" w:rsidP="00901FDC">
      <w:pPr>
        <w:tabs>
          <w:tab w:val="left" w:pos="5245"/>
        </w:tabs>
        <w:jc w:val="center"/>
        <w:rPr>
          <w:rFonts w:ascii="Arial" w:hAnsi="Arial" w:cs="Arial"/>
          <w:sz w:val="20"/>
        </w:rPr>
      </w:pPr>
    </w:p>
    <w:p w14:paraId="258A49C7" w14:textId="21DF86BF" w:rsidR="00901FDC" w:rsidRDefault="00901FDC" w:rsidP="00901FDC">
      <w:pPr>
        <w:tabs>
          <w:tab w:val="left" w:pos="5245"/>
        </w:tabs>
        <w:jc w:val="center"/>
        <w:rPr>
          <w:rFonts w:ascii="Arial" w:hAnsi="Arial" w:cs="Arial"/>
          <w:sz w:val="20"/>
        </w:rPr>
      </w:pPr>
    </w:p>
    <w:p w14:paraId="67B62374" w14:textId="42D2E96D" w:rsidR="00901FDC" w:rsidRDefault="00901FDC" w:rsidP="00901FDC">
      <w:pPr>
        <w:tabs>
          <w:tab w:val="left" w:pos="5245"/>
        </w:tabs>
        <w:jc w:val="center"/>
        <w:rPr>
          <w:rFonts w:ascii="Arial" w:hAnsi="Arial" w:cs="Arial"/>
          <w:sz w:val="20"/>
        </w:rPr>
      </w:pPr>
      <w:r>
        <w:rPr>
          <w:rFonts w:ascii="Arial" w:hAnsi="Arial" w:cs="Arial"/>
          <w:noProof/>
          <w:sz w:val="20"/>
          <w:lang w:val="en-US"/>
        </w:rPr>
        <w:drawing>
          <wp:inline distT="0" distB="0" distL="0" distR="0" wp14:anchorId="36998FA0" wp14:editId="3F08773B">
            <wp:extent cx="4584700" cy="27559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FE4A055" w14:textId="192B2E71" w:rsidR="00901FDC" w:rsidRPr="00C42FBF" w:rsidRDefault="006C5108" w:rsidP="00901FDC">
      <w:pPr>
        <w:tabs>
          <w:tab w:val="left" w:pos="5245"/>
        </w:tabs>
        <w:jc w:val="center"/>
        <w:rPr>
          <w:b/>
          <w:sz w:val="20"/>
        </w:rPr>
      </w:pPr>
      <w:r w:rsidRPr="00C42FBF">
        <w:rPr>
          <w:b/>
          <w:sz w:val="20"/>
        </w:rPr>
        <w:t>Figure 4</w:t>
      </w:r>
      <w:r w:rsidR="00901FDC" w:rsidRPr="00C42FBF">
        <w:rPr>
          <w:b/>
          <w:sz w:val="20"/>
        </w:rPr>
        <w:t>: Power savings comparison using WUR-2 vs. I-eDRX for different IAT</w:t>
      </w:r>
    </w:p>
    <w:p w14:paraId="7540A142" w14:textId="77777777" w:rsidR="00901FDC" w:rsidRPr="00C42FBF" w:rsidRDefault="00901FDC" w:rsidP="00901FDC">
      <w:pPr>
        <w:tabs>
          <w:tab w:val="left" w:pos="5245"/>
        </w:tabs>
        <w:jc w:val="center"/>
        <w:rPr>
          <w:sz w:val="20"/>
        </w:rPr>
      </w:pPr>
    </w:p>
    <w:p w14:paraId="762534ED" w14:textId="60074E60" w:rsidR="006C5108" w:rsidRPr="00C42FBF" w:rsidRDefault="00EB0EF6" w:rsidP="00EB0EF6">
      <w:pPr>
        <w:tabs>
          <w:tab w:val="left" w:pos="5245"/>
        </w:tabs>
        <w:rPr>
          <w:sz w:val="20"/>
        </w:rPr>
      </w:pPr>
      <w:r w:rsidRPr="00C42FBF">
        <w:rPr>
          <w:sz w:val="20"/>
        </w:rPr>
        <w:t xml:space="preserve">As the IAT </w:t>
      </w:r>
      <w:r w:rsidR="00C42FBF" w:rsidRPr="00C42FBF">
        <w:rPr>
          <w:sz w:val="20"/>
        </w:rPr>
        <w:t>values</w:t>
      </w:r>
      <w:r w:rsidRPr="00C42FBF">
        <w:rPr>
          <w:sz w:val="20"/>
        </w:rPr>
        <w:t xml:space="preserve"> increase, the wake-up receiver savings improve due to the lowered impact of wake-up penalty and the WUR shows significant gains of 3-4x power savings compared to I-eDRX. As expected, the greater the power savings achievable using Deep Sleep, the better the WUR performs. Thus, WUR-2 performs better than WUR-1 as compared to I-eDRX</w:t>
      </w:r>
      <w:r w:rsidR="007403AF" w:rsidRPr="00C42FBF">
        <w:rPr>
          <w:sz w:val="20"/>
        </w:rPr>
        <w:t>.</w:t>
      </w:r>
      <w:r w:rsidRPr="00C42FBF">
        <w:rPr>
          <w:sz w:val="20"/>
        </w:rPr>
        <w:t xml:space="preserve"> </w:t>
      </w:r>
      <w:r w:rsidR="007403AF" w:rsidRPr="00C42FBF">
        <w:rPr>
          <w:sz w:val="20"/>
        </w:rPr>
        <w:t>T</w:t>
      </w:r>
      <w:r w:rsidRPr="00C42FBF">
        <w:rPr>
          <w:sz w:val="20"/>
        </w:rPr>
        <w:t xml:space="preserve">hese values are not unreasonable if we look at the power models used for IoT devices as specified in [9]. </w:t>
      </w:r>
    </w:p>
    <w:p w14:paraId="35682C41" w14:textId="3D1CB56F" w:rsidR="00EB0EF6" w:rsidRPr="00C42FBF" w:rsidRDefault="004874F9" w:rsidP="00EB0EF6">
      <w:pPr>
        <w:tabs>
          <w:tab w:val="left" w:pos="5245"/>
        </w:tabs>
        <w:rPr>
          <w:b/>
          <w:sz w:val="20"/>
        </w:rPr>
      </w:pPr>
      <w:r w:rsidRPr="00C42FBF">
        <w:rPr>
          <w:b/>
          <w:sz w:val="20"/>
        </w:rPr>
        <w:lastRenderedPageBreak/>
        <w:t>Observation 3</w:t>
      </w:r>
      <w:r w:rsidR="006C5108" w:rsidRPr="00C42FBF">
        <w:rPr>
          <w:b/>
          <w:sz w:val="20"/>
        </w:rPr>
        <w:t>: The initial analysis</w:t>
      </w:r>
      <w:r w:rsidR="00EB0EF6" w:rsidRPr="00C42FBF">
        <w:rPr>
          <w:b/>
          <w:sz w:val="20"/>
        </w:rPr>
        <w:t xml:space="preserve"> shows that for a majority of IoT traffic types as described in [7], the WUS is well-suited for power savings gain as the traffic models under consideration have IATs much higher than 30 minutes while still achieving a latency of &lt; 5 seconds. </w:t>
      </w:r>
    </w:p>
    <w:p w14:paraId="3D463197" w14:textId="69386864" w:rsidR="00EB0EF6" w:rsidRPr="00C42FBF" w:rsidRDefault="00EB0EF6" w:rsidP="00EB0EF6">
      <w:pPr>
        <w:rPr>
          <w:b/>
          <w:sz w:val="20"/>
        </w:rPr>
      </w:pPr>
      <w:r w:rsidRPr="00C42FBF">
        <w:rPr>
          <w:b/>
          <w:sz w:val="20"/>
        </w:rPr>
        <w:t>Proposal 2:</w:t>
      </w:r>
      <w:r w:rsidRPr="00C42FBF">
        <w:rPr>
          <w:sz w:val="20"/>
        </w:rPr>
        <w:t xml:space="preserve"> </w:t>
      </w:r>
      <w:r w:rsidRPr="00C42FBF">
        <w:rPr>
          <w:b/>
          <w:sz w:val="20"/>
        </w:rPr>
        <w:t>The use of WUR is mostly suited for use cases involving infrequent DL traffic; for the given example, power consumption benefits are observed for IAT of the data activity that is equal or more than 5 minutes or where the WUS does not cause the UE to wake the main receiver sooner than every few minutes.</w:t>
      </w:r>
    </w:p>
    <w:p w14:paraId="0A687272" w14:textId="77777777" w:rsidR="005041AD" w:rsidRPr="00C42FBF" w:rsidRDefault="005041AD" w:rsidP="00EB0EF6">
      <w:pPr>
        <w:rPr>
          <w:b/>
          <w:sz w:val="20"/>
        </w:rPr>
      </w:pPr>
    </w:p>
    <w:p w14:paraId="35D3B266" w14:textId="77777777" w:rsidR="005041AD" w:rsidRDefault="005041AD" w:rsidP="005041AD">
      <w:pPr>
        <w:pStyle w:val="Heading2"/>
        <w:numPr>
          <w:ilvl w:val="1"/>
          <w:numId w:val="10"/>
        </w:numPr>
        <w:rPr>
          <w:rFonts w:eastAsia="Times New Roman" w:cs="Times New Roman"/>
          <w:szCs w:val="20"/>
        </w:rPr>
      </w:pPr>
      <w:r w:rsidRPr="00A32D3E">
        <w:rPr>
          <w:rFonts w:eastAsia="Times New Roman" w:cs="Times New Roman"/>
          <w:szCs w:val="20"/>
        </w:rPr>
        <w:t>WUS Usage</w:t>
      </w:r>
    </w:p>
    <w:p w14:paraId="156FC7F4" w14:textId="7BC5940B" w:rsidR="005041AD" w:rsidRPr="00C42FBF" w:rsidRDefault="005041AD" w:rsidP="005041AD">
      <w:pPr>
        <w:rPr>
          <w:sz w:val="20"/>
        </w:rPr>
      </w:pPr>
      <w:r w:rsidRPr="00C42FBF">
        <w:rPr>
          <w:sz w:val="20"/>
        </w:rPr>
        <w:t xml:space="preserve">There are several likely ways in which the WUR may be utilized for feNB-IoT devices. </w:t>
      </w:r>
    </w:p>
    <w:p w14:paraId="12F632EE" w14:textId="18EA735D" w:rsidR="005041AD" w:rsidRPr="00C42FBF" w:rsidRDefault="005041AD" w:rsidP="005041AD">
      <w:pPr>
        <w:pStyle w:val="ListParagraph"/>
        <w:numPr>
          <w:ilvl w:val="0"/>
          <w:numId w:val="11"/>
        </w:numPr>
        <w:jc w:val="both"/>
        <w:rPr>
          <w:sz w:val="20"/>
          <w:szCs w:val="22"/>
        </w:rPr>
      </w:pPr>
      <w:r w:rsidRPr="00C42FBF">
        <w:rPr>
          <w:rFonts w:eastAsia="SimSun"/>
          <w:sz w:val="20"/>
          <w:szCs w:val="22"/>
          <w:lang w:val="en-GB" w:eastAsia="zh-CN"/>
        </w:rPr>
        <w:t xml:space="preserve">For feNB-IoT devices, [8] showed a traffic model where the UE connects to the network for DL transport and then spends time simply waiting for a DL response or a possible network command or control type of packet. In such cases, instead of using the C-eDRX mode or the paging interval during Active period in the PSM, the WUS may be a worthwhile choice, especially given the low IAT of traffic involved and the even higher overhead involved in being able to listen to the </w:t>
      </w:r>
      <w:r w:rsidR="007403AF" w:rsidRPr="00C42FBF">
        <w:rPr>
          <w:rFonts w:eastAsia="SimSun"/>
          <w:sz w:val="20"/>
          <w:szCs w:val="22"/>
          <w:lang w:val="en-GB" w:eastAsia="zh-CN"/>
        </w:rPr>
        <w:t>N</w:t>
      </w:r>
      <w:r w:rsidRPr="00C42FBF">
        <w:rPr>
          <w:rFonts w:eastAsia="SimSun"/>
          <w:sz w:val="20"/>
          <w:szCs w:val="22"/>
          <w:lang w:val="en-GB" w:eastAsia="zh-CN"/>
        </w:rPr>
        <w:t>PDCCH</w:t>
      </w:r>
      <w:r w:rsidRPr="00C42FBF">
        <w:rPr>
          <w:sz w:val="20"/>
          <w:szCs w:val="22"/>
        </w:rPr>
        <w:t>.</w:t>
      </w:r>
    </w:p>
    <w:p w14:paraId="0571D349" w14:textId="5EF97B18" w:rsidR="004874F9" w:rsidRPr="00C42FBF" w:rsidRDefault="005041AD" w:rsidP="004874F9">
      <w:pPr>
        <w:pStyle w:val="ListParagraph"/>
        <w:numPr>
          <w:ilvl w:val="0"/>
          <w:numId w:val="11"/>
        </w:numPr>
        <w:jc w:val="both"/>
        <w:rPr>
          <w:rFonts w:eastAsia="SimSun"/>
          <w:sz w:val="20"/>
          <w:szCs w:val="22"/>
          <w:lang w:val="en-GB" w:eastAsia="zh-CN"/>
        </w:rPr>
      </w:pPr>
      <w:r w:rsidRPr="00C42FBF">
        <w:rPr>
          <w:rFonts w:eastAsia="SimSun"/>
          <w:sz w:val="20"/>
          <w:szCs w:val="22"/>
          <w:lang w:val="en-GB" w:eastAsia="zh-CN"/>
        </w:rPr>
        <w:t>For C</w:t>
      </w:r>
      <w:r w:rsidR="0091261A" w:rsidRPr="00C42FBF">
        <w:rPr>
          <w:rFonts w:eastAsia="SimSun"/>
          <w:sz w:val="20"/>
          <w:szCs w:val="22"/>
          <w:lang w:val="en-GB" w:eastAsia="zh-CN"/>
        </w:rPr>
        <w:t>-</w:t>
      </w:r>
      <w:r w:rsidRPr="00C42FBF">
        <w:rPr>
          <w:rFonts w:eastAsia="SimSun"/>
          <w:sz w:val="20"/>
          <w:szCs w:val="22"/>
          <w:lang w:val="en-GB" w:eastAsia="zh-CN"/>
        </w:rPr>
        <w:t>eDRX cases, the WUS must also be indicate</w:t>
      </w:r>
      <w:r w:rsidR="007403AF" w:rsidRPr="00C42FBF">
        <w:rPr>
          <w:rFonts w:eastAsia="SimSun"/>
          <w:sz w:val="20"/>
          <w:szCs w:val="22"/>
          <w:lang w:val="en-GB" w:eastAsia="zh-CN"/>
        </w:rPr>
        <w:t>d to</w:t>
      </w:r>
      <w:r w:rsidRPr="00C42FBF">
        <w:rPr>
          <w:rFonts w:eastAsia="SimSun"/>
          <w:sz w:val="20"/>
          <w:szCs w:val="22"/>
          <w:lang w:val="en-GB" w:eastAsia="zh-CN"/>
        </w:rPr>
        <w:t xml:space="preserve"> a specific UE that needs to wake up the main receiver to re</w:t>
      </w:r>
      <w:r w:rsidR="004874F9" w:rsidRPr="00C42FBF">
        <w:rPr>
          <w:rFonts w:eastAsia="SimSun"/>
          <w:sz w:val="20"/>
          <w:szCs w:val="22"/>
          <w:lang w:val="en-GB" w:eastAsia="zh-CN"/>
        </w:rPr>
        <w:t xml:space="preserve">ad the NPDCCH. It may be possible to also use the WUR as a way to include payloads that are extremely short, to signal specific UEs to take certain actions such as listen to </w:t>
      </w:r>
      <w:r w:rsidR="007403AF" w:rsidRPr="00C42FBF">
        <w:rPr>
          <w:rFonts w:eastAsia="SimSun"/>
          <w:sz w:val="20"/>
          <w:szCs w:val="22"/>
          <w:lang w:val="en-GB" w:eastAsia="zh-CN"/>
        </w:rPr>
        <w:t>N</w:t>
      </w:r>
      <w:r w:rsidR="004874F9" w:rsidRPr="00C42FBF">
        <w:rPr>
          <w:rFonts w:eastAsia="SimSun"/>
          <w:sz w:val="20"/>
          <w:szCs w:val="22"/>
          <w:lang w:val="en-GB" w:eastAsia="zh-CN"/>
        </w:rPr>
        <w:t xml:space="preserve">PDCCH </w:t>
      </w:r>
    </w:p>
    <w:p w14:paraId="7AC34C1E" w14:textId="77777777" w:rsidR="004874F9" w:rsidRPr="00857BBB" w:rsidRDefault="004874F9" w:rsidP="004874F9">
      <w:pPr>
        <w:pStyle w:val="ListParagraph"/>
        <w:jc w:val="both"/>
        <w:rPr>
          <w:rFonts w:ascii="Arial" w:eastAsia="SimSun" w:hAnsi="Arial" w:cs="Arial"/>
          <w:sz w:val="20"/>
          <w:szCs w:val="20"/>
          <w:lang w:val="en-GB" w:eastAsia="zh-CN"/>
        </w:rPr>
      </w:pPr>
    </w:p>
    <w:p w14:paraId="7CE3FB12" w14:textId="77777777" w:rsidR="005041AD" w:rsidRDefault="005041AD" w:rsidP="005041AD">
      <w:pPr>
        <w:pStyle w:val="Heading3"/>
        <w:jc w:val="both"/>
      </w:pPr>
      <w:r>
        <w:t xml:space="preserve">Should WUR to be used as a replacement for paging indication? </w:t>
      </w:r>
    </w:p>
    <w:p w14:paraId="5123E0B1" w14:textId="1A0F01D0" w:rsidR="005041AD" w:rsidRPr="00C42FBF" w:rsidRDefault="005041AD" w:rsidP="005041AD">
      <w:pPr>
        <w:rPr>
          <w:sz w:val="20"/>
        </w:rPr>
      </w:pPr>
      <w:r w:rsidRPr="00C42FBF">
        <w:rPr>
          <w:sz w:val="20"/>
        </w:rPr>
        <w:t>There are many considerations for WUR as a replacement for paging that have not been studied here including mobility behavior, the availability of WUR in enhanced coverage modes</w:t>
      </w:r>
      <w:r w:rsidR="007403AF" w:rsidRPr="00C42FBF">
        <w:rPr>
          <w:sz w:val="20"/>
        </w:rPr>
        <w:t>,</w:t>
      </w:r>
      <w:r w:rsidRPr="00C42FBF">
        <w:rPr>
          <w:sz w:val="20"/>
        </w:rPr>
        <w:t xml:space="preserve"> etc. As an initial study, it might be more suitable to first examine the use of WUR for </w:t>
      </w:r>
      <w:r w:rsidR="004874F9" w:rsidRPr="00C42FBF">
        <w:rPr>
          <w:sz w:val="20"/>
        </w:rPr>
        <w:t xml:space="preserve">feNB-IoT </w:t>
      </w:r>
      <w:r w:rsidRPr="00C42FBF">
        <w:rPr>
          <w:sz w:val="20"/>
        </w:rPr>
        <w:t xml:space="preserve">UEs with low mobility requirements in </w:t>
      </w:r>
      <w:r w:rsidR="004C21DB" w:rsidRPr="00C42FBF">
        <w:rPr>
          <w:sz w:val="20"/>
        </w:rPr>
        <w:t>good coverage</w:t>
      </w:r>
      <w:r w:rsidRPr="00C42FBF">
        <w:rPr>
          <w:sz w:val="20"/>
        </w:rPr>
        <w:t xml:space="preserve"> areas so as to limit the paging load. There is a strong trade-off between excessive power savings achievable through WUS and frequent IATs. If there are excessive WUS waking up the UE’s main receiver, which may occur if the WUR wakes up the main receiver to receive paging messages that may not be directed to itself, then as can be seen from the analysis in figure 3 and figure 4 above, this would mimic the effect of frequent IATs, thus limiting the power savings gain. However, for low traffic loads such as those described in [7], using the wake-up signal might be feasible, pending further analysis. </w:t>
      </w:r>
    </w:p>
    <w:p w14:paraId="686FC994" w14:textId="0D5C45EF" w:rsidR="005041AD" w:rsidRPr="00C42FBF" w:rsidRDefault="005041AD" w:rsidP="005041AD">
      <w:pPr>
        <w:tabs>
          <w:tab w:val="left" w:pos="5245"/>
        </w:tabs>
        <w:rPr>
          <w:b/>
          <w:sz w:val="20"/>
        </w:rPr>
      </w:pPr>
      <w:r w:rsidRPr="00C42FBF">
        <w:rPr>
          <w:b/>
          <w:sz w:val="20"/>
        </w:rPr>
        <w:t xml:space="preserve">Observation </w:t>
      </w:r>
      <w:r w:rsidR="001F6AD7" w:rsidRPr="00C42FBF">
        <w:rPr>
          <w:b/>
          <w:sz w:val="20"/>
        </w:rPr>
        <w:t>4</w:t>
      </w:r>
      <w:r w:rsidRPr="00C42FBF">
        <w:rPr>
          <w:b/>
          <w:sz w:val="20"/>
        </w:rPr>
        <w:t>: WUS as a replacement for paging depends on the paging load and the distribution of DL data arrivals and can be considered after a much more thorough examination of DL traffic types and paging load.</w:t>
      </w:r>
    </w:p>
    <w:p w14:paraId="23952675" w14:textId="713D1E7E" w:rsidR="005041AD" w:rsidRPr="00C42FBF" w:rsidRDefault="005041AD" w:rsidP="005041AD">
      <w:pPr>
        <w:tabs>
          <w:tab w:val="left" w:pos="5245"/>
        </w:tabs>
        <w:rPr>
          <w:b/>
          <w:sz w:val="20"/>
        </w:rPr>
      </w:pPr>
      <w:r w:rsidRPr="00C42FBF">
        <w:rPr>
          <w:b/>
          <w:sz w:val="20"/>
        </w:rPr>
        <w:t xml:space="preserve">Proposal 3: For initial study of wake-up signals, the application of wake-up signals to UEs may be considered primarily for UEs </w:t>
      </w:r>
      <w:r w:rsidR="00832B92" w:rsidRPr="00C42FBF">
        <w:rPr>
          <w:b/>
          <w:sz w:val="20"/>
        </w:rPr>
        <w:t xml:space="preserve">with </w:t>
      </w:r>
      <w:r w:rsidRPr="00C42FBF">
        <w:rPr>
          <w:b/>
          <w:sz w:val="20"/>
        </w:rPr>
        <w:t xml:space="preserve">low mobility.  </w:t>
      </w:r>
      <w:r w:rsidR="00832B92" w:rsidRPr="00C42FBF">
        <w:rPr>
          <w:b/>
          <w:sz w:val="20"/>
        </w:rPr>
        <w:t>Coverage enhancement studies for WUS are FFS.</w:t>
      </w:r>
    </w:p>
    <w:p w14:paraId="2BF11B5D" w14:textId="77777777" w:rsidR="005041AD" w:rsidRDefault="005041AD" w:rsidP="005041AD">
      <w:pPr>
        <w:pStyle w:val="Heading1"/>
      </w:pPr>
      <w:r w:rsidRPr="00282882">
        <w:t>Conclusions</w:t>
      </w:r>
    </w:p>
    <w:p w14:paraId="5BB395DA" w14:textId="46D232BD" w:rsidR="005041AD" w:rsidRPr="00C42FBF" w:rsidRDefault="005041AD" w:rsidP="005041AD">
      <w:pPr>
        <w:rPr>
          <w:sz w:val="20"/>
        </w:rPr>
      </w:pPr>
      <w:r w:rsidRPr="00C42FBF">
        <w:rPr>
          <w:sz w:val="20"/>
        </w:rPr>
        <w:t>In summary, we conclude that WUS can provide significant power savings at very low latency, especially for IoT applications where DL reachability is desirable and where the DL traffic is somewhat infrequent (</w:t>
      </w:r>
      <w:r w:rsidR="004874F9" w:rsidRPr="00C42FBF">
        <w:rPr>
          <w:sz w:val="20"/>
        </w:rPr>
        <w:t xml:space="preserve">i.e. IAT of more than a few minutes, i.e. </w:t>
      </w:r>
      <w:r w:rsidR="0091261A" w:rsidRPr="00C42FBF">
        <w:rPr>
          <w:sz w:val="20"/>
        </w:rPr>
        <w:t>minutes</w:t>
      </w:r>
      <w:r w:rsidRPr="00C42FBF">
        <w:rPr>
          <w:sz w:val="20"/>
        </w:rPr>
        <w:t>).</w:t>
      </w:r>
    </w:p>
    <w:p w14:paraId="6C3C4542" w14:textId="7AF8B895" w:rsidR="004874F9" w:rsidRPr="00C42FBF" w:rsidRDefault="004874F9" w:rsidP="004874F9">
      <w:pPr>
        <w:rPr>
          <w:sz w:val="20"/>
        </w:rPr>
      </w:pPr>
      <w:r w:rsidRPr="00C42FBF">
        <w:rPr>
          <w:b/>
          <w:sz w:val="20"/>
        </w:rPr>
        <w:t xml:space="preserve">Proposal 1: Aim to define a wake-up receiver/signal design that enables the UE to avoid monitoring the </w:t>
      </w:r>
      <w:r w:rsidR="001F6AD7" w:rsidRPr="00C42FBF">
        <w:rPr>
          <w:b/>
          <w:sz w:val="20"/>
        </w:rPr>
        <w:t>N</w:t>
      </w:r>
      <w:r w:rsidRPr="00C42FBF">
        <w:rPr>
          <w:b/>
          <w:sz w:val="20"/>
        </w:rPr>
        <w:t xml:space="preserve">PDCCH during DRX ON periods either during RRC_Connected or RRC_Idle modes to reduce UE power consumption. The </w:t>
      </w:r>
      <w:r w:rsidR="001F6AD7" w:rsidRPr="00C42FBF">
        <w:rPr>
          <w:b/>
          <w:sz w:val="20"/>
        </w:rPr>
        <w:t xml:space="preserve">monitoring instances for </w:t>
      </w:r>
      <w:r w:rsidRPr="00C42FBF">
        <w:rPr>
          <w:b/>
          <w:sz w:val="20"/>
        </w:rPr>
        <w:t>WUS can also be periodically duty-cycled in a manner similar to DRX operation. Details FFS.</w:t>
      </w:r>
    </w:p>
    <w:p w14:paraId="29670F8D" w14:textId="48CFC2B2" w:rsidR="00A659D0" w:rsidRPr="00C42FBF" w:rsidRDefault="00C317B2" w:rsidP="004874F9">
      <w:pPr>
        <w:tabs>
          <w:tab w:val="left" w:pos="5245"/>
        </w:tabs>
        <w:rPr>
          <w:b/>
          <w:sz w:val="20"/>
        </w:rPr>
      </w:pPr>
      <w:r w:rsidRPr="00C42FBF">
        <w:rPr>
          <w:b/>
          <w:sz w:val="20"/>
        </w:rPr>
        <w:t>Proposal 2:</w:t>
      </w:r>
      <w:r w:rsidRPr="00C42FBF">
        <w:rPr>
          <w:sz w:val="20"/>
        </w:rPr>
        <w:t xml:space="preserve"> </w:t>
      </w:r>
      <w:r w:rsidRPr="00C42FBF">
        <w:rPr>
          <w:b/>
          <w:sz w:val="20"/>
        </w:rPr>
        <w:t>The use of WUR is mostly suited for use cases involving infrequent DL traffic; for the given example, power consumption benefits are observed for IAT of the data activity that is equal or more than 5 minutes or where the WUS does not cause the UE to wake the main receiver sooner than every few minutes</w:t>
      </w:r>
      <w:r w:rsidR="00A659D0" w:rsidRPr="00C42FBF">
        <w:rPr>
          <w:b/>
          <w:sz w:val="20"/>
        </w:rPr>
        <w:t>.</w:t>
      </w:r>
    </w:p>
    <w:p w14:paraId="64E1BE9D" w14:textId="6B8C77C0" w:rsidR="004874F9" w:rsidRDefault="00C317B2" w:rsidP="004874F9">
      <w:pPr>
        <w:tabs>
          <w:tab w:val="left" w:pos="5245"/>
        </w:tabs>
        <w:rPr>
          <w:rFonts w:ascii="Arial" w:hAnsi="Arial" w:cs="Arial"/>
          <w:b/>
          <w:sz w:val="20"/>
        </w:rPr>
      </w:pPr>
      <w:r w:rsidRPr="00C42FBF">
        <w:rPr>
          <w:b/>
          <w:sz w:val="20"/>
        </w:rPr>
        <w:t>Proposal 3: For initial study of wake-up signals, the application of wake-up signals to UEs may be considered primarily for UEs with low mobility.  Coverage enhancement studies for WUS are FFS</w:t>
      </w:r>
      <w:r w:rsidR="00C42FBF">
        <w:rPr>
          <w:b/>
          <w:sz w:val="20"/>
        </w:rPr>
        <w:t>.</w:t>
      </w:r>
      <w:bookmarkStart w:id="6" w:name="_GoBack"/>
      <w:bookmarkEnd w:id="6"/>
      <w:r w:rsidRPr="004A62C0" w:rsidDel="00C317B2">
        <w:rPr>
          <w:rFonts w:ascii="Arial" w:hAnsi="Arial" w:cs="Arial"/>
          <w:b/>
          <w:sz w:val="20"/>
        </w:rPr>
        <w:t xml:space="preserve"> </w:t>
      </w:r>
    </w:p>
    <w:p w14:paraId="2CF26EAC" w14:textId="77777777" w:rsidR="00C42FBF" w:rsidRPr="004A62C0" w:rsidRDefault="00C42FBF" w:rsidP="004874F9">
      <w:pPr>
        <w:tabs>
          <w:tab w:val="left" w:pos="5245"/>
        </w:tabs>
        <w:rPr>
          <w:rFonts w:ascii="Arial" w:hAnsi="Arial" w:cs="Arial"/>
          <w:b/>
          <w:sz w:val="20"/>
        </w:rPr>
      </w:pPr>
    </w:p>
    <w:p w14:paraId="7F731927" w14:textId="2A270EF1" w:rsidR="004874F9" w:rsidRDefault="004874F9" w:rsidP="005041AD">
      <w:pPr>
        <w:pStyle w:val="Heading1"/>
      </w:pPr>
      <w:r w:rsidRPr="00282882">
        <w:t>References</w:t>
      </w:r>
    </w:p>
    <w:bookmarkEnd w:id="1"/>
    <w:bookmarkEnd w:id="2"/>
    <w:p w14:paraId="46488F55" w14:textId="77777777" w:rsidR="00986EEC" w:rsidRPr="00C42FBF" w:rsidRDefault="00986EEC" w:rsidP="00C42FBF">
      <w:pPr>
        <w:widowControl w:val="0"/>
        <w:numPr>
          <w:ilvl w:val="0"/>
          <w:numId w:val="6"/>
        </w:numPr>
        <w:tabs>
          <w:tab w:val="clear" w:pos="567"/>
          <w:tab w:val="num" w:pos="420"/>
        </w:tabs>
        <w:overflowPunct/>
        <w:autoSpaceDE/>
        <w:adjustRightInd/>
        <w:ind w:left="420" w:hanging="420"/>
        <w:textAlignment w:val="auto"/>
        <w:rPr>
          <w:sz w:val="20"/>
          <w:szCs w:val="22"/>
        </w:rPr>
      </w:pPr>
      <w:r w:rsidRPr="00C42FBF">
        <w:rPr>
          <w:sz w:val="20"/>
          <w:szCs w:val="22"/>
        </w:rPr>
        <w:t>R1-166368, “UE Power Consideration based on Days-of-Use”, RAN1#86, Qualcomm Incorporated</w:t>
      </w:r>
    </w:p>
    <w:p w14:paraId="68AF970E" w14:textId="77777777" w:rsidR="00986EEC" w:rsidRPr="00C42FBF" w:rsidRDefault="00986EEC" w:rsidP="00C42FBF">
      <w:pPr>
        <w:widowControl w:val="0"/>
        <w:numPr>
          <w:ilvl w:val="0"/>
          <w:numId w:val="6"/>
        </w:numPr>
        <w:tabs>
          <w:tab w:val="clear" w:pos="567"/>
          <w:tab w:val="num" w:pos="420"/>
        </w:tabs>
        <w:overflowPunct/>
        <w:autoSpaceDE/>
        <w:adjustRightInd/>
        <w:ind w:left="420" w:hanging="420"/>
        <w:textAlignment w:val="auto"/>
        <w:rPr>
          <w:sz w:val="20"/>
          <w:szCs w:val="22"/>
        </w:rPr>
      </w:pPr>
      <w:r w:rsidRPr="00C42FBF">
        <w:rPr>
          <w:sz w:val="20"/>
          <w:szCs w:val="22"/>
        </w:rPr>
        <w:lastRenderedPageBreak/>
        <w:t>R1-1610134, “Methodology for UE DoU Power Consumption Analysis”, RAN1#86bis, Qualcomm Incorporated</w:t>
      </w:r>
    </w:p>
    <w:p w14:paraId="3342D27F" w14:textId="77777777" w:rsidR="00986EEC" w:rsidRPr="00C42FBF" w:rsidRDefault="00986EEC" w:rsidP="00C42FBF">
      <w:pPr>
        <w:widowControl w:val="0"/>
        <w:numPr>
          <w:ilvl w:val="0"/>
          <w:numId w:val="6"/>
        </w:numPr>
        <w:tabs>
          <w:tab w:val="clear" w:pos="567"/>
          <w:tab w:val="num" w:pos="420"/>
        </w:tabs>
        <w:overflowPunct/>
        <w:autoSpaceDE/>
        <w:adjustRightInd/>
        <w:ind w:left="420" w:hanging="420"/>
        <w:textAlignment w:val="auto"/>
        <w:rPr>
          <w:sz w:val="20"/>
          <w:szCs w:val="22"/>
        </w:rPr>
      </w:pPr>
      <w:r w:rsidRPr="00C42FBF">
        <w:rPr>
          <w:sz w:val="20"/>
          <w:szCs w:val="22"/>
        </w:rPr>
        <w:t xml:space="preserve">RP-170732, “New WID on Even further enhanced MTC for LTE”, RAN#75, Ericsson et al. </w:t>
      </w:r>
    </w:p>
    <w:p w14:paraId="259226E2" w14:textId="77777777" w:rsidR="00986EEC" w:rsidRPr="00C42FBF" w:rsidRDefault="00986EEC" w:rsidP="00C42FBF">
      <w:pPr>
        <w:widowControl w:val="0"/>
        <w:numPr>
          <w:ilvl w:val="0"/>
          <w:numId w:val="6"/>
        </w:numPr>
        <w:tabs>
          <w:tab w:val="clear" w:pos="567"/>
          <w:tab w:val="num" w:pos="420"/>
        </w:tabs>
        <w:overflowPunct/>
        <w:autoSpaceDE/>
        <w:adjustRightInd/>
        <w:ind w:left="420" w:hanging="420"/>
        <w:textAlignment w:val="auto"/>
        <w:rPr>
          <w:sz w:val="20"/>
          <w:szCs w:val="22"/>
        </w:rPr>
      </w:pPr>
      <w:r w:rsidRPr="00C42FBF">
        <w:rPr>
          <w:sz w:val="20"/>
          <w:szCs w:val="22"/>
        </w:rPr>
        <w:t>R2-152171, “Performance evaluation of extended DRX cycle in idle mode”, RAN2#90, source Intel</w:t>
      </w:r>
    </w:p>
    <w:p w14:paraId="5B0A5826" w14:textId="5614E7C8" w:rsidR="00986EEC" w:rsidRPr="00C42FBF" w:rsidRDefault="00986EEC" w:rsidP="00C42FBF">
      <w:pPr>
        <w:widowControl w:val="0"/>
        <w:numPr>
          <w:ilvl w:val="0"/>
          <w:numId w:val="6"/>
        </w:numPr>
        <w:tabs>
          <w:tab w:val="clear" w:pos="567"/>
          <w:tab w:val="num" w:pos="420"/>
        </w:tabs>
        <w:overflowPunct/>
        <w:autoSpaceDE/>
        <w:adjustRightInd/>
        <w:ind w:left="420" w:hanging="420"/>
        <w:textAlignment w:val="auto"/>
        <w:rPr>
          <w:sz w:val="20"/>
          <w:szCs w:val="22"/>
        </w:rPr>
      </w:pPr>
      <w:r w:rsidRPr="00C42FBF">
        <w:rPr>
          <w:sz w:val="20"/>
          <w:szCs w:val="22"/>
        </w:rPr>
        <w:t>R2-153281, “UE battery lifetime evaluation for MTC/C-IoT use cases”, RAN2#91, Intel</w:t>
      </w:r>
    </w:p>
    <w:p w14:paraId="72EA7049" w14:textId="77777777" w:rsidR="00986EEC" w:rsidRPr="00C42FBF" w:rsidRDefault="00986EEC" w:rsidP="00C42FBF">
      <w:pPr>
        <w:widowControl w:val="0"/>
        <w:numPr>
          <w:ilvl w:val="0"/>
          <w:numId w:val="6"/>
        </w:numPr>
        <w:tabs>
          <w:tab w:val="clear" w:pos="567"/>
          <w:tab w:val="num" w:pos="420"/>
        </w:tabs>
        <w:overflowPunct/>
        <w:autoSpaceDE/>
        <w:adjustRightInd/>
        <w:ind w:left="420" w:hanging="420"/>
        <w:textAlignment w:val="auto"/>
        <w:rPr>
          <w:sz w:val="20"/>
          <w:szCs w:val="22"/>
        </w:rPr>
      </w:pPr>
      <w:r w:rsidRPr="00C42FBF">
        <w:rPr>
          <w:sz w:val="20"/>
          <w:szCs w:val="22"/>
        </w:rPr>
        <w:t>RP-170852, “New WID on further enhanced NB-IoT for LTE”, source Ericsson et al, RAN#75</w:t>
      </w:r>
    </w:p>
    <w:p w14:paraId="26E2859A" w14:textId="77777777" w:rsidR="00986EEC" w:rsidRPr="00C42FBF" w:rsidRDefault="00986EEC" w:rsidP="00C42FBF">
      <w:pPr>
        <w:widowControl w:val="0"/>
        <w:numPr>
          <w:ilvl w:val="0"/>
          <w:numId w:val="6"/>
        </w:numPr>
        <w:tabs>
          <w:tab w:val="clear" w:pos="567"/>
          <w:tab w:val="num" w:pos="420"/>
        </w:tabs>
        <w:overflowPunct/>
        <w:autoSpaceDE/>
        <w:adjustRightInd/>
        <w:ind w:left="420" w:hanging="420"/>
        <w:textAlignment w:val="auto"/>
        <w:rPr>
          <w:sz w:val="20"/>
          <w:szCs w:val="22"/>
        </w:rPr>
      </w:pPr>
      <w:bookmarkStart w:id="7" w:name="_Ref463001619"/>
      <w:r w:rsidRPr="00C42FBF">
        <w:rPr>
          <w:sz w:val="20"/>
          <w:szCs w:val="22"/>
        </w:rPr>
        <w:t>Smartphone Energy Drain in the Wild: Analysis and Implications”, X. Chen et al, ACM Sigmetrics, 2015</w:t>
      </w:r>
    </w:p>
    <w:p w14:paraId="5B2C19C5" w14:textId="77777777" w:rsidR="00986EEC" w:rsidRPr="00C42FBF" w:rsidRDefault="00986EEC" w:rsidP="00C42FBF">
      <w:pPr>
        <w:widowControl w:val="0"/>
        <w:numPr>
          <w:ilvl w:val="0"/>
          <w:numId w:val="6"/>
        </w:numPr>
        <w:tabs>
          <w:tab w:val="clear" w:pos="567"/>
          <w:tab w:val="num" w:pos="420"/>
        </w:tabs>
        <w:overflowPunct/>
        <w:autoSpaceDE/>
        <w:adjustRightInd/>
        <w:ind w:left="420" w:hanging="420"/>
        <w:textAlignment w:val="auto"/>
        <w:rPr>
          <w:sz w:val="20"/>
          <w:szCs w:val="22"/>
        </w:rPr>
      </w:pPr>
      <w:r w:rsidRPr="00C42FBF">
        <w:rPr>
          <w:sz w:val="20"/>
          <w:szCs w:val="22"/>
        </w:rPr>
        <w:t xml:space="preserve">TR </w:t>
      </w:r>
      <w:hyperlink r:id="rId13" w:history="1">
        <w:r w:rsidRPr="00C42FBF">
          <w:rPr>
            <w:sz w:val="20"/>
            <w:szCs w:val="22"/>
          </w:rPr>
          <w:t>45.820</w:t>
        </w:r>
      </w:hyperlink>
      <w:r w:rsidRPr="00C42FBF">
        <w:rPr>
          <w:sz w:val="20"/>
          <w:szCs w:val="22"/>
        </w:rPr>
        <w:t xml:space="preserve"> “Cellular system support for ultra-low complexity and low throughput Internet of Things” v13.0.0</w:t>
      </w:r>
      <w:bookmarkEnd w:id="7"/>
    </w:p>
    <w:p w14:paraId="45E57694" w14:textId="77777777" w:rsidR="00986EEC" w:rsidRPr="00C42FBF" w:rsidRDefault="00986EEC" w:rsidP="00C42FBF">
      <w:pPr>
        <w:widowControl w:val="0"/>
        <w:numPr>
          <w:ilvl w:val="0"/>
          <w:numId w:val="6"/>
        </w:numPr>
        <w:tabs>
          <w:tab w:val="clear" w:pos="567"/>
          <w:tab w:val="num" w:pos="420"/>
        </w:tabs>
        <w:overflowPunct/>
        <w:autoSpaceDE/>
        <w:adjustRightInd/>
        <w:ind w:left="420" w:hanging="420"/>
        <w:textAlignment w:val="auto"/>
        <w:rPr>
          <w:sz w:val="20"/>
          <w:szCs w:val="22"/>
        </w:rPr>
      </w:pPr>
      <w:bookmarkStart w:id="8" w:name="_Ref471289618"/>
      <w:bookmarkStart w:id="9" w:name="_Ref471304478"/>
      <w:r w:rsidRPr="00C42FBF">
        <w:rPr>
          <w:sz w:val="20"/>
          <w:szCs w:val="22"/>
        </w:rPr>
        <w:t xml:space="preserve">TR </w:t>
      </w:r>
      <w:hyperlink r:id="rId14" w:history="1">
        <w:r w:rsidRPr="00C42FBF">
          <w:t>38.913</w:t>
        </w:r>
      </w:hyperlink>
      <w:r w:rsidRPr="00C42FBF">
        <w:rPr>
          <w:sz w:val="20"/>
          <w:szCs w:val="22"/>
        </w:rPr>
        <w:t xml:space="preserve"> “Study on Scenarios and Requirements for Next Generation Access Technologies”</w:t>
      </w:r>
      <w:bookmarkEnd w:id="8"/>
      <w:r w:rsidRPr="00C42FBF">
        <w:rPr>
          <w:sz w:val="20"/>
          <w:szCs w:val="22"/>
        </w:rPr>
        <w:t xml:space="preserve"> v14.0.0</w:t>
      </w:r>
      <w:bookmarkEnd w:id="9"/>
    </w:p>
    <w:p w14:paraId="4DC025BA" w14:textId="0F02E7B5" w:rsidR="0022592F" w:rsidRPr="00C42FBF" w:rsidRDefault="00986EEC" w:rsidP="00C42FBF">
      <w:pPr>
        <w:widowControl w:val="0"/>
        <w:numPr>
          <w:ilvl w:val="0"/>
          <w:numId w:val="6"/>
        </w:numPr>
        <w:tabs>
          <w:tab w:val="clear" w:pos="567"/>
          <w:tab w:val="num" w:pos="420"/>
        </w:tabs>
        <w:overflowPunct/>
        <w:autoSpaceDE/>
        <w:adjustRightInd/>
        <w:ind w:left="420" w:hanging="420"/>
        <w:textAlignment w:val="auto"/>
        <w:rPr>
          <w:sz w:val="20"/>
          <w:szCs w:val="22"/>
        </w:rPr>
      </w:pPr>
      <w:r w:rsidRPr="00C42FBF">
        <w:rPr>
          <w:sz w:val="20"/>
          <w:szCs w:val="22"/>
        </w:rPr>
        <w:t>R1-1703112, “On mMTC, NB-IoT and eMTC battery life evaluation”, Ericsson, RAN#88</w:t>
      </w:r>
    </w:p>
    <w:sectPr w:rsidR="0022592F" w:rsidRPr="00C42FBF" w:rsidSect="00A40951">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3EFBD" w14:textId="77777777" w:rsidR="00EF07FF" w:rsidRDefault="00EF07FF">
      <w:r>
        <w:separator/>
      </w:r>
    </w:p>
  </w:endnote>
  <w:endnote w:type="continuationSeparator" w:id="0">
    <w:p w14:paraId="35DDF769" w14:textId="77777777" w:rsidR="00EF07FF" w:rsidRDefault="00EF0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89CF8" w14:textId="77777777" w:rsidR="00CD5E94" w:rsidRDefault="00CD5E94" w:rsidP="005F3927">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D0C66" w14:textId="77777777" w:rsidR="00EF07FF" w:rsidRDefault="00EF07FF">
      <w:r>
        <w:separator/>
      </w:r>
    </w:p>
  </w:footnote>
  <w:footnote w:type="continuationSeparator" w:id="0">
    <w:p w14:paraId="49A77B28" w14:textId="77777777" w:rsidR="00EF07FF" w:rsidRDefault="00EF07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3" w15:restartNumberingAfterBreak="0">
    <w:nsid w:val="2CCD7E85"/>
    <w:multiLevelType w:val="hybridMultilevel"/>
    <w:tmpl w:val="955EA716"/>
    <w:lvl w:ilvl="0" w:tplc="BF943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DA23CA7"/>
    <w:multiLevelType w:val="hybridMultilevel"/>
    <w:tmpl w:val="07C8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035EE"/>
    <w:multiLevelType w:val="hybridMultilevel"/>
    <w:tmpl w:val="61627B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47A02F1"/>
    <w:multiLevelType w:val="hybridMultilevel"/>
    <w:tmpl w:val="51F80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0"/>
    <w:lvlOverride w:ilvl="0">
      <w:startOverride w:val="1"/>
    </w:lvlOverride>
  </w:num>
  <w:num w:numId="7">
    <w:abstractNumId w:val="4"/>
  </w:num>
  <w:num w:numId="8">
    <w:abstractNumId w:val="5"/>
  </w:num>
  <w:num w:numId="9">
    <w:abstractNumId w:val="3"/>
  </w:num>
  <w:num w:numId="10">
    <w:abstractNumId w:val="1"/>
    <w:lvlOverride w:ilvl="0">
      <w:startOverride w:val="2"/>
    </w:lvlOverride>
    <w:lvlOverride w:ilvl="1">
      <w:startOverride w:val="4"/>
    </w:lvlOverride>
  </w:num>
  <w:num w:numId="1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0B2"/>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154F"/>
    <w:rsid w:val="00094048"/>
    <w:rsid w:val="000948D4"/>
    <w:rsid w:val="00095777"/>
    <w:rsid w:val="00095B16"/>
    <w:rsid w:val="000962EF"/>
    <w:rsid w:val="00096701"/>
    <w:rsid w:val="0009677F"/>
    <w:rsid w:val="000A02AB"/>
    <w:rsid w:val="000A06B0"/>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53B7"/>
    <w:rsid w:val="000C71C0"/>
    <w:rsid w:val="000D04E8"/>
    <w:rsid w:val="000D19DC"/>
    <w:rsid w:val="000D2BF7"/>
    <w:rsid w:val="000D33B5"/>
    <w:rsid w:val="000D390B"/>
    <w:rsid w:val="000D451D"/>
    <w:rsid w:val="000D5524"/>
    <w:rsid w:val="000D74CA"/>
    <w:rsid w:val="000E1230"/>
    <w:rsid w:val="000E1467"/>
    <w:rsid w:val="000E20F5"/>
    <w:rsid w:val="000E524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6776"/>
    <w:rsid w:val="00127701"/>
    <w:rsid w:val="001319AF"/>
    <w:rsid w:val="00131CAC"/>
    <w:rsid w:val="00131F98"/>
    <w:rsid w:val="00132565"/>
    <w:rsid w:val="00133A2E"/>
    <w:rsid w:val="00140EA3"/>
    <w:rsid w:val="00141BF0"/>
    <w:rsid w:val="0014302B"/>
    <w:rsid w:val="00144197"/>
    <w:rsid w:val="00145850"/>
    <w:rsid w:val="00146184"/>
    <w:rsid w:val="00151312"/>
    <w:rsid w:val="001532D7"/>
    <w:rsid w:val="00153BA9"/>
    <w:rsid w:val="00155796"/>
    <w:rsid w:val="0016024D"/>
    <w:rsid w:val="00160FC2"/>
    <w:rsid w:val="00161340"/>
    <w:rsid w:val="001613DB"/>
    <w:rsid w:val="00163A68"/>
    <w:rsid w:val="00166D37"/>
    <w:rsid w:val="00167BA2"/>
    <w:rsid w:val="00167CDD"/>
    <w:rsid w:val="00173849"/>
    <w:rsid w:val="00177E3E"/>
    <w:rsid w:val="001805E5"/>
    <w:rsid w:val="001807D0"/>
    <w:rsid w:val="00182390"/>
    <w:rsid w:val="0018445C"/>
    <w:rsid w:val="001844BE"/>
    <w:rsid w:val="001849C3"/>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57BD"/>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D40DD"/>
    <w:rsid w:val="001D439C"/>
    <w:rsid w:val="001D4420"/>
    <w:rsid w:val="001D6428"/>
    <w:rsid w:val="001D6E54"/>
    <w:rsid w:val="001E0225"/>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1F5A"/>
    <w:rsid w:val="001F2511"/>
    <w:rsid w:val="001F2699"/>
    <w:rsid w:val="001F37FD"/>
    <w:rsid w:val="001F5400"/>
    <w:rsid w:val="001F57F3"/>
    <w:rsid w:val="001F5DE8"/>
    <w:rsid w:val="001F5E00"/>
    <w:rsid w:val="001F6AD7"/>
    <w:rsid w:val="001F6CDF"/>
    <w:rsid w:val="001F7FF8"/>
    <w:rsid w:val="00200D31"/>
    <w:rsid w:val="00202150"/>
    <w:rsid w:val="002024F0"/>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D0E"/>
    <w:rsid w:val="00223ED7"/>
    <w:rsid w:val="00224772"/>
    <w:rsid w:val="0022592F"/>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64D7"/>
    <w:rsid w:val="002665F0"/>
    <w:rsid w:val="00270647"/>
    <w:rsid w:val="00272573"/>
    <w:rsid w:val="00272A0C"/>
    <w:rsid w:val="00273972"/>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360C"/>
    <w:rsid w:val="0029402D"/>
    <w:rsid w:val="002956A7"/>
    <w:rsid w:val="00296709"/>
    <w:rsid w:val="002977EA"/>
    <w:rsid w:val="002A09F3"/>
    <w:rsid w:val="002A1174"/>
    <w:rsid w:val="002A18D9"/>
    <w:rsid w:val="002A1F00"/>
    <w:rsid w:val="002A2856"/>
    <w:rsid w:val="002A3017"/>
    <w:rsid w:val="002A301D"/>
    <w:rsid w:val="002A3B1A"/>
    <w:rsid w:val="002A4789"/>
    <w:rsid w:val="002A68EA"/>
    <w:rsid w:val="002A785F"/>
    <w:rsid w:val="002A7989"/>
    <w:rsid w:val="002B0F0A"/>
    <w:rsid w:val="002B21D4"/>
    <w:rsid w:val="002B35FB"/>
    <w:rsid w:val="002B378D"/>
    <w:rsid w:val="002B4EE8"/>
    <w:rsid w:val="002B5041"/>
    <w:rsid w:val="002B7260"/>
    <w:rsid w:val="002B7D84"/>
    <w:rsid w:val="002C0882"/>
    <w:rsid w:val="002C0C7C"/>
    <w:rsid w:val="002C4083"/>
    <w:rsid w:val="002C428B"/>
    <w:rsid w:val="002C5932"/>
    <w:rsid w:val="002C5D4E"/>
    <w:rsid w:val="002C7D07"/>
    <w:rsid w:val="002D15DC"/>
    <w:rsid w:val="002D34AF"/>
    <w:rsid w:val="002D442B"/>
    <w:rsid w:val="002D5862"/>
    <w:rsid w:val="002D5960"/>
    <w:rsid w:val="002D71E8"/>
    <w:rsid w:val="002D7695"/>
    <w:rsid w:val="002E1760"/>
    <w:rsid w:val="002E2B4A"/>
    <w:rsid w:val="002E3177"/>
    <w:rsid w:val="002E3ED5"/>
    <w:rsid w:val="002E487A"/>
    <w:rsid w:val="002E48DA"/>
    <w:rsid w:val="002E6775"/>
    <w:rsid w:val="002E7B6E"/>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10A5A"/>
    <w:rsid w:val="00313C45"/>
    <w:rsid w:val="003154F9"/>
    <w:rsid w:val="00316B2B"/>
    <w:rsid w:val="00316DB4"/>
    <w:rsid w:val="0032109D"/>
    <w:rsid w:val="00321626"/>
    <w:rsid w:val="003216DA"/>
    <w:rsid w:val="00325DD4"/>
    <w:rsid w:val="0032606A"/>
    <w:rsid w:val="0032674B"/>
    <w:rsid w:val="00326817"/>
    <w:rsid w:val="00326ACD"/>
    <w:rsid w:val="003276B1"/>
    <w:rsid w:val="00327D8E"/>
    <w:rsid w:val="0033227D"/>
    <w:rsid w:val="00332950"/>
    <w:rsid w:val="00333E28"/>
    <w:rsid w:val="0033683D"/>
    <w:rsid w:val="00336F62"/>
    <w:rsid w:val="00337A42"/>
    <w:rsid w:val="0034059C"/>
    <w:rsid w:val="003420DC"/>
    <w:rsid w:val="003447B4"/>
    <w:rsid w:val="0034578F"/>
    <w:rsid w:val="003468F1"/>
    <w:rsid w:val="00350228"/>
    <w:rsid w:val="00350528"/>
    <w:rsid w:val="003516B1"/>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7A0C"/>
    <w:rsid w:val="00387AE7"/>
    <w:rsid w:val="00390671"/>
    <w:rsid w:val="003906C0"/>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1643"/>
    <w:rsid w:val="00433392"/>
    <w:rsid w:val="00433FF0"/>
    <w:rsid w:val="0043422C"/>
    <w:rsid w:val="0043464D"/>
    <w:rsid w:val="00435423"/>
    <w:rsid w:val="00436D86"/>
    <w:rsid w:val="0044004D"/>
    <w:rsid w:val="00440887"/>
    <w:rsid w:val="00440BF0"/>
    <w:rsid w:val="004422F4"/>
    <w:rsid w:val="00442D5B"/>
    <w:rsid w:val="00442F9C"/>
    <w:rsid w:val="00445EC1"/>
    <w:rsid w:val="00450246"/>
    <w:rsid w:val="00453903"/>
    <w:rsid w:val="004542F1"/>
    <w:rsid w:val="00454BA3"/>
    <w:rsid w:val="004555BA"/>
    <w:rsid w:val="004567E5"/>
    <w:rsid w:val="00456FF3"/>
    <w:rsid w:val="00457D8E"/>
    <w:rsid w:val="004600A3"/>
    <w:rsid w:val="0046014D"/>
    <w:rsid w:val="00461128"/>
    <w:rsid w:val="004617DB"/>
    <w:rsid w:val="004620CB"/>
    <w:rsid w:val="00462AFD"/>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3B01"/>
    <w:rsid w:val="00485B5D"/>
    <w:rsid w:val="00485C52"/>
    <w:rsid w:val="00487443"/>
    <w:rsid w:val="004874F9"/>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7041"/>
    <w:rsid w:val="004C0857"/>
    <w:rsid w:val="004C207B"/>
    <w:rsid w:val="004C21DB"/>
    <w:rsid w:val="004C289B"/>
    <w:rsid w:val="004C308E"/>
    <w:rsid w:val="004C516D"/>
    <w:rsid w:val="004C6AE5"/>
    <w:rsid w:val="004C7F18"/>
    <w:rsid w:val="004D0328"/>
    <w:rsid w:val="004D0743"/>
    <w:rsid w:val="004D0EFD"/>
    <w:rsid w:val="004D1869"/>
    <w:rsid w:val="004D1D35"/>
    <w:rsid w:val="004D278C"/>
    <w:rsid w:val="004D31CA"/>
    <w:rsid w:val="004D3E76"/>
    <w:rsid w:val="004D5674"/>
    <w:rsid w:val="004D5A85"/>
    <w:rsid w:val="004E0DA7"/>
    <w:rsid w:val="004E1562"/>
    <w:rsid w:val="004E2241"/>
    <w:rsid w:val="004E2C2D"/>
    <w:rsid w:val="004E3190"/>
    <w:rsid w:val="004E4715"/>
    <w:rsid w:val="004E5031"/>
    <w:rsid w:val="004F0C1F"/>
    <w:rsid w:val="004F2493"/>
    <w:rsid w:val="004F2804"/>
    <w:rsid w:val="004F343F"/>
    <w:rsid w:val="004F388C"/>
    <w:rsid w:val="004F4877"/>
    <w:rsid w:val="004F488F"/>
    <w:rsid w:val="004F7F5C"/>
    <w:rsid w:val="0050039C"/>
    <w:rsid w:val="00501A77"/>
    <w:rsid w:val="00502129"/>
    <w:rsid w:val="005030F5"/>
    <w:rsid w:val="005034E7"/>
    <w:rsid w:val="005041AD"/>
    <w:rsid w:val="005046CC"/>
    <w:rsid w:val="0050481E"/>
    <w:rsid w:val="00505BE9"/>
    <w:rsid w:val="00506FCB"/>
    <w:rsid w:val="005106DB"/>
    <w:rsid w:val="0051150E"/>
    <w:rsid w:val="00511F22"/>
    <w:rsid w:val="00515EFD"/>
    <w:rsid w:val="0051669B"/>
    <w:rsid w:val="00516B95"/>
    <w:rsid w:val="00517656"/>
    <w:rsid w:val="005177F4"/>
    <w:rsid w:val="00517EED"/>
    <w:rsid w:val="00517F9E"/>
    <w:rsid w:val="005218B2"/>
    <w:rsid w:val="005230CD"/>
    <w:rsid w:val="0052420E"/>
    <w:rsid w:val="00524FF3"/>
    <w:rsid w:val="00527399"/>
    <w:rsid w:val="005276D8"/>
    <w:rsid w:val="00534BFB"/>
    <w:rsid w:val="00536649"/>
    <w:rsid w:val="00536997"/>
    <w:rsid w:val="005372B6"/>
    <w:rsid w:val="005409F3"/>
    <w:rsid w:val="00541CDD"/>
    <w:rsid w:val="00541E48"/>
    <w:rsid w:val="00542B9A"/>
    <w:rsid w:val="0054440F"/>
    <w:rsid w:val="0054541A"/>
    <w:rsid w:val="00545E26"/>
    <w:rsid w:val="00545E2F"/>
    <w:rsid w:val="00546845"/>
    <w:rsid w:val="00546901"/>
    <w:rsid w:val="00546979"/>
    <w:rsid w:val="00546C2B"/>
    <w:rsid w:val="00547642"/>
    <w:rsid w:val="00547B1F"/>
    <w:rsid w:val="00547C15"/>
    <w:rsid w:val="00550248"/>
    <w:rsid w:val="0055050C"/>
    <w:rsid w:val="00550879"/>
    <w:rsid w:val="005546BC"/>
    <w:rsid w:val="0055569C"/>
    <w:rsid w:val="00555885"/>
    <w:rsid w:val="0055767E"/>
    <w:rsid w:val="00557E80"/>
    <w:rsid w:val="005600E5"/>
    <w:rsid w:val="0056047C"/>
    <w:rsid w:val="0056275E"/>
    <w:rsid w:val="00562A5B"/>
    <w:rsid w:val="0056349B"/>
    <w:rsid w:val="00563AD9"/>
    <w:rsid w:val="005649D5"/>
    <w:rsid w:val="00564C06"/>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A780A"/>
    <w:rsid w:val="005A7855"/>
    <w:rsid w:val="005B16E7"/>
    <w:rsid w:val="005B4427"/>
    <w:rsid w:val="005B4F8B"/>
    <w:rsid w:val="005B603D"/>
    <w:rsid w:val="005B6E13"/>
    <w:rsid w:val="005B7EFA"/>
    <w:rsid w:val="005C27E4"/>
    <w:rsid w:val="005C37B0"/>
    <w:rsid w:val="005C5772"/>
    <w:rsid w:val="005C616D"/>
    <w:rsid w:val="005C6342"/>
    <w:rsid w:val="005C6C59"/>
    <w:rsid w:val="005D25A9"/>
    <w:rsid w:val="005D35E5"/>
    <w:rsid w:val="005D564B"/>
    <w:rsid w:val="005D6022"/>
    <w:rsid w:val="005D7804"/>
    <w:rsid w:val="005D78BF"/>
    <w:rsid w:val="005E0115"/>
    <w:rsid w:val="005E1875"/>
    <w:rsid w:val="005E1C94"/>
    <w:rsid w:val="005E1DC5"/>
    <w:rsid w:val="005E1FE9"/>
    <w:rsid w:val="005E2987"/>
    <w:rsid w:val="005E3A35"/>
    <w:rsid w:val="005E3AB8"/>
    <w:rsid w:val="005E495F"/>
    <w:rsid w:val="005E71D1"/>
    <w:rsid w:val="005E771E"/>
    <w:rsid w:val="005F261B"/>
    <w:rsid w:val="005F2F55"/>
    <w:rsid w:val="005F30F6"/>
    <w:rsid w:val="005F3927"/>
    <w:rsid w:val="005F3F86"/>
    <w:rsid w:val="005F5A31"/>
    <w:rsid w:val="005F78F1"/>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40CD"/>
    <w:rsid w:val="0061487F"/>
    <w:rsid w:val="00614CC2"/>
    <w:rsid w:val="006160CA"/>
    <w:rsid w:val="006166B3"/>
    <w:rsid w:val="00616889"/>
    <w:rsid w:val="0061696F"/>
    <w:rsid w:val="0062128F"/>
    <w:rsid w:val="00621407"/>
    <w:rsid w:val="00622229"/>
    <w:rsid w:val="00625265"/>
    <w:rsid w:val="0062616E"/>
    <w:rsid w:val="00626906"/>
    <w:rsid w:val="00630573"/>
    <w:rsid w:val="00631D63"/>
    <w:rsid w:val="006326ED"/>
    <w:rsid w:val="00632FFE"/>
    <w:rsid w:val="00633D8B"/>
    <w:rsid w:val="0063614C"/>
    <w:rsid w:val="006366A1"/>
    <w:rsid w:val="0063691D"/>
    <w:rsid w:val="00642285"/>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335D"/>
    <w:rsid w:val="0066427E"/>
    <w:rsid w:val="00664F05"/>
    <w:rsid w:val="00665C7F"/>
    <w:rsid w:val="0067124D"/>
    <w:rsid w:val="00672CBE"/>
    <w:rsid w:val="006768E9"/>
    <w:rsid w:val="00677123"/>
    <w:rsid w:val="00677DE7"/>
    <w:rsid w:val="00681F5C"/>
    <w:rsid w:val="00682FBE"/>
    <w:rsid w:val="00683167"/>
    <w:rsid w:val="00683249"/>
    <w:rsid w:val="0068329A"/>
    <w:rsid w:val="006856F5"/>
    <w:rsid w:val="006859F2"/>
    <w:rsid w:val="00686387"/>
    <w:rsid w:val="0069028F"/>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C35"/>
    <w:rsid w:val="006B3E21"/>
    <w:rsid w:val="006B40F1"/>
    <w:rsid w:val="006B4A0A"/>
    <w:rsid w:val="006B57BD"/>
    <w:rsid w:val="006B6499"/>
    <w:rsid w:val="006B6A7A"/>
    <w:rsid w:val="006C1643"/>
    <w:rsid w:val="006C1794"/>
    <w:rsid w:val="006C17E3"/>
    <w:rsid w:val="006C2E9B"/>
    <w:rsid w:val="006C4DE2"/>
    <w:rsid w:val="006C5108"/>
    <w:rsid w:val="006C602A"/>
    <w:rsid w:val="006C6A1A"/>
    <w:rsid w:val="006C6E9B"/>
    <w:rsid w:val="006C716E"/>
    <w:rsid w:val="006C71E1"/>
    <w:rsid w:val="006D191E"/>
    <w:rsid w:val="006D1C66"/>
    <w:rsid w:val="006D29F7"/>
    <w:rsid w:val="006D2F71"/>
    <w:rsid w:val="006D519B"/>
    <w:rsid w:val="006D5669"/>
    <w:rsid w:val="006D5E53"/>
    <w:rsid w:val="006D663E"/>
    <w:rsid w:val="006D7369"/>
    <w:rsid w:val="006D7962"/>
    <w:rsid w:val="006D7DA6"/>
    <w:rsid w:val="006E55E8"/>
    <w:rsid w:val="006E5C25"/>
    <w:rsid w:val="006E6105"/>
    <w:rsid w:val="006F1A4C"/>
    <w:rsid w:val="006F5AC1"/>
    <w:rsid w:val="006F66F8"/>
    <w:rsid w:val="006F7EB1"/>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25198"/>
    <w:rsid w:val="00732578"/>
    <w:rsid w:val="007326BB"/>
    <w:rsid w:val="00733A65"/>
    <w:rsid w:val="0073693E"/>
    <w:rsid w:val="0073779D"/>
    <w:rsid w:val="007403AF"/>
    <w:rsid w:val="00743C64"/>
    <w:rsid w:val="00746405"/>
    <w:rsid w:val="00747AD2"/>
    <w:rsid w:val="007500D8"/>
    <w:rsid w:val="00752956"/>
    <w:rsid w:val="00752F8E"/>
    <w:rsid w:val="00755077"/>
    <w:rsid w:val="00756142"/>
    <w:rsid w:val="00756F09"/>
    <w:rsid w:val="00756F7F"/>
    <w:rsid w:val="0075782D"/>
    <w:rsid w:val="00760F3A"/>
    <w:rsid w:val="007629A6"/>
    <w:rsid w:val="0076318C"/>
    <w:rsid w:val="0076605F"/>
    <w:rsid w:val="007663D3"/>
    <w:rsid w:val="007667F7"/>
    <w:rsid w:val="007669D3"/>
    <w:rsid w:val="00767E12"/>
    <w:rsid w:val="0077026C"/>
    <w:rsid w:val="00770D09"/>
    <w:rsid w:val="00771576"/>
    <w:rsid w:val="00771EDC"/>
    <w:rsid w:val="00772A3D"/>
    <w:rsid w:val="0077361B"/>
    <w:rsid w:val="00773FFC"/>
    <w:rsid w:val="00774CD1"/>
    <w:rsid w:val="0077595B"/>
    <w:rsid w:val="007770BE"/>
    <w:rsid w:val="00782952"/>
    <w:rsid w:val="00783380"/>
    <w:rsid w:val="0078412E"/>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68"/>
    <w:rsid w:val="007C6E80"/>
    <w:rsid w:val="007C7675"/>
    <w:rsid w:val="007C7E6D"/>
    <w:rsid w:val="007D1E8F"/>
    <w:rsid w:val="007D2274"/>
    <w:rsid w:val="007D241F"/>
    <w:rsid w:val="007D368A"/>
    <w:rsid w:val="007D5A90"/>
    <w:rsid w:val="007E0C4E"/>
    <w:rsid w:val="007E10A2"/>
    <w:rsid w:val="007E15AA"/>
    <w:rsid w:val="007E16A5"/>
    <w:rsid w:val="007E3888"/>
    <w:rsid w:val="007E5196"/>
    <w:rsid w:val="007E558B"/>
    <w:rsid w:val="007E577E"/>
    <w:rsid w:val="007E5AE3"/>
    <w:rsid w:val="007E618D"/>
    <w:rsid w:val="007E788B"/>
    <w:rsid w:val="007F0599"/>
    <w:rsid w:val="007F1207"/>
    <w:rsid w:val="007F2F54"/>
    <w:rsid w:val="007F4185"/>
    <w:rsid w:val="007F4B88"/>
    <w:rsid w:val="007F74B3"/>
    <w:rsid w:val="00801338"/>
    <w:rsid w:val="00802085"/>
    <w:rsid w:val="008037AD"/>
    <w:rsid w:val="0080392F"/>
    <w:rsid w:val="00803BF5"/>
    <w:rsid w:val="00804037"/>
    <w:rsid w:val="00806071"/>
    <w:rsid w:val="0081261A"/>
    <w:rsid w:val="0081426E"/>
    <w:rsid w:val="00814BED"/>
    <w:rsid w:val="008151A4"/>
    <w:rsid w:val="008163CB"/>
    <w:rsid w:val="00821ACA"/>
    <w:rsid w:val="00822CF0"/>
    <w:rsid w:val="00822F0F"/>
    <w:rsid w:val="00824298"/>
    <w:rsid w:val="008261E6"/>
    <w:rsid w:val="0082630C"/>
    <w:rsid w:val="008309C1"/>
    <w:rsid w:val="008311E8"/>
    <w:rsid w:val="0083155B"/>
    <w:rsid w:val="0083238E"/>
    <w:rsid w:val="008323E7"/>
    <w:rsid w:val="0083249B"/>
    <w:rsid w:val="00832B92"/>
    <w:rsid w:val="00832C20"/>
    <w:rsid w:val="008349DB"/>
    <w:rsid w:val="00835177"/>
    <w:rsid w:val="00837566"/>
    <w:rsid w:val="00840706"/>
    <w:rsid w:val="00842197"/>
    <w:rsid w:val="00842551"/>
    <w:rsid w:val="0084290D"/>
    <w:rsid w:val="00843278"/>
    <w:rsid w:val="00843935"/>
    <w:rsid w:val="00843FE0"/>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3246"/>
    <w:rsid w:val="00883689"/>
    <w:rsid w:val="00883AA9"/>
    <w:rsid w:val="0088592C"/>
    <w:rsid w:val="008873DD"/>
    <w:rsid w:val="00887B89"/>
    <w:rsid w:val="0089012E"/>
    <w:rsid w:val="00891906"/>
    <w:rsid w:val="00891E4D"/>
    <w:rsid w:val="00895AF3"/>
    <w:rsid w:val="00897751"/>
    <w:rsid w:val="008A06D6"/>
    <w:rsid w:val="008A1A15"/>
    <w:rsid w:val="008A43A0"/>
    <w:rsid w:val="008A45ED"/>
    <w:rsid w:val="008A7CED"/>
    <w:rsid w:val="008B04FE"/>
    <w:rsid w:val="008B342F"/>
    <w:rsid w:val="008B4FB5"/>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6317"/>
    <w:rsid w:val="008D7549"/>
    <w:rsid w:val="008D7BBF"/>
    <w:rsid w:val="008E7A58"/>
    <w:rsid w:val="008F1079"/>
    <w:rsid w:val="008F25F8"/>
    <w:rsid w:val="008F4349"/>
    <w:rsid w:val="008F4A4D"/>
    <w:rsid w:val="008F6109"/>
    <w:rsid w:val="008F6F03"/>
    <w:rsid w:val="00901FDC"/>
    <w:rsid w:val="0090250F"/>
    <w:rsid w:val="00904D66"/>
    <w:rsid w:val="00905EB6"/>
    <w:rsid w:val="00906473"/>
    <w:rsid w:val="0090717B"/>
    <w:rsid w:val="00910CAF"/>
    <w:rsid w:val="0091122A"/>
    <w:rsid w:val="00911608"/>
    <w:rsid w:val="0091261A"/>
    <w:rsid w:val="00913067"/>
    <w:rsid w:val="00913905"/>
    <w:rsid w:val="00913C73"/>
    <w:rsid w:val="00914396"/>
    <w:rsid w:val="00915CF3"/>
    <w:rsid w:val="0091672B"/>
    <w:rsid w:val="00916BE7"/>
    <w:rsid w:val="0091781F"/>
    <w:rsid w:val="00917ED6"/>
    <w:rsid w:val="00920358"/>
    <w:rsid w:val="00920A0E"/>
    <w:rsid w:val="00922076"/>
    <w:rsid w:val="00924A1B"/>
    <w:rsid w:val="00927B1B"/>
    <w:rsid w:val="00927C8B"/>
    <w:rsid w:val="009302C2"/>
    <w:rsid w:val="0093123B"/>
    <w:rsid w:val="00931898"/>
    <w:rsid w:val="00933164"/>
    <w:rsid w:val="00933C37"/>
    <w:rsid w:val="0093477D"/>
    <w:rsid w:val="00934C02"/>
    <w:rsid w:val="00942674"/>
    <w:rsid w:val="0094632A"/>
    <w:rsid w:val="0094743B"/>
    <w:rsid w:val="00947D45"/>
    <w:rsid w:val="009504B8"/>
    <w:rsid w:val="00951222"/>
    <w:rsid w:val="00951365"/>
    <w:rsid w:val="00951625"/>
    <w:rsid w:val="00951A4B"/>
    <w:rsid w:val="009549F7"/>
    <w:rsid w:val="00954E54"/>
    <w:rsid w:val="00957989"/>
    <w:rsid w:val="00957C5B"/>
    <w:rsid w:val="00957FA4"/>
    <w:rsid w:val="00962B63"/>
    <w:rsid w:val="00962D3B"/>
    <w:rsid w:val="0096341F"/>
    <w:rsid w:val="0096358B"/>
    <w:rsid w:val="00965A93"/>
    <w:rsid w:val="00967512"/>
    <w:rsid w:val="00970BA7"/>
    <w:rsid w:val="0097173A"/>
    <w:rsid w:val="009725A6"/>
    <w:rsid w:val="00972A74"/>
    <w:rsid w:val="00973C2D"/>
    <w:rsid w:val="009741CA"/>
    <w:rsid w:val="00975E3D"/>
    <w:rsid w:val="009768EB"/>
    <w:rsid w:val="009779A8"/>
    <w:rsid w:val="0098032E"/>
    <w:rsid w:val="009804DC"/>
    <w:rsid w:val="00981461"/>
    <w:rsid w:val="00981A5E"/>
    <w:rsid w:val="00981D8C"/>
    <w:rsid w:val="009826E6"/>
    <w:rsid w:val="0098483D"/>
    <w:rsid w:val="00984D77"/>
    <w:rsid w:val="00984E2D"/>
    <w:rsid w:val="0098621D"/>
    <w:rsid w:val="00986C1A"/>
    <w:rsid w:val="00986EEC"/>
    <w:rsid w:val="00987616"/>
    <w:rsid w:val="00987A31"/>
    <w:rsid w:val="00990668"/>
    <w:rsid w:val="0099242D"/>
    <w:rsid w:val="009924B0"/>
    <w:rsid w:val="00994EC5"/>
    <w:rsid w:val="00995C36"/>
    <w:rsid w:val="009A0911"/>
    <w:rsid w:val="009A11A3"/>
    <w:rsid w:val="009A1BDC"/>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4628"/>
    <w:rsid w:val="009D5481"/>
    <w:rsid w:val="009D5550"/>
    <w:rsid w:val="009D69C8"/>
    <w:rsid w:val="009E36A1"/>
    <w:rsid w:val="009E4669"/>
    <w:rsid w:val="009E482C"/>
    <w:rsid w:val="009E7083"/>
    <w:rsid w:val="009F36D1"/>
    <w:rsid w:val="009F4189"/>
    <w:rsid w:val="009F42BB"/>
    <w:rsid w:val="009F4717"/>
    <w:rsid w:val="009F60D0"/>
    <w:rsid w:val="009F63EC"/>
    <w:rsid w:val="009F6B0C"/>
    <w:rsid w:val="009F721F"/>
    <w:rsid w:val="00A04429"/>
    <w:rsid w:val="00A05883"/>
    <w:rsid w:val="00A05E7D"/>
    <w:rsid w:val="00A0763E"/>
    <w:rsid w:val="00A1124A"/>
    <w:rsid w:val="00A11E04"/>
    <w:rsid w:val="00A12524"/>
    <w:rsid w:val="00A13215"/>
    <w:rsid w:val="00A141B4"/>
    <w:rsid w:val="00A147E0"/>
    <w:rsid w:val="00A14BA2"/>
    <w:rsid w:val="00A14E2E"/>
    <w:rsid w:val="00A1517D"/>
    <w:rsid w:val="00A152DF"/>
    <w:rsid w:val="00A15C9B"/>
    <w:rsid w:val="00A16793"/>
    <w:rsid w:val="00A167A9"/>
    <w:rsid w:val="00A17D85"/>
    <w:rsid w:val="00A20067"/>
    <w:rsid w:val="00A2071D"/>
    <w:rsid w:val="00A22975"/>
    <w:rsid w:val="00A23675"/>
    <w:rsid w:val="00A25C98"/>
    <w:rsid w:val="00A26A41"/>
    <w:rsid w:val="00A310DD"/>
    <w:rsid w:val="00A318D4"/>
    <w:rsid w:val="00A31F75"/>
    <w:rsid w:val="00A33838"/>
    <w:rsid w:val="00A372E4"/>
    <w:rsid w:val="00A37B87"/>
    <w:rsid w:val="00A37F4B"/>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59D0"/>
    <w:rsid w:val="00A66B3C"/>
    <w:rsid w:val="00A67C14"/>
    <w:rsid w:val="00A71093"/>
    <w:rsid w:val="00A71C2F"/>
    <w:rsid w:val="00A733AC"/>
    <w:rsid w:val="00A74832"/>
    <w:rsid w:val="00A74E45"/>
    <w:rsid w:val="00A77026"/>
    <w:rsid w:val="00A80B8B"/>
    <w:rsid w:val="00A83D27"/>
    <w:rsid w:val="00A847B3"/>
    <w:rsid w:val="00A85FBA"/>
    <w:rsid w:val="00A90374"/>
    <w:rsid w:val="00A90478"/>
    <w:rsid w:val="00A91697"/>
    <w:rsid w:val="00A92623"/>
    <w:rsid w:val="00A92D6D"/>
    <w:rsid w:val="00A93C5E"/>
    <w:rsid w:val="00A93F29"/>
    <w:rsid w:val="00A958B1"/>
    <w:rsid w:val="00A96DB3"/>
    <w:rsid w:val="00A96F11"/>
    <w:rsid w:val="00A972B8"/>
    <w:rsid w:val="00A97419"/>
    <w:rsid w:val="00A976AC"/>
    <w:rsid w:val="00A97C66"/>
    <w:rsid w:val="00AA0EBF"/>
    <w:rsid w:val="00AA2E77"/>
    <w:rsid w:val="00AA39E2"/>
    <w:rsid w:val="00AA64E9"/>
    <w:rsid w:val="00AB0D8F"/>
    <w:rsid w:val="00AB22FD"/>
    <w:rsid w:val="00AB3E9A"/>
    <w:rsid w:val="00AB4185"/>
    <w:rsid w:val="00AB6847"/>
    <w:rsid w:val="00AB7E68"/>
    <w:rsid w:val="00AC073C"/>
    <w:rsid w:val="00AC16E1"/>
    <w:rsid w:val="00AC1B98"/>
    <w:rsid w:val="00AC24AD"/>
    <w:rsid w:val="00AC2AA1"/>
    <w:rsid w:val="00AC3736"/>
    <w:rsid w:val="00AC442B"/>
    <w:rsid w:val="00AC6493"/>
    <w:rsid w:val="00AC6B7F"/>
    <w:rsid w:val="00AD3135"/>
    <w:rsid w:val="00AD4175"/>
    <w:rsid w:val="00AD5936"/>
    <w:rsid w:val="00AD6B7E"/>
    <w:rsid w:val="00AD7021"/>
    <w:rsid w:val="00AE0B89"/>
    <w:rsid w:val="00AE0D58"/>
    <w:rsid w:val="00AE2DEC"/>
    <w:rsid w:val="00AE48A9"/>
    <w:rsid w:val="00AE60F0"/>
    <w:rsid w:val="00AE6CD8"/>
    <w:rsid w:val="00AF01C4"/>
    <w:rsid w:val="00AF07CA"/>
    <w:rsid w:val="00AF12F1"/>
    <w:rsid w:val="00AF1788"/>
    <w:rsid w:val="00AF211C"/>
    <w:rsid w:val="00AF21EF"/>
    <w:rsid w:val="00AF47E5"/>
    <w:rsid w:val="00AF5C87"/>
    <w:rsid w:val="00AF5E0B"/>
    <w:rsid w:val="00AF644B"/>
    <w:rsid w:val="00AF7E20"/>
    <w:rsid w:val="00B001EB"/>
    <w:rsid w:val="00B00380"/>
    <w:rsid w:val="00B037BF"/>
    <w:rsid w:val="00B0385E"/>
    <w:rsid w:val="00B044EE"/>
    <w:rsid w:val="00B049EA"/>
    <w:rsid w:val="00B0555F"/>
    <w:rsid w:val="00B0625D"/>
    <w:rsid w:val="00B070B4"/>
    <w:rsid w:val="00B07EFE"/>
    <w:rsid w:val="00B11902"/>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E35"/>
    <w:rsid w:val="00B36058"/>
    <w:rsid w:val="00B36953"/>
    <w:rsid w:val="00B40958"/>
    <w:rsid w:val="00B40F48"/>
    <w:rsid w:val="00B41124"/>
    <w:rsid w:val="00B41EAD"/>
    <w:rsid w:val="00B42C0A"/>
    <w:rsid w:val="00B440E1"/>
    <w:rsid w:val="00B44586"/>
    <w:rsid w:val="00B44923"/>
    <w:rsid w:val="00B46990"/>
    <w:rsid w:val="00B475D4"/>
    <w:rsid w:val="00B47F66"/>
    <w:rsid w:val="00B51FD4"/>
    <w:rsid w:val="00B52E7E"/>
    <w:rsid w:val="00B53555"/>
    <w:rsid w:val="00B53724"/>
    <w:rsid w:val="00B562EB"/>
    <w:rsid w:val="00B563BE"/>
    <w:rsid w:val="00B56D62"/>
    <w:rsid w:val="00B57059"/>
    <w:rsid w:val="00B60B70"/>
    <w:rsid w:val="00B60F3E"/>
    <w:rsid w:val="00B62831"/>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E89"/>
    <w:rsid w:val="00BB6342"/>
    <w:rsid w:val="00BC0DAE"/>
    <w:rsid w:val="00BC337C"/>
    <w:rsid w:val="00BC3D9D"/>
    <w:rsid w:val="00BC3FC0"/>
    <w:rsid w:val="00BC4172"/>
    <w:rsid w:val="00BC5E27"/>
    <w:rsid w:val="00BC6C9E"/>
    <w:rsid w:val="00BC78AE"/>
    <w:rsid w:val="00BD55AD"/>
    <w:rsid w:val="00BD65D8"/>
    <w:rsid w:val="00BD6F66"/>
    <w:rsid w:val="00BD7673"/>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3BEB"/>
    <w:rsid w:val="00C0414B"/>
    <w:rsid w:val="00C0440D"/>
    <w:rsid w:val="00C04461"/>
    <w:rsid w:val="00C04C64"/>
    <w:rsid w:val="00C065EE"/>
    <w:rsid w:val="00C078CC"/>
    <w:rsid w:val="00C11E33"/>
    <w:rsid w:val="00C12244"/>
    <w:rsid w:val="00C12D00"/>
    <w:rsid w:val="00C130A8"/>
    <w:rsid w:val="00C14D4C"/>
    <w:rsid w:val="00C15647"/>
    <w:rsid w:val="00C22749"/>
    <w:rsid w:val="00C26A66"/>
    <w:rsid w:val="00C26E6D"/>
    <w:rsid w:val="00C317B2"/>
    <w:rsid w:val="00C31C0F"/>
    <w:rsid w:val="00C32F55"/>
    <w:rsid w:val="00C341CD"/>
    <w:rsid w:val="00C3454E"/>
    <w:rsid w:val="00C34A49"/>
    <w:rsid w:val="00C35780"/>
    <w:rsid w:val="00C3700B"/>
    <w:rsid w:val="00C40781"/>
    <w:rsid w:val="00C40D28"/>
    <w:rsid w:val="00C42FBF"/>
    <w:rsid w:val="00C434D1"/>
    <w:rsid w:val="00C43795"/>
    <w:rsid w:val="00C44542"/>
    <w:rsid w:val="00C44657"/>
    <w:rsid w:val="00C44F53"/>
    <w:rsid w:val="00C45BC2"/>
    <w:rsid w:val="00C47791"/>
    <w:rsid w:val="00C50462"/>
    <w:rsid w:val="00C5163A"/>
    <w:rsid w:val="00C518BE"/>
    <w:rsid w:val="00C523FF"/>
    <w:rsid w:val="00C559F1"/>
    <w:rsid w:val="00C56F01"/>
    <w:rsid w:val="00C5785A"/>
    <w:rsid w:val="00C60394"/>
    <w:rsid w:val="00C62666"/>
    <w:rsid w:val="00C62B19"/>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60D8"/>
    <w:rsid w:val="00C76256"/>
    <w:rsid w:val="00C80CD1"/>
    <w:rsid w:val="00C82DE0"/>
    <w:rsid w:val="00C82DE9"/>
    <w:rsid w:val="00C82F2D"/>
    <w:rsid w:val="00C85009"/>
    <w:rsid w:val="00C8503C"/>
    <w:rsid w:val="00C858C2"/>
    <w:rsid w:val="00C863CE"/>
    <w:rsid w:val="00C8719C"/>
    <w:rsid w:val="00C91225"/>
    <w:rsid w:val="00C92492"/>
    <w:rsid w:val="00C92D91"/>
    <w:rsid w:val="00C93035"/>
    <w:rsid w:val="00C94257"/>
    <w:rsid w:val="00C95426"/>
    <w:rsid w:val="00CA3CDE"/>
    <w:rsid w:val="00CA6C67"/>
    <w:rsid w:val="00CB0BD7"/>
    <w:rsid w:val="00CB0D6C"/>
    <w:rsid w:val="00CB2F0B"/>
    <w:rsid w:val="00CB6A16"/>
    <w:rsid w:val="00CC1B0D"/>
    <w:rsid w:val="00CC2E3D"/>
    <w:rsid w:val="00CC38BA"/>
    <w:rsid w:val="00CC4307"/>
    <w:rsid w:val="00CC51FB"/>
    <w:rsid w:val="00CC7604"/>
    <w:rsid w:val="00CD0A9B"/>
    <w:rsid w:val="00CD1404"/>
    <w:rsid w:val="00CD157D"/>
    <w:rsid w:val="00CD29BF"/>
    <w:rsid w:val="00CD3973"/>
    <w:rsid w:val="00CD4651"/>
    <w:rsid w:val="00CD4BE5"/>
    <w:rsid w:val="00CD5E94"/>
    <w:rsid w:val="00CD7C1C"/>
    <w:rsid w:val="00CE0638"/>
    <w:rsid w:val="00CE1EF5"/>
    <w:rsid w:val="00CE3671"/>
    <w:rsid w:val="00CE48FE"/>
    <w:rsid w:val="00CE605F"/>
    <w:rsid w:val="00CE7F1A"/>
    <w:rsid w:val="00CF11CD"/>
    <w:rsid w:val="00CF3496"/>
    <w:rsid w:val="00CF42D1"/>
    <w:rsid w:val="00CF7C22"/>
    <w:rsid w:val="00D00A0A"/>
    <w:rsid w:val="00D01723"/>
    <w:rsid w:val="00D01B9D"/>
    <w:rsid w:val="00D01C21"/>
    <w:rsid w:val="00D02290"/>
    <w:rsid w:val="00D03885"/>
    <w:rsid w:val="00D049CA"/>
    <w:rsid w:val="00D04E32"/>
    <w:rsid w:val="00D073C2"/>
    <w:rsid w:val="00D10B74"/>
    <w:rsid w:val="00D120A4"/>
    <w:rsid w:val="00D12CC8"/>
    <w:rsid w:val="00D13688"/>
    <w:rsid w:val="00D14D60"/>
    <w:rsid w:val="00D15956"/>
    <w:rsid w:val="00D23665"/>
    <w:rsid w:val="00D236D6"/>
    <w:rsid w:val="00D23A04"/>
    <w:rsid w:val="00D23D69"/>
    <w:rsid w:val="00D24D2C"/>
    <w:rsid w:val="00D24FE9"/>
    <w:rsid w:val="00D2539C"/>
    <w:rsid w:val="00D270FA"/>
    <w:rsid w:val="00D32D4F"/>
    <w:rsid w:val="00D3340B"/>
    <w:rsid w:val="00D335AA"/>
    <w:rsid w:val="00D3365C"/>
    <w:rsid w:val="00D33C6C"/>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776D"/>
    <w:rsid w:val="00D57AE7"/>
    <w:rsid w:val="00D60364"/>
    <w:rsid w:val="00D60B46"/>
    <w:rsid w:val="00D62F33"/>
    <w:rsid w:val="00D64EF3"/>
    <w:rsid w:val="00D65078"/>
    <w:rsid w:val="00D67A4A"/>
    <w:rsid w:val="00D67F95"/>
    <w:rsid w:val="00D73F44"/>
    <w:rsid w:val="00D74505"/>
    <w:rsid w:val="00D750D8"/>
    <w:rsid w:val="00D7588D"/>
    <w:rsid w:val="00D76AA9"/>
    <w:rsid w:val="00D76D77"/>
    <w:rsid w:val="00D76E6F"/>
    <w:rsid w:val="00D77D51"/>
    <w:rsid w:val="00D80F60"/>
    <w:rsid w:val="00D817F5"/>
    <w:rsid w:val="00D81AF9"/>
    <w:rsid w:val="00D846C7"/>
    <w:rsid w:val="00D858E0"/>
    <w:rsid w:val="00D8613E"/>
    <w:rsid w:val="00D90968"/>
    <w:rsid w:val="00D91830"/>
    <w:rsid w:val="00D91F21"/>
    <w:rsid w:val="00D91F32"/>
    <w:rsid w:val="00D92EE6"/>
    <w:rsid w:val="00D932D7"/>
    <w:rsid w:val="00D937E5"/>
    <w:rsid w:val="00D93E80"/>
    <w:rsid w:val="00D94598"/>
    <w:rsid w:val="00D946C9"/>
    <w:rsid w:val="00D96B70"/>
    <w:rsid w:val="00D97012"/>
    <w:rsid w:val="00DA13D4"/>
    <w:rsid w:val="00DA1524"/>
    <w:rsid w:val="00DA324C"/>
    <w:rsid w:val="00DA4775"/>
    <w:rsid w:val="00DA5551"/>
    <w:rsid w:val="00DA6F87"/>
    <w:rsid w:val="00DA74B9"/>
    <w:rsid w:val="00DB0F17"/>
    <w:rsid w:val="00DB387A"/>
    <w:rsid w:val="00DB4DB7"/>
    <w:rsid w:val="00DB5AF6"/>
    <w:rsid w:val="00DB5E3C"/>
    <w:rsid w:val="00DB5FB5"/>
    <w:rsid w:val="00DB6FDB"/>
    <w:rsid w:val="00DC2CFE"/>
    <w:rsid w:val="00DC3967"/>
    <w:rsid w:val="00DC445D"/>
    <w:rsid w:val="00DC4A3E"/>
    <w:rsid w:val="00DC517F"/>
    <w:rsid w:val="00DC5CE0"/>
    <w:rsid w:val="00DC66E4"/>
    <w:rsid w:val="00DD222A"/>
    <w:rsid w:val="00DD2F0C"/>
    <w:rsid w:val="00DD3216"/>
    <w:rsid w:val="00DD3BB2"/>
    <w:rsid w:val="00DD3E3A"/>
    <w:rsid w:val="00DD3E85"/>
    <w:rsid w:val="00DE0249"/>
    <w:rsid w:val="00DE0ACF"/>
    <w:rsid w:val="00DE18F9"/>
    <w:rsid w:val="00DE2058"/>
    <w:rsid w:val="00DE229A"/>
    <w:rsid w:val="00DE5F92"/>
    <w:rsid w:val="00DE6079"/>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7F0F"/>
    <w:rsid w:val="00E21210"/>
    <w:rsid w:val="00E220A3"/>
    <w:rsid w:val="00E224CF"/>
    <w:rsid w:val="00E23EE8"/>
    <w:rsid w:val="00E27F87"/>
    <w:rsid w:val="00E323B0"/>
    <w:rsid w:val="00E3325F"/>
    <w:rsid w:val="00E34CDC"/>
    <w:rsid w:val="00E3525C"/>
    <w:rsid w:val="00E35C56"/>
    <w:rsid w:val="00E36185"/>
    <w:rsid w:val="00E367B4"/>
    <w:rsid w:val="00E3684E"/>
    <w:rsid w:val="00E36D29"/>
    <w:rsid w:val="00E37586"/>
    <w:rsid w:val="00E40250"/>
    <w:rsid w:val="00E402C9"/>
    <w:rsid w:val="00E40A7A"/>
    <w:rsid w:val="00E40DB6"/>
    <w:rsid w:val="00E44E2E"/>
    <w:rsid w:val="00E4500F"/>
    <w:rsid w:val="00E47476"/>
    <w:rsid w:val="00E476CA"/>
    <w:rsid w:val="00E5071F"/>
    <w:rsid w:val="00E50FB6"/>
    <w:rsid w:val="00E51F72"/>
    <w:rsid w:val="00E53147"/>
    <w:rsid w:val="00E532E3"/>
    <w:rsid w:val="00E54888"/>
    <w:rsid w:val="00E553CB"/>
    <w:rsid w:val="00E55A1A"/>
    <w:rsid w:val="00E561E7"/>
    <w:rsid w:val="00E57276"/>
    <w:rsid w:val="00E57861"/>
    <w:rsid w:val="00E60725"/>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02A"/>
    <w:rsid w:val="00EA2399"/>
    <w:rsid w:val="00EA2B4B"/>
    <w:rsid w:val="00EA2DAF"/>
    <w:rsid w:val="00EA4C37"/>
    <w:rsid w:val="00EB03B3"/>
    <w:rsid w:val="00EB0BE3"/>
    <w:rsid w:val="00EB0EF6"/>
    <w:rsid w:val="00EB23CD"/>
    <w:rsid w:val="00EB2928"/>
    <w:rsid w:val="00EB37F4"/>
    <w:rsid w:val="00EB5BAB"/>
    <w:rsid w:val="00EB6121"/>
    <w:rsid w:val="00EB6E14"/>
    <w:rsid w:val="00EC0160"/>
    <w:rsid w:val="00EC08D5"/>
    <w:rsid w:val="00EC10BB"/>
    <w:rsid w:val="00EC3DE5"/>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7FF"/>
    <w:rsid w:val="00EF0E5B"/>
    <w:rsid w:val="00EF0F4A"/>
    <w:rsid w:val="00EF1D2A"/>
    <w:rsid w:val="00EF25DC"/>
    <w:rsid w:val="00EF3302"/>
    <w:rsid w:val="00EF4220"/>
    <w:rsid w:val="00EF5CC3"/>
    <w:rsid w:val="00EF5E82"/>
    <w:rsid w:val="00EF679E"/>
    <w:rsid w:val="00F00BAF"/>
    <w:rsid w:val="00F028FA"/>
    <w:rsid w:val="00F0382C"/>
    <w:rsid w:val="00F0586A"/>
    <w:rsid w:val="00F120CC"/>
    <w:rsid w:val="00F12EE5"/>
    <w:rsid w:val="00F12F6E"/>
    <w:rsid w:val="00F143B6"/>
    <w:rsid w:val="00F148B5"/>
    <w:rsid w:val="00F14E92"/>
    <w:rsid w:val="00F158DB"/>
    <w:rsid w:val="00F16F64"/>
    <w:rsid w:val="00F172E9"/>
    <w:rsid w:val="00F175F6"/>
    <w:rsid w:val="00F20633"/>
    <w:rsid w:val="00F20DDB"/>
    <w:rsid w:val="00F213EE"/>
    <w:rsid w:val="00F23211"/>
    <w:rsid w:val="00F2326B"/>
    <w:rsid w:val="00F24178"/>
    <w:rsid w:val="00F26B40"/>
    <w:rsid w:val="00F30403"/>
    <w:rsid w:val="00F3048A"/>
    <w:rsid w:val="00F30CEB"/>
    <w:rsid w:val="00F3611E"/>
    <w:rsid w:val="00F37293"/>
    <w:rsid w:val="00F37B6A"/>
    <w:rsid w:val="00F4249D"/>
    <w:rsid w:val="00F42A16"/>
    <w:rsid w:val="00F42E81"/>
    <w:rsid w:val="00F4409B"/>
    <w:rsid w:val="00F45A77"/>
    <w:rsid w:val="00F47F7C"/>
    <w:rsid w:val="00F509C0"/>
    <w:rsid w:val="00F52A75"/>
    <w:rsid w:val="00F52B65"/>
    <w:rsid w:val="00F5422D"/>
    <w:rsid w:val="00F552B1"/>
    <w:rsid w:val="00F55A4D"/>
    <w:rsid w:val="00F56563"/>
    <w:rsid w:val="00F62939"/>
    <w:rsid w:val="00F6478A"/>
    <w:rsid w:val="00F65890"/>
    <w:rsid w:val="00F65DF1"/>
    <w:rsid w:val="00F66E7D"/>
    <w:rsid w:val="00F70625"/>
    <w:rsid w:val="00F71335"/>
    <w:rsid w:val="00F71489"/>
    <w:rsid w:val="00F7152D"/>
    <w:rsid w:val="00F72433"/>
    <w:rsid w:val="00F7271C"/>
    <w:rsid w:val="00F72B26"/>
    <w:rsid w:val="00F7309A"/>
    <w:rsid w:val="00F7319B"/>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C14"/>
    <w:rsid w:val="00FA1ED8"/>
    <w:rsid w:val="00FA31EB"/>
    <w:rsid w:val="00FB1BE8"/>
    <w:rsid w:val="00FB25F0"/>
    <w:rsid w:val="00FB3F21"/>
    <w:rsid w:val="00FB48D1"/>
    <w:rsid w:val="00FB4B6F"/>
    <w:rsid w:val="00FB588B"/>
    <w:rsid w:val="00FC0663"/>
    <w:rsid w:val="00FC0E12"/>
    <w:rsid w:val="00FC1AB4"/>
    <w:rsid w:val="00FC222E"/>
    <w:rsid w:val="00FC2FF5"/>
    <w:rsid w:val="00FC32C8"/>
    <w:rsid w:val="00FC3586"/>
    <w:rsid w:val="00FD0B4D"/>
    <w:rsid w:val="00FD0C1D"/>
    <w:rsid w:val="00FD5005"/>
    <w:rsid w:val="00FD5C9F"/>
    <w:rsid w:val="00FD5DF0"/>
    <w:rsid w:val="00FE0386"/>
    <w:rsid w:val="00FE27D3"/>
    <w:rsid w:val="00FE405F"/>
    <w:rsid w:val="00FE590E"/>
    <w:rsid w:val="00FE5FEF"/>
    <w:rsid w:val="00FF1D56"/>
    <w:rsid w:val="00FF2DBA"/>
    <w:rsid w:val="00FF3DC9"/>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uiPriority w:val="99"/>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CommentTextChar">
    <w:name w:val="Comment Text Char"/>
    <w:basedOn w:val="DefaultParagraphFont"/>
    <w:link w:val="CommentText"/>
    <w:uiPriority w:val="99"/>
    <w:rsid w:val="0096341F"/>
    <w:rPr>
      <w:lang w:val="en-GB" w:eastAsia="zh-CN"/>
    </w:rPr>
  </w:style>
  <w:style w:type="character" w:customStyle="1" w:styleId="Heading2Char">
    <w:name w:val="Heading 2 Char"/>
    <w:basedOn w:val="DefaultParagraphFont"/>
    <w:link w:val="Heading2"/>
    <w:rsid w:val="00D62F33"/>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57713888">
      <w:bodyDiv w:val="1"/>
      <w:marLeft w:val="0"/>
      <w:marRight w:val="0"/>
      <w:marTop w:val="0"/>
      <w:marBottom w:val="0"/>
      <w:divBdr>
        <w:top w:val="none" w:sz="0" w:space="0" w:color="auto"/>
        <w:left w:val="none" w:sz="0" w:space="0" w:color="auto"/>
        <w:bottom w:val="none" w:sz="0" w:space="0" w:color="auto"/>
        <w:right w:val="none" w:sz="0" w:space="0" w:color="auto"/>
      </w:divBdr>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416560875">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yperlink" Target="ftp://www.3gpp.org/Specs/archive/45_series/45.820/45820-d10.zip"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ftp://www.3gpp.org/Specs/archive/38_series/38.913/38913-04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2379</Words>
  <Characters>11779</Characters>
  <Application>Microsoft Office Word</Application>
  <DocSecurity>0</DocSecurity>
  <Lines>214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Olof Liberg</dc:creator>
  <cp:keywords>CTPClassification=CTP_PUBLIC:VisualMarkings=</cp:keywords>
  <cp:lastModifiedBy>Ye, Qiaoyang</cp:lastModifiedBy>
  <cp:revision>2</cp:revision>
  <dcterms:created xsi:type="dcterms:W3CDTF">2017-03-25T08:21:00Z</dcterms:created>
  <dcterms:modified xsi:type="dcterms:W3CDTF">2017-03-25T08:21:00Z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497de5b6-15b8-4b1f-8a0e-be452a1184ad</vt:lpwstr>
  </property>
  <property fmtid="{D5CDD505-2E9C-101B-9397-08002B2CF9AE}" pid="3" name="CTP_TimeStamp">
    <vt:lpwstr>2017-03-25 03:11:13Z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