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5EBEAD4E" w:rsidR="00C07E87" w:rsidRPr="00D22346" w:rsidRDefault="00812072" w:rsidP="00C07E87">
      <w:pPr>
        <w:pStyle w:val="3GPPHeader"/>
        <w:spacing w:after="60"/>
        <w:rPr>
          <w:sz w:val="32"/>
          <w:szCs w:val="32"/>
          <w:highlight w:val="yellow"/>
        </w:rPr>
      </w:pPr>
      <w:r w:rsidRPr="00D22346">
        <w:t xml:space="preserve">3GPP TSG-RAN WG1 </w:t>
      </w:r>
      <w:r w:rsidR="001C2C68" w:rsidRPr="00D22346">
        <w:t>#88</w:t>
      </w:r>
      <w:r w:rsidR="00C07E87" w:rsidRPr="00D22346">
        <w:tab/>
      </w:r>
      <w:r w:rsidR="003B365D" w:rsidRPr="00D22346">
        <w:t xml:space="preserve"> </w:t>
      </w:r>
      <w:r w:rsidR="00240B51" w:rsidRPr="00D6307D">
        <w:rPr>
          <w:sz w:val="32"/>
          <w:szCs w:val="32"/>
        </w:rPr>
        <w:t>R1-</w:t>
      </w:r>
      <w:r w:rsidR="00AE553B" w:rsidRPr="00D6307D">
        <w:rPr>
          <w:sz w:val="32"/>
          <w:szCs w:val="32"/>
        </w:rPr>
        <w:t>17</w:t>
      </w:r>
      <w:r w:rsidR="00C06CE2" w:rsidRPr="00D6307D">
        <w:rPr>
          <w:sz w:val="32"/>
          <w:szCs w:val="32"/>
        </w:rPr>
        <w:t>03281</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1C27DF7F"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E77EF8">
        <w:rPr>
          <w:sz w:val="22"/>
          <w:szCs w:val="22"/>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0FC87E9"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1F5E38">
        <w:rPr>
          <w:sz w:val="22"/>
          <w:szCs w:val="22"/>
        </w:rPr>
        <w:t>Transmit Diversity Schemes for a UE-Specific Search Space</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4A99B4F" w14:textId="601375CB" w:rsidR="001F5E38" w:rsidRDefault="00E77EF8" w:rsidP="00BE3726">
      <w:pPr>
        <w:pStyle w:val="BodyText"/>
        <w:rPr>
          <w:rFonts w:eastAsia="MS Mincho"/>
          <w:lang w:eastAsia="ja-JP"/>
        </w:rPr>
      </w:pPr>
      <w:r>
        <w:rPr>
          <w:rFonts w:eastAsia="MS Mincho"/>
          <w:lang w:eastAsia="ja-JP"/>
        </w:rPr>
        <w:t xml:space="preserve">In the RAN1 NR Ad Hoc </w:t>
      </w:r>
      <w:r>
        <w:rPr>
          <w:rFonts w:eastAsia="MS Mincho"/>
          <w:lang w:eastAsia="ja-JP"/>
        </w:rPr>
        <w:fldChar w:fldCharType="begin"/>
      </w:r>
      <w:r>
        <w:rPr>
          <w:rFonts w:eastAsia="MS Mincho"/>
          <w:lang w:eastAsia="ja-JP"/>
        </w:rPr>
        <w:instrText xml:space="preserve"> REF _Ref473637092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00FB705D" w:rsidRPr="002B5943">
        <w:rPr>
          <w:rFonts w:eastAsia="MS Mincho"/>
          <w:lang w:eastAsia="ja-JP"/>
        </w:rPr>
        <w:t xml:space="preserve">, </w:t>
      </w:r>
      <w:r w:rsidR="001F5E38">
        <w:rPr>
          <w:rFonts w:eastAsia="MS Mincho"/>
          <w:lang w:eastAsia="ja-JP"/>
        </w:rPr>
        <w:t>the following was agreed.</w:t>
      </w:r>
    </w:p>
    <w:p w14:paraId="4EA1617B" w14:textId="77777777" w:rsidR="001F5E38" w:rsidRPr="00417921" w:rsidRDefault="001F5E38" w:rsidP="001F5E38">
      <w:pPr>
        <w:rPr>
          <w:rFonts w:eastAsia="MS Mincho"/>
          <w:b/>
          <w:u w:val="single"/>
          <w:lang w:eastAsia="ja-JP"/>
        </w:rPr>
      </w:pPr>
      <w:r w:rsidRPr="00FC60D5">
        <w:rPr>
          <w:rFonts w:eastAsia="MS Mincho" w:hint="eastAsia"/>
          <w:b/>
          <w:highlight w:val="green"/>
          <w:u w:val="single"/>
          <w:lang w:eastAsia="ja-JP"/>
        </w:rPr>
        <w:t>Agreements:</w:t>
      </w:r>
    </w:p>
    <w:p w14:paraId="20257DBB" w14:textId="77777777" w:rsidR="001F5E38" w:rsidRPr="00417921" w:rsidRDefault="001F5E38" w:rsidP="00074531">
      <w:pPr>
        <w:numPr>
          <w:ilvl w:val="0"/>
          <w:numId w:val="10"/>
        </w:numPr>
        <w:overflowPunct/>
        <w:autoSpaceDE/>
        <w:autoSpaceDN/>
        <w:adjustRightInd/>
        <w:spacing w:after="0"/>
        <w:jc w:val="left"/>
        <w:textAlignment w:val="auto"/>
        <w:rPr>
          <w:rFonts w:eastAsia="MS Mincho"/>
          <w:lang w:eastAsia="ja-JP"/>
        </w:rPr>
      </w:pPr>
      <w:r w:rsidRPr="00417921">
        <w:rPr>
          <w:rFonts w:eastAsia="MS Mincho"/>
          <w:lang w:eastAsia="ja-JP"/>
        </w:rPr>
        <w:t>Transmit diversity scheme for DL control channel is supported.</w:t>
      </w:r>
    </w:p>
    <w:p w14:paraId="595544CD" w14:textId="77777777" w:rsidR="001F5E38" w:rsidRPr="00417921" w:rsidRDefault="001F5E38" w:rsidP="00074531">
      <w:pPr>
        <w:numPr>
          <w:ilvl w:val="1"/>
          <w:numId w:val="10"/>
        </w:numPr>
        <w:overflowPunct/>
        <w:autoSpaceDE/>
        <w:autoSpaceDN/>
        <w:adjustRightInd/>
        <w:spacing w:after="0"/>
        <w:jc w:val="left"/>
        <w:textAlignment w:val="auto"/>
        <w:rPr>
          <w:rFonts w:eastAsia="MS Mincho"/>
          <w:lang w:eastAsia="ja-JP"/>
        </w:rPr>
      </w:pPr>
      <w:r w:rsidRPr="00417921">
        <w:rPr>
          <w:rFonts w:eastAsia="MS Mincho"/>
          <w:lang w:eastAsia="ja-JP"/>
        </w:rPr>
        <w:t>FFS; SFBC or precoder-cycling, etc</w:t>
      </w:r>
    </w:p>
    <w:p w14:paraId="373D4C75" w14:textId="77777777" w:rsidR="001F5E38" w:rsidRPr="00417921" w:rsidRDefault="001F5E38" w:rsidP="00074531">
      <w:pPr>
        <w:numPr>
          <w:ilvl w:val="2"/>
          <w:numId w:val="10"/>
        </w:numPr>
        <w:overflowPunct/>
        <w:autoSpaceDE/>
        <w:autoSpaceDN/>
        <w:adjustRightInd/>
        <w:spacing w:after="0"/>
        <w:jc w:val="left"/>
        <w:textAlignment w:val="auto"/>
        <w:rPr>
          <w:rFonts w:eastAsia="MS Mincho"/>
          <w:lang w:eastAsia="ja-JP"/>
        </w:rPr>
      </w:pPr>
      <w:r w:rsidRPr="00417921">
        <w:rPr>
          <w:rFonts w:eastAsia="MS Mincho"/>
          <w:lang w:eastAsia="ja-JP"/>
        </w:rPr>
        <w:t>Other schemes are not precluded</w:t>
      </w:r>
    </w:p>
    <w:p w14:paraId="45AAF221" w14:textId="77777777" w:rsidR="001F5E38" w:rsidRPr="00417921" w:rsidRDefault="001F5E38" w:rsidP="00074531">
      <w:pPr>
        <w:numPr>
          <w:ilvl w:val="1"/>
          <w:numId w:val="10"/>
        </w:numPr>
        <w:overflowPunct/>
        <w:autoSpaceDE/>
        <w:autoSpaceDN/>
        <w:adjustRightInd/>
        <w:spacing w:after="0"/>
        <w:jc w:val="left"/>
        <w:textAlignment w:val="auto"/>
        <w:rPr>
          <w:rFonts w:eastAsia="MS Mincho"/>
          <w:lang w:eastAsia="ja-JP"/>
        </w:rPr>
      </w:pPr>
      <w:r w:rsidRPr="00417921">
        <w:rPr>
          <w:rFonts w:eastAsia="MS Mincho"/>
          <w:lang w:eastAsia="ja-JP"/>
        </w:rPr>
        <w:t>FFS number of antenna ports (1 or 2)</w:t>
      </w:r>
    </w:p>
    <w:p w14:paraId="4A17BCB8" w14:textId="77777777" w:rsidR="001F5E38" w:rsidRPr="00417921" w:rsidRDefault="001F5E38" w:rsidP="00074531">
      <w:pPr>
        <w:numPr>
          <w:ilvl w:val="0"/>
          <w:numId w:val="10"/>
        </w:numPr>
        <w:overflowPunct/>
        <w:autoSpaceDE/>
        <w:autoSpaceDN/>
        <w:adjustRightInd/>
        <w:spacing w:after="0"/>
        <w:jc w:val="left"/>
        <w:textAlignment w:val="auto"/>
        <w:rPr>
          <w:rFonts w:eastAsia="MS Mincho"/>
          <w:lang w:eastAsia="ja-JP"/>
        </w:rPr>
      </w:pPr>
      <w:r w:rsidRPr="00417921">
        <w:rPr>
          <w:rFonts w:eastAsia="MS Mincho"/>
          <w:lang w:eastAsia="ja-JP"/>
        </w:rPr>
        <w:t>A UE assumes fixed number of RS REs per REG for control channel rate matching when the REG contains RS REs</w:t>
      </w:r>
    </w:p>
    <w:p w14:paraId="0BAFCBCB" w14:textId="5CAFE996" w:rsidR="001F5E38" w:rsidRPr="00417921" w:rsidRDefault="008B0AA9" w:rsidP="00074531">
      <w:pPr>
        <w:numPr>
          <w:ilvl w:val="1"/>
          <w:numId w:val="10"/>
        </w:numPr>
        <w:overflowPunct/>
        <w:autoSpaceDE/>
        <w:autoSpaceDN/>
        <w:adjustRightInd/>
        <w:spacing w:after="0"/>
        <w:jc w:val="left"/>
        <w:textAlignment w:val="auto"/>
        <w:rPr>
          <w:rFonts w:eastAsia="MS Mincho"/>
          <w:lang w:eastAsia="ja-JP"/>
        </w:rPr>
      </w:pPr>
      <w:r>
        <w:rPr>
          <w:rFonts w:eastAsia="MS Mincho"/>
          <w:lang w:eastAsia="ja-JP"/>
        </w:rPr>
        <w:t>FFS; I</w:t>
      </w:r>
      <w:r w:rsidR="001F5E38" w:rsidRPr="00417921">
        <w:rPr>
          <w:rFonts w:eastAsia="MS Mincho"/>
          <w:lang w:eastAsia="ja-JP"/>
        </w:rPr>
        <w:t>f the fixed number is configurable</w:t>
      </w:r>
    </w:p>
    <w:p w14:paraId="2A23CB4B" w14:textId="600C3D8A" w:rsidR="005261FA" w:rsidRDefault="005261FA" w:rsidP="005261FA"/>
    <w:p w14:paraId="207E7440" w14:textId="1DEDBB97" w:rsidR="00856434" w:rsidRDefault="00C43FE1" w:rsidP="005261FA">
      <w:r>
        <w:t>In this contribution</w:t>
      </w:r>
      <w:r w:rsidR="00EB7211">
        <w:t>,</w:t>
      </w:r>
      <w:r>
        <w:t xml:space="preserve"> we</w:t>
      </w:r>
      <w:r w:rsidR="00EB7211">
        <w:t xml:space="preserve"> discuss some options for achieving transmit diversity for the downlink control channels received in a UE-specific search space</w:t>
      </w:r>
      <w:r w:rsidR="00924D26">
        <w:t>.</w:t>
      </w:r>
    </w:p>
    <w:p w14:paraId="623B3C48" w14:textId="36483FFA" w:rsidR="005261FA" w:rsidRPr="005261FA" w:rsidRDefault="005261FA" w:rsidP="005261FA">
      <w:pPr>
        <w:pStyle w:val="Heading1"/>
      </w:pPr>
      <w:r>
        <w:t>Discussion</w:t>
      </w:r>
    </w:p>
    <w:p w14:paraId="4C021D55" w14:textId="77777777" w:rsidR="004566E1" w:rsidRDefault="00EB7211" w:rsidP="00AE553B">
      <w:r>
        <w:t xml:space="preserve">Robustness of control channels is important and a key factor that determines the performance of the system. Hence, it was agreed that some form of transmit diversity should be provided to the UE. We note that </w:t>
      </w:r>
      <w:r w:rsidR="008B0AA9">
        <w:t xml:space="preserve">transmit diversity can be provided in multiple ways. Space time/frequency block coding (STBC or SFBC) is a well-known technique that can provide diversity with two antenna ports. Precoder cycling </w:t>
      </w:r>
      <w:r w:rsidR="003A62F8">
        <w:t>is an</w:t>
      </w:r>
      <w:r w:rsidR="00DA5876">
        <w:t>other approach that can be used</w:t>
      </w:r>
      <w:r w:rsidR="004566E1">
        <w:t xml:space="preserve"> with and without transparent DMRS</w:t>
      </w:r>
      <w:r w:rsidR="006133F3">
        <w:t>.</w:t>
      </w:r>
      <w:r w:rsidR="004566E1">
        <w:t xml:space="preserve"> </w:t>
      </w:r>
    </w:p>
    <w:p w14:paraId="0DD9D7FB" w14:textId="78287F7A" w:rsidR="004566E1" w:rsidRDefault="004566E1" w:rsidP="00AE553B">
      <w:r>
        <w:t>In case of transparent DMRS</w:t>
      </w:r>
      <w:r w:rsidR="00B00121">
        <w:t xml:space="preserve"> (data RE and DMRS RE use the same precoder)</w:t>
      </w:r>
      <w:r>
        <w:t xml:space="preserve">, the precoder changes per RB and the PRG is set to 1 RB, hence the gNB is free to select the precoder for each RB and is thus responsible for providing the frequency-spatial diversity. In this case, a single DMRS port is sufficient per RB. Alternatively, the precoder changes per RE, and two or more DMRS ports is used per RB, each associated with a subset of the RE in that RB. This approach is adopted for EPDCCH in LTE with 2 DMRS ports.  </w:t>
      </w:r>
    </w:p>
    <w:p w14:paraId="355A8CA2" w14:textId="538B2EA9" w:rsidR="00BE3726" w:rsidRDefault="004566E1" w:rsidP="00AE553B">
      <w:r>
        <w:t>In non-transparent DMRS case</w:t>
      </w:r>
      <w:r w:rsidR="00B00121">
        <w:t xml:space="preserve"> (data RE and DMRS RE does not use the same precoder)</w:t>
      </w:r>
      <w:r>
        <w:t xml:space="preserve">, precoding vectors to cycle through are specified, which gives the possibility to have a large number of different precoder without scaling the DMRS overhead with the size of the precoder set. This is used for rank&gt;1 in TM3 in LTE and works well for 2 CRS ports. In the case of 4 CRS ports, there is a risk that some of the precoders in the set are pointing in the channels null-space and thus the performance of precoder cycling is less robust as it depends on the channel correlation. </w:t>
      </w:r>
      <w:r w:rsidR="006133F3">
        <w:t xml:space="preserve"> </w:t>
      </w:r>
    </w:p>
    <w:p w14:paraId="5FB7C4D6" w14:textId="1A1DF371" w:rsidR="00BC0281" w:rsidRDefault="005C608B" w:rsidP="00AA012C">
      <w:r>
        <w:t xml:space="preserve">SFBC techniques are more beneficial at higher coding rates </w:t>
      </w:r>
      <w:r w:rsidR="004566E1">
        <w:t xml:space="preserve">and correlated channels between antennas, </w:t>
      </w:r>
      <w:r>
        <w:t xml:space="preserve">where the diversity achieved via </w:t>
      </w:r>
      <w:r w:rsidR="004566E1">
        <w:t>channel de</w:t>
      </w:r>
      <w:r>
        <w:t>coding is low</w:t>
      </w:r>
      <w:r w:rsidR="00520032">
        <w:t xml:space="preserve"> and techniques such as frequency shift transmit diversity or precoder cycling provide limited gains</w:t>
      </w:r>
      <w:r>
        <w:t xml:space="preserve">. Thus, SFBC could be beneficial when the SINR is high and a low aggregation level, e.g., aggregation level 1 is used. In such a situation, the use of SFBC allows for higher coding rates, lower </w:t>
      </w:r>
      <w:r w:rsidR="004566E1">
        <w:t xml:space="preserve">CCE </w:t>
      </w:r>
      <w:r>
        <w:t xml:space="preserve">overhead and hence the multiplexing of a greater number of PDCCHs for different users for a given size of the control resource set (CORESET). </w:t>
      </w:r>
      <w:r w:rsidR="00AA012C">
        <w:t xml:space="preserve"> </w:t>
      </w:r>
    </w:p>
    <w:p w14:paraId="0B7CD473" w14:textId="77777777" w:rsidR="004566E1" w:rsidRDefault="005C608B" w:rsidP="00AE553B">
      <w:r>
        <w:lastRenderedPageBreak/>
        <w:t>While such overhead is low, it is not clear if there are many practical scenarios where a lot of users with high SINRs using low aggregation levels need to be multiplexed together</w:t>
      </w:r>
      <w:r w:rsidR="004566E1">
        <w:t xml:space="preserve"> in the same slot</w:t>
      </w:r>
      <w:r>
        <w:t xml:space="preserve">. The use of a technique such as precoder cycling has the benefit of greater flexibility than SFBC to adapt to different conditions. </w:t>
      </w:r>
    </w:p>
    <w:p w14:paraId="38887ACC" w14:textId="77777777" w:rsidR="004566E1" w:rsidRDefault="005C608B" w:rsidP="00AE553B">
      <w:r>
        <w:t>For instance, such a scheme could operate transparently so that the UE is not aware of the particular set of precoders being used by the gNB and how the cycling between them is being performed. This gives the gNB the ability to ada</w:t>
      </w:r>
      <w:r w:rsidR="006F6E0A">
        <w:t>pt seamlessly to both localized and distributed PDCCH transmissions</w:t>
      </w:r>
      <w:r w:rsidR="004566E1">
        <w:t xml:space="preserve"> without changing the transmission scheme</w:t>
      </w:r>
      <w:r w:rsidR="006F6E0A">
        <w:t xml:space="preserve">. </w:t>
      </w:r>
    </w:p>
    <w:p w14:paraId="7E4E8C1B" w14:textId="61E1DA35" w:rsidR="005C608B" w:rsidRDefault="006F6E0A" w:rsidP="00AE553B">
      <w:r>
        <w:t xml:space="preserve">The gNB may choose to use </w:t>
      </w:r>
      <w:r w:rsidR="004566E1">
        <w:t xml:space="preserve">PDCCH transmission mapped across multiple RBs </w:t>
      </w:r>
      <w:r>
        <w:t xml:space="preserve">without cycling through different precoders </w:t>
      </w:r>
      <w:r w:rsidR="004566E1">
        <w:t xml:space="preserve">per RB </w:t>
      </w:r>
      <w:r>
        <w:t xml:space="preserve">or may use </w:t>
      </w:r>
      <w:r w:rsidR="00B00121">
        <w:t xml:space="preserve">per-RB cycling </w:t>
      </w:r>
      <w:r>
        <w:t>dependent on the knowledge</w:t>
      </w:r>
      <w:r w:rsidR="00794146">
        <w:t xml:space="preserve"> of the channel at the gNB. The set of REs over which the UE may assume that the effective channel is unchanged </w:t>
      </w:r>
      <w:r w:rsidR="00B00121">
        <w:t xml:space="preserve">(i.e. the PRG size) </w:t>
      </w:r>
      <w:r w:rsidR="00794146">
        <w:t xml:space="preserve">needs to be defined. </w:t>
      </w:r>
      <w:r w:rsidR="009A17CE">
        <w:t xml:space="preserve">The structure of a control channel in terms of the size of REGs and CCEs and how the CCEs are structured is discussed in </w:t>
      </w:r>
      <w:r w:rsidR="009A17CE">
        <w:fldChar w:fldCharType="begin"/>
      </w:r>
      <w:r w:rsidR="009A17CE">
        <w:instrText xml:space="preserve"> REF _Ref473665440 \r \h </w:instrText>
      </w:r>
      <w:r w:rsidR="009A17CE">
        <w:fldChar w:fldCharType="separate"/>
      </w:r>
      <w:r w:rsidR="009A17CE">
        <w:t>[2]</w:t>
      </w:r>
      <w:r w:rsidR="009A17CE">
        <w:fldChar w:fldCharType="end"/>
      </w:r>
      <w:r w:rsidR="009A17CE">
        <w:t>. A pair of REGs contiguous in frequency or a CCE composed of four REGs contiguous in frequency is a good choice for a set over which the precoder chosen by the gNB is the same.</w:t>
      </w:r>
    </w:p>
    <w:p w14:paraId="3145FC42" w14:textId="324BDABF" w:rsidR="00B00121" w:rsidRDefault="00D36D45" w:rsidP="00AE553B">
      <w:r>
        <w:t xml:space="preserve">It is worthwhile noting that the use of an SFBC scheme can limit </w:t>
      </w:r>
      <w:r w:rsidR="00B00121">
        <w:t>the victim UEs interference suppression performance</w:t>
      </w:r>
      <w:r>
        <w:t xml:space="preserve">. For instance, if two </w:t>
      </w:r>
      <w:r w:rsidR="00B00121">
        <w:t xml:space="preserve">DMRS </w:t>
      </w:r>
      <w:r>
        <w:t>ports are defined</w:t>
      </w:r>
      <w:r w:rsidR="00B00121">
        <w:t xml:space="preserve"> for the control channel message</w:t>
      </w:r>
      <w:r>
        <w:t xml:space="preserve">, with the use of precoder cycling </w:t>
      </w:r>
      <w:r w:rsidR="00B00121">
        <w:t xml:space="preserve">or SFBC, </w:t>
      </w:r>
      <w:r w:rsidR="004B0415">
        <w:t xml:space="preserve">a </w:t>
      </w:r>
      <w:r w:rsidR="00B00121">
        <w:t xml:space="preserve">victim UE </w:t>
      </w:r>
      <w:r w:rsidR="004B0415">
        <w:t xml:space="preserve">that does not know which REs are associated with the different states of the diversity precoding </w:t>
      </w:r>
      <w:r w:rsidR="00B00121">
        <w:t xml:space="preserve">will effectively see a two-layer interferer and will thus use up two degrees of freedom in the receiver although the transmission is inherently single layer.  </w:t>
      </w:r>
      <w:r w:rsidR="004B0415">
        <w:t>While it is possible at least theoretically for victim UEs to determine the diversity precoding or precoder state of an interferer, it has so far proved difficult in LTE e.g. in the context of NAICS.</w:t>
      </w:r>
    </w:p>
    <w:p w14:paraId="13A07732" w14:textId="3C14A111" w:rsidR="00D36D45" w:rsidRDefault="00B00121" w:rsidP="00AE553B">
      <w:r>
        <w:t>I</w:t>
      </w:r>
      <w:r w:rsidR="00D36D45">
        <w:t>f the gNB wants to enable MU-MIMO operation</w:t>
      </w:r>
      <w:r>
        <w:t xml:space="preserve"> for control channels</w:t>
      </w:r>
      <w:r w:rsidR="00D36D45">
        <w:t xml:space="preserve">, </w:t>
      </w:r>
      <w:r>
        <w:t xml:space="preserve">a single DMRS port precoder cycling per PRG is more attractive since </w:t>
      </w:r>
      <w:r w:rsidR="00D36D45">
        <w:t xml:space="preserve">the </w:t>
      </w:r>
      <w:r>
        <w:t xml:space="preserve">same cell </w:t>
      </w:r>
      <w:r w:rsidR="00D36D45">
        <w:t>UE can suppress interference from the overlaid MU-MIMO transmission by using the antenna port not used for the UE’s PDCCH transmission for estimation of parameters related to the interference.</w:t>
      </w:r>
      <w:r>
        <w:t xml:space="preserve"> Victim UEs in adjacent cells will “see” a rank 1 interferer which in the IRC receiver which allows for more efficient suppression.</w:t>
      </w:r>
      <w:r w:rsidR="00D36D45">
        <w:t xml:space="preserve"> If an SFBC transmission over both antenna ports is used, such flexibility </w:t>
      </w:r>
      <w:r>
        <w:t xml:space="preserve">and performance </w:t>
      </w:r>
      <w:r w:rsidR="00D36D45">
        <w:t xml:space="preserve">in enabling MU-MIMO would be </w:t>
      </w:r>
      <w:r>
        <w:t>degraded</w:t>
      </w:r>
      <w:r w:rsidR="00D36D45">
        <w:t>.</w:t>
      </w:r>
    </w:p>
    <w:p w14:paraId="4B6CB453" w14:textId="6E4CCEA5" w:rsidR="00794146" w:rsidRDefault="00794146" w:rsidP="00AE553B">
      <w:r>
        <w:t xml:space="preserve">Considering the flexibility and transparent adaptation possible with precoder cycling, it should be the basic scheme that is used for providing transmit diversity. </w:t>
      </w:r>
    </w:p>
    <w:p w14:paraId="590276F4" w14:textId="54F7D0DC" w:rsidR="00D62376" w:rsidRDefault="00D62376" w:rsidP="00AE553B">
      <w:r>
        <w:rPr>
          <w:b/>
        </w:rPr>
        <w:t xml:space="preserve">Proposal: </w:t>
      </w:r>
      <w:r>
        <w:t xml:space="preserve">Precoder cycling </w:t>
      </w:r>
      <w:r w:rsidR="00B00121">
        <w:t xml:space="preserve">with transparent DMRS </w:t>
      </w:r>
      <w:r>
        <w:t xml:space="preserve">should </w:t>
      </w:r>
      <w:r w:rsidR="009A17CE">
        <w:t>be used for providing transmit diversity for PDCCH transmissions.</w:t>
      </w:r>
    </w:p>
    <w:p w14:paraId="487D6C2D" w14:textId="01411428" w:rsidR="009A17CE" w:rsidRPr="00D62376" w:rsidRDefault="009A17CE" w:rsidP="00AE553B">
      <w:r>
        <w:t>As discussed above, while SFBC may be useful in some scenarios, it is not clear how often these scenarios occur in practice. Furthermore, the gains of using SFBC in addition to precoder cycling over the use of only precoder cycling are not typically large when the coding rate is not high. Thus, the use of SFBC in addition to precoder cycling can be considered if further investigations show some significant benefits in realistic scenarios.</w:t>
      </w:r>
    </w:p>
    <w:p w14:paraId="0D4156C9" w14:textId="43DE6C60" w:rsidR="00C1414B" w:rsidRDefault="00AF6990" w:rsidP="00EB7211">
      <w:pPr>
        <w:pStyle w:val="BodyText"/>
        <w:overflowPunct/>
        <w:autoSpaceDE/>
        <w:autoSpaceDN/>
        <w:adjustRightInd/>
        <w:textAlignment w:val="auto"/>
      </w:pPr>
      <w:r>
        <w:t>Precoder cycling can be used with one or more antenna ports. Considering that 2 port transmissions are being considered for all channels including for PBCH, it is reasonable to define 2 ports for the transmission DL control channels. The precoder cycling can be done across the two ports.</w:t>
      </w:r>
      <w:r w:rsidR="00520032">
        <w:t xml:space="preserve"> Furthermore, the definition of two ports will allow MU-MIMO operation for control channels where the UE can perform some suppression of the interference from the other control message transmission.</w:t>
      </w:r>
    </w:p>
    <w:p w14:paraId="0E71EFDA" w14:textId="49F928D7" w:rsidR="0044104F" w:rsidRDefault="0044104F" w:rsidP="0044104F">
      <w:r>
        <w:t>A second case where SFBC techniques could be useful is at lower block error rates, such as those that may be required for URLLC applications.  Because it provide</w:t>
      </w:r>
      <w:r w:rsidR="00D6307D">
        <w:t>s</w:t>
      </w:r>
      <w:bookmarkStart w:id="0" w:name="_GoBack"/>
      <w:bookmarkEnd w:id="0"/>
      <w:r>
        <w:t xml:space="preserve"> maximum diversity order, SFBC tends to have greater gains as the block error rate decreases as compared to schemes.  However, as the code rate drops sufficiently (with sufficiently high aggregation level), again SFBC and repetition based schemes such as cycling will perform similarly.</w:t>
      </w:r>
    </w:p>
    <w:p w14:paraId="50DA94F3" w14:textId="6606AFCF" w:rsidR="0044104F" w:rsidRDefault="0044104F" w:rsidP="0044104F">
      <w:pPr>
        <w:pStyle w:val="BodyText"/>
        <w:overflowPunct/>
        <w:autoSpaceDE/>
        <w:autoSpaceDN/>
        <w:adjustRightInd/>
        <w:textAlignment w:val="auto"/>
      </w:pPr>
      <w:r>
        <w:t>Similarly, MTC devices may only have one antenna, and so diversity will be more important for this application.</w:t>
      </w:r>
    </w:p>
    <w:p w14:paraId="46F07724" w14:textId="1F4580EB" w:rsidR="0044104F" w:rsidRDefault="0044104F" w:rsidP="0044104F">
      <w:pPr>
        <w:pStyle w:val="BodyText"/>
        <w:overflowPunct/>
        <w:autoSpaceDE/>
        <w:autoSpaceDN/>
        <w:adjustRightInd/>
        <w:textAlignment w:val="auto"/>
      </w:pPr>
      <w:r>
        <w:t xml:space="preserve">From the above discussion, we can see that two ports can be useful </w:t>
      </w:r>
      <w:r w:rsidR="00D6307D">
        <w:t xml:space="preserve">for either MU-MIMO or SFBC, as </w:t>
      </w:r>
      <w:r>
        <w:t>well as for precoder cycling. Which of these schemes are specified depends on the performance requirements for relevant use cases, and requires further study.</w:t>
      </w:r>
      <w:r w:rsidR="00B95A7B">
        <w:t xml:space="preserve"> This leads us to the following observation and proposal.</w:t>
      </w:r>
    </w:p>
    <w:p w14:paraId="37FFB6F1" w14:textId="704CDB60" w:rsidR="0044104F" w:rsidRDefault="0044104F" w:rsidP="00EB7211">
      <w:pPr>
        <w:pStyle w:val="BodyText"/>
        <w:overflowPunct/>
        <w:autoSpaceDE/>
        <w:autoSpaceDN/>
        <w:adjustRightInd/>
        <w:textAlignment w:val="auto"/>
      </w:pPr>
      <w:r w:rsidRPr="00D6307D">
        <w:rPr>
          <w:b/>
        </w:rPr>
        <w:t>Observation</w:t>
      </w:r>
      <w:r>
        <w:t xml:space="preserve">: Two ports can be useful </w:t>
      </w:r>
      <w:r w:rsidR="00D6307D">
        <w:t xml:space="preserve">for either MU-MIMO or SFBC, as </w:t>
      </w:r>
      <w:r>
        <w:t>well as for precoder cycling.</w:t>
      </w:r>
    </w:p>
    <w:p w14:paraId="110BD6A4" w14:textId="2FDDC460" w:rsidR="00AF6990" w:rsidRPr="00AF6990" w:rsidRDefault="00AF6990" w:rsidP="00EB7211">
      <w:pPr>
        <w:pStyle w:val="BodyText"/>
        <w:overflowPunct/>
        <w:autoSpaceDE/>
        <w:autoSpaceDN/>
        <w:adjustRightInd/>
        <w:textAlignment w:val="auto"/>
      </w:pPr>
      <w:r>
        <w:rPr>
          <w:b/>
        </w:rPr>
        <w:t xml:space="preserve">Proposal: </w:t>
      </w:r>
      <w:r>
        <w:t xml:space="preserve">Two antenna ports can be </w:t>
      </w:r>
      <w:r w:rsidR="003507EB">
        <w:t>considered</w:t>
      </w:r>
      <w:r>
        <w:t xml:space="preserve"> for DL control channel transmissions</w:t>
      </w:r>
    </w:p>
    <w:p w14:paraId="52194F8F" w14:textId="0EAB3294" w:rsidR="00AE553B" w:rsidRDefault="00AE553B" w:rsidP="00AE553B">
      <w:pPr>
        <w:pStyle w:val="Heading1"/>
      </w:pPr>
      <w:r>
        <w:lastRenderedPageBreak/>
        <w:t>Conclusion</w:t>
      </w:r>
    </w:p>
    <w:p w14:paraId="5042B138" w14:textId="67239840" w:rsidR="00AF6990" w:rsidRDefault="00A635A6" w:rsidP="00AF6990">
      <w:r>
        <w:t xml:space="preserve">In this contribution we discussed </w:t>
      </w:r>
      <w:r w:rsidR="00AF6990">
        <w:t>transmit diversity for DL control channels in UE-specific search spaces. We proposed the following.</w:t>
      </w:r>
    </w:p>
    <w:p w14:paraId="4C78C6EA" w14:textId="67544131" w:rsidR="0044104F" w:rsidRDefault="0044104F" w:rsidP="00D6307D">
      <w:pPr>
        <w:pStyle w:val="BodyText"/>
        <w:overflowPunct/>
        <w:autoSpaceDE/>
        <w:autoSpaceDN/>
        <w:adjustRightInd/>
        <w:textAlignment w:val="auto"/>
      </w:pPr>
      <w:r w:rsidRPr="00B3486C">
        <w:rPr>
          <w:b/>
        </w:rPr>
        <w:t>Observation</w:t>
      </w:r>
      <w:r>
        <w:t>:</w:t>
      </w:r>
    </w:p>
    <w:p w14:paraId="5B94C5EF" w14:textId="28AE9437" w:rsidR="0044104F" w:rsidRPr="003507EB" w:rsidRDefault="0044104F" w:rsidP="00D6307D">
      <w:pPr>
        <w:pStyle w:val="ListParagraph"/>
        <w:numPr>
          <w:ilvl w:val="0"/>
          <w:numId w:val="12"/>
        </w:numPr>
        <w:spacing w:after="120"/>
      </w:pPr>
      <w:r w:rsidRPr="00D6307D">
        <w:rPr>
          <w:lang w:val="en-US"/>
        </w:rPr>
        <w:t>Two ports can be useful for either MU-MIMO or SFBC, as well as for precoder cycling.</w:t>
      </w:r>
    </w:p>
    <w:p w14:paraId="6E460FEF" w14:textId="77777777" w:rsidR="00AF6990" w:rsidRDefault="00AF6990" w:rsidP="00AF6990">
      <w:pPr>
        <w:rPr>
          <w:b/>
        </w:rPr>
      </w:pPr>
      <w:r w:rsidRPr="00AF6990">
        <w:rPr>
          <w:b/>
        </w:rPr>
        <w:t>Proposal</w:t>
      </w:r>
      <w:r>
        <w:rPr>
          <w:b/>
        </w:rPr>
        <w:t>s</w:t>
      </w:r>
      <w:r w:rsidRPr="00AF6990">
        <w:rPr>
          <w:b/>
        </w:rPr>
        <w:t xml:space="preserve">: </w:t>
      </w:r>
    </w:p>
    <w:p w14:paraId="5B336004" w14:textId="334EB025" w:rsidR="00AF6990" w:rsidRPr="00D6307D" w:rsidRDefault="00AF6990" w:rsidP="00074531">
      <w:pPr>
        <w:pStyle w:val="ListParagraph"/>
        <w:numPr>
          <w:ilvl w:val="0"/>
          <w:numId w:val="12"/>
        </w:numPr>
        <w:rPr>
          <w:lang w:val="en-US"/>
        </w:rPr>
      </w:pPr>
      <w:r w:rsidRPr="00D6307D">
        <w:rPr>
          <w:lang w:val="en-US"/>
        </w:rPr>
        <w:t xml:space="preserve">Precoder cycling </w:t>
      </w:r>
      <w:r w:rsidR="003507EB">
        <w:rPr>
          <w:lang w:val="en-US"/>
        </w:rPr>
        <w:t xml:space="preserve">with transparent DMRS </w:t>
      </w:r>
      <w:r w:rsidRPr="00D6307D">
        <w:rPr>
          <w:lang w:val="en-US"/>
        </w:rPr>
        <w:t>should be used for providing transmit diversity for PDCCH transmissions.</w:t>
      </w:r>
    </w:p>
    <w:p w14:paraId="515AA2E9" w14:textId="76F3C397" w:rsidR="00A635A6" w:rsidRPr="00AE553B" w:rsidRDefault="00AF6990" w:rsidP="00074531">
      <w:pPr>
        <w:pStyle w:val="BodyText"/>
        <w:numPr>
          <w:ilvl w:val="0"/>
          <w:numId w:val="11"/>
        </w:numPr>
        <w:overflowPunct/>
        <w:autoSpaceDE/>
        <w:autoSpaceDN/>
        <w:adjustRightInd/>
        <w:textAlignment w:val="auto"/>
      </w:pPr>
      <w:r>
        <w:t xml:space="preserve">Two antenna ports can be </w:t>
      </w:r>
      <w:r w:rsidR="003507EB">
        <w:t>considered</w:t>
      </w:r>
      <w:r>
        <w:t xml:space="preserve"> for DL control channel transmissions</w:t>
      </w:r>
    </w:p>
    <w:p w14:paraId="58C004DF" w14:textId="77777777" w:rsidR="005261FA" w:rsidRPr="005261FA" w:rsidRDefault="005261FA" w:rsidP="005261FA"/>
    <w:p w14:paraId="3CA25FCB" w14:textId="67E15E7F" w:rsidR="00F507D1" w:rsidRPr="00CE0424" w:rsidRDefault="00F507D1" w:rsidP="0009033B">
      <w:pPr>
        <w:pStyle w:val="Heading1"/>
      </w:pPr>
      <w:bookmarkStart w:id="1" w:name="_In-sequence_SDU_delivery"/>
      <w:bookmarkEnd w:id="1"/>
      <w:r w:rsidRPr="00CE0424">
        <w:t>References</w:t>
      </w:r>
    </w:p>
    <w:p w14:paraId="39A48CBB" w14:textId="1AF12A28" w:rsidR="00286C66" w:rsidRDefault="00E77EF8" w:rsidP="003B365D">
      <w:pPr>
        <w:pStyle w:val="Reference"/>
      </w:pPr>
      <w:bookmarkStart w:id="2" w:name="_Ref473637092"/>
      <w:bookmarkStart w:id="3" w:name="_Ref470613638"/>
      <w:bookmarkStart w:id="4" w:name="_Ref465931227"/>
      <w:bookmarkStart w:id="5" w:name="_Ref458515583"/>
      <w:bookmarkStart w:id="6" w:name="_Ref174151459"/>
      <w:bookmarkStart w:id="7" w:name="_Ref189809556"/>
      <w:bookmarkStart w:id="8" w:name="_Ref458165837"/>
      <w:r>
        <w:t>C</w:t>
      </w:r>
      <w:r w:rsidR="004C5E10">
        <w:t xml:space="preserve">hairman notes, </w:t>
      </w:r>
      <w:r>
        <w:tab/>
      </w:r>
      <w:r w:rsidR="004C5E10">
        <w:t>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2"/>
    </w:p>
    <w:p w14:paraId="30EB0E88" w14:textId="5FEAF51E" w:rsidR="009A17CE" w:rsidRDefault="009A17CE" w:rsidP="009A17CE">
      <w:pPr>
        <w:pStyle w:val="Reference"/>
      </w:pPr>
      <w:bookmarkStart w:id="9" w:name="_Ref473665440"/>
      <w:r w:rsidRPr="009A17CE">
        <w:t>R1-17</w:t>
      </w:r>
      <w:r w:rsidR="00C06CE2">
        <w:t>03285</w:t>
      </w:r>
      <w:r w:rsidRPr="009A17CE">
        <w:t xml:space="preserve"> </w:t>
      </w:r>
      <w:r>
        <w:tab/>
      </w:r>
      <w:r>
        <w:tab/>
        <w:t xml:space="preserve">On </w:t>
      </w:r>
      <w:r w:rsidR="00C06CE2">
        <w:t>CCE Mapping to REGs</w:t>
      </w:r>
      <w:r>
        <w:t>, Ericsson</w:t>
      </w:r>
      <w:bookmarkEnd w:id="9"/>
    </w:p>
    <w:bookmarkEnd w:id="3"/>
    <w:bookmarkEnd w:id="4"/>
    <w:bookmarkEnd w:id="5"/>
    <w:bookmarkEnd w:id="6"/>
    <w:bookmarkEnd w:id="7"/>
    <w:bookmarkEnd w:id="8"/>
    <w:p w14:paraId="7BD1958E" w14:textId="115502A6" w:rsidR="002F43C5" w:rsidRPr="00BE3726" w:rsidRDefault="002F43C5" w:rsidP="00BE3726">
      <w:pPr>
        <w:pStyle w:val="Reference"/>
        <w:numPr>
          <w:ilvl w:val="0"/>
          <w:numId w:val="0"/>
        </w:numPr>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AE0C2" w14:textId="77777777" w:rsidR="00C42E9F" w:rsidRDefault="00C42E9F">
      <w:r>
        <w:separator/>
      </w:r>
    </w:p>
  </w:endnote>
  <w:endnote w:type="continuationSeparator" w:id="0">
    <w:p w14:paraId="0AE417B7" w14:textId="77777777" w:rsidR="00C42E9F" w:rsidRDefault="00C42E9F">
      <w:r>
        <w:continuationSeparator/>
      </w:r>
    </w:p>
  </w:endnote>
  <w:endnote w:type="continuationNotice" w:id="1">
    <w:p w14:paraId="065EF27A" w14:textId="77777777" w:rsidR="00C42E9F" w:rsidRDefault="00C42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76FCE5F"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307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307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5D6AC" w14:textId="77777777" w:rsidR="00C42E9F" w:rsidRDefault="00C42E9F">
      <w:r>
        <w:separator/>
      </w:r>
    </w:p>
  </w:footnote>
  <w:footnote w:type="continuationSeparator" w:id="0">
    <w:p w14:paraId="6A5E5B77" w14:textId="77777777" w:rsidR="00C42E9F" w:rsidRDefault="00C42E9F">
      <w:r>
        <w:continuationSeparator/>
      </w:r>
    </w:p>
  </w:footnote>
  <w:footnote w:type="continuationNotice" w:id="1">
    <w:p w14:paraId="164560C6" w14:textId="77777777" w:rsidR="00C42E9F" w:rsidRDefault="00C42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2"/>
  </w:num>
  <w:num w:numId="6">
    <w:abstractNumId w:val="7"/>
  </w:num>
  <w:num w:numId="7">
    <w:abstractNumId w:val="10"/>
  </w:num>
  <w:num w:numId="8">
    <w:abstractNumId w:val="3"/>
  </w:num>
  <w:num w:numId="9">
    <w:abstractNumId w:val="9"/>
  </w:num>
  <w:num w:numId="10">
    <w:abstractNumId w:val="5"/>
  </w:num>
  <w:num w:numId="11">
    <w:abstractNumId w:val="1"/>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3FF3"/>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290"/>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07EB"/>
    <w:rsid w:val="00357380"/>
    <w:rsid w:val="003602D9"/>
    <w:rsid w:val="003604CE"/>
    <w:rsid w:val="003639EA"/>
    <w:rsid w:val="00365F79"/>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3BCE"/>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04F"/>
    <w:rsid w:val="00441A92"/>
    <w:rsid w:val="00443090"/>
    <w:rsid w:val="00444F56"/>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608B"/>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6F6E0A"/>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17CE"/>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47C"/>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2C"/>
    <w:rsid w:val="00AA016F"/>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95A7B"/>
    <w:rsid w:val="00BA2280"/>
    <w:rsid w:val="00BA2A08"/>
    <w:rsid w:val="00BA56D2"/>
    <w:rsid w:val="00BA62FA"/>
    <w:rsid w:val="00BA6C49"/>
    <w:rsid w:val="00BA76E0"/>
    <w:rsid w:val="00BB0976"/>
    <w:rsid w:val="00BB207A"/>
    <w:rsid w:val="00BB2A25"/>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CE2"/>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2E9F"/>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2376"/>
    <w:rsid w:val="00D6307D"/>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682"/>
    <w:rsid w:val="00E77EF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7417"/>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F4C251-5678-4781-AFEF-5F529D563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 1</cp:lastModifiedBy>
  <cp:revision>3</cp:revision>
  <cp:lastPrinted>2008-01-31T07:09:00Z</cp:lastPrinted>
  <dcterms:created xsi:type="dcterms:W3CDTF">2017-02-07T03:56:00Z</dcterms:created>
  <dcterms:modified xsi:type="dcterms:W3CDTF">2017-02-07T03:57:00Z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