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494F26">
        <w:rPr>
          <w:rFonts w:cs="Arial"/>
          <w:bCs/>
          <w:sz w:val="22"/>
        </w:rPr>
        <w:t>0</w:t>
      </w:r>
      <w:r w:rsidR="0001062B">
        <w:rPr>
          <w:rFonts w:cs="Arial"/>
          <w:bCs/>
          <w:sz w:val="22"/>
        </w:rPr>
        <w:t>2091</w:t>
      </w:r>
    </w:p>
    <w:p w:rsidR="00C11ED7" w:rsidRPr="005D47C0" w:rsidRDefault="00D2208F" w:rsidP="00E9523A">
      <w:pPr>
        <w:pStyle w:val="Header"/>
        <w:widowControl w:val="0"/>
        <w:tabs>
          <w:tab w:val="clear" w:pos="9072"/>
          <w:tab w:val="right" w:pos="8280"/>
          <w:tab w:val="right" w:pos="9781"/>
        </w:tabs>
        <w:snapToGrid w:val="0"/>
        <w:ind w:left="-2" w:right="-57"/>
        <w:rPr>
          <w:rFonts w:cs="Arial"/>
          <w:bCs/>
          <w:sz w:val="22"/>
        </w:rPr>
      </w:pPr>
      <w:r>
        <w:rPr>
          <w:rFonts w:cs="Arial"/>
          <w:bCs/>
          <w:sz w:val="22"/>
        </w:rPr>
        <w:t>Athens</w:t>
      </w:r>
      <w:r w:rsidR="008C27F9" w:rsidRPr="00F2358D">
        <w:rPr>
          <w:rFonts w:cs="Arial"/>
          <w:bCs/>
          <w:sz w:val="22"/>
        </w:rPr>
        <w:t xml:space="preserve">, </w:t>
      </w:r>
      <w:r>
        <w:rPr>
          <w:rFonts w:cs="Arial"/>
          <w:bCs/>
          <w:sz w:val="22"/>
        </w:rPr>
        <w:t>Greece</w:t>
      </w:r>
      <w:r w:rsidR="008C27F9">
        <w:rPr>
          <w:rFonts w:cs="Arial"/>
          <w:bCs/>
          <w:sz w:val="22"/>
        </w:rPr>
        <w:t>,</w:t>
      </w:r>
      <w:r w:rsidR="008C27F9" w:rsidRPr="00F2358D">
        <w:rPr>
          <w:rFonts w:cs="Arial"/>
          <w:bCs/>
          <w:sz w:val="22"/>
        </w:rPr>
        <w:t xml:space="preserve"> 1</w:t>
      </w:r>
      <w:r>
        <w:rPr>
          <w:rFonts w:cs="Arial"/>
          <w:bCs/>
          <w:sz w:val="22"/>
        </w:rPr>
        <w:t>3</w:t>
      </w:r>
      <w:r w:rsidR="008C27F9" w:rsidRPr="00F2358D">
        <w:rPr>
          <w:rFonts w:cs="Arial"/>
          <w:bCs/>
          <w:sz w:val="22"/>
          <w:vertAlign w:val="superscript"/>
        </w:rPr>
        <w:t>th</w:t>
      </w:r>
      <w:r w:rsidR="008C27F9">
        <w:rPr>
          <w:rFonts w:eastAsia="SimSun" w:cs="Arial" w:hint="eastAsia"/>
          <w:bCs/>
          <w:sz w:val="22"/>
          <w:lang w:eastAsia="zh-CN"/>
        </w:rPr>
        <w:t xml:space="preserve"> </w:t>
      </w:r>
      <w:r w:rsidR="008C27F9" w:rsidRPr="00F2358D">
        <w:rPr>
          <w:rFonts w:cs="Arial"/>
          <w:bCs/>
          <w:sz w:val="22"/>
        </w:rPr>
        <w:t xml:space="preserve">- </w:t>
      </w:r>
      <w:r>
        <w:rPr>
          <w:rFonts w:cs="Arial"/>
          <w:bCs/>
          <w:sz w:val="22"/>
        </w:rPr>
        <w:t>17</w:t>
      </w:r>
      <w:r w:rsidR="008C27F9" w:rsidRPr="00F2358D">
        <w:rPr>
          <w:rFonts w:cs="Arial"/>
          <w:bCs/>
          <w:sz w:val="22"/>
          <w:vertAlign w:val="superscript"/>
        </w:rPr>
        <w:t>th</w:t>
      </w:r>
      <w:r w:rsidR="008C27F9">
        <w:rPr>
          <w:rFonts w:eastAsia="SimSun" w:cs="Arial" w:hint="eastAsia"/>
          <w:bCs/>
          <w:sz w:val="22"/>
          <w:lang w:eastAsia="zh-CN"/>
        </w:rPr>
        <w:t xml:space="preserve"> </w:t>
      </w:r>
      <w:r>
        <w:rPr>
          <w:rFonts w:eastAsia="SimSun" w:cs="Arial"/>
          <w:bCs/>
          <w:sz w:val="22"/>
          <w:lang w:eastAsia="zh-CN"/>
        </w:rPr>
        <w:t>Februa</w:t>
      </w:r>
      <w:r w:rsidR="008C27F9">
        <w:rPr>
          <w:rFonts w:eastAsia="SimSun" w:cs="Arial"/>
          <w:bCs/>
          <w:sz w:val="22"/>
          <w:lang w:eastAsia="zh-CN"/>
        </w:rPr>
        <w:t>ry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C15205" w:rsidRPr="00C15205">
        <w:rPr>
          <w:sz w:val="22"/>
          <w:szCs w:val="22"/>
        </w:rPr>
        <w:t>Further details of common control signaling</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C15205">
        <w:rPr>
          <w:rFonts w:eastAsia="SimSun"/>
          <w:sz w:val="22"/>
          <w:szCs w:val="22"/>
          <w:lang w:eastAsia="zh-CN"/>
        </w:rPr>
        <w:t>1.2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813BB0" w:rsidRDefault="00813BB0" w:rsidP="00813BB0">
      <w:pPr>
        <w:pStyle w:val="BodyText"/>
        <w:rPr>
          <w:rFonts w:eastAsia="SimSun"/>
          <w:lang w:eastAsia="zh-CN"/>
        </w:rPr>
      </w:pPr>
      <w:r>
        <w:rPr>
          <w:rFonts w:eastAsia="SimSun"/>
          <w:lang w:eastAsia="zh-CN"/>
        </w:rPr>
        <w:t xml:space="preserve">Common DL control signaling may encompass all non-dedicated control information required </w:t>
      </w:r>
      <w:r w:rsidR="00D90DAD">
        <w:rPr>
          <w:rFonts w:eastAsia="SimSun"/>
          <w:lang w:eastAsia="zh-CN"/>
        </w:rPr>
        <w:t>by a UE in a serving cell</w:t>
      </w:r>
      <w:r>
        <w:rPr>
          <w:rFonts w:eastAsia="SimSun"/>
          <w:lang w:eastAsia="zh-CN"/>
        </w:rPr>
        <w:t xml:space="preserve">. In contrast to LTE, NR is currently discussing several common control channels including one or more unscheduled broadcast (NR-PBCH) channels, a paging mechanism, DL control channel (NR-PDCCH) and a different L1 broadcast channel (currently called a </w:t>
      </w:r>
      <w:r w:rsidRPr="00813BB0">
        <w:rPr>
          <w:rFonts w:eastAsia="SimSun"/>
          <w:i/>
          <w:lang w:eastAsia="zh-CN"/>
        </w:rPr>
        <w:t>group-common PDCCH</w:t>
      </w:r>
      <w:r>
        <w:rPr>
          <w:rFonts w:eastAsia="SimSun"/>
          <w:lang w:eastAsia="zh-CN"/>
        </w:rPr>
        <w:t xml:space="preserve">). </w:t>
      </w:r>
    </w:p>
    <w:p w:rsidR="00700F96" w:rsidRDefault="00813BB0" w:rsidP="00813BB0">
      <w:pPr>
        <w:pStyle w:val="BodyText"/>
        <w:rPr>
          <w:rFonts w:eastAsia="SimSun"/>
          <w:lang w:eastAsia="zh-CN"/>
        </w:rPr>
      </w:pPr>
      <w:r>
        <w:rPr>
          <w:rFonts w:eastAsia="SimSun"/>
          <w:lang w:eastAsia="zh-CN"/>
        </w:rPr>
        <w:t xml:space="preserve">A number of agreements were made at the previous RAN1 </w:t>
      </w:r>
      <w:r w:rsidR="006D79EB">
        <w:rPr>
          <w:rFonts w:eastAsia="SimSun"/>
          <w:lang w:eastAsia="zh-CN"/>
        </w:rPr>
        <w:t xml:space="preserve">regular </w:t>
      </w:r>
      <w:r>
        <w:rPr>
          <w:rFonts w:eastAsia="SimSun"/>
          <w:lang w:eastAsia="zh-CN"/>
        </w:rPr>
        <w:t>and NR ad-hoc meetings to progress the DL control signaling framework including the support of a group-common PDCCH. This contribution discusses several outstanding details that we believe a</w:t>
      </w:r>
      <w:r w:rsidR="00CD74DC">
        <w:rPr>
          <w:rFonts w:eastAsia="SimSun"/>
          <w:lang w:eastAsia="zh-CN"/>
        </w:rPr>
        <w:t xml:space="preserve">re required to finalize the NR study item </w:t>
      </w:r>
      <w:r>
        <w:rPr>
          <w:rFonts w:eastAsia="SimSun"/>
          <w:lang w:eastAsia="zh-CN"/>
        </w:rPr>
        <w:t xml:space="preserve">phase. In particular we look into how several previous agreements </w:t>
      </w:r>
      <w:r w:rsidR="00CD3842">
        <w:rPr>
          <w:rFonts w:eastAsia="SimSun"/>
          <w:lang w:eastAsia="zh-CN"/>
        </w:rPr>
        <w:t xml:space="preserve">could </w:t>
      </w:r>
      <w:r>
        <w:rPr>
          <w:rFonts w:eastAsia="SimSun"/>
          <w:lang w:eastAsia="zh-CN"/>
        </w:rPr>
        <w:t xml:space="preserve">shape further discussion on </w:t>
      </w:r>
      <w:r w:rsidR="008B38A9">
        <w:rPr>
          <w:rFonts w:eastAsia="SimSun"/>
          <w:lang w:eastAsia="zh-CN"/>
        </w:rPr>
        <w:t xml:space="preserve">common control signaling </w:t>
      </w:r>
      <w:r w:rsidR="006D79EB">
        <w:rPr>
          <w:rFonts w:eastAsia="SimSun"/>
          <w:lang w:eastAsia="zh-CN"/>
        </w:rPr>
        <w:t xml:space="preserve">conveyed </w:t>
      </w:r>
      <w:r w:rsidR="00F70833">
        <w:rPr>
          <w:rFonts w:eastAsia="SimSun"/>
          <w:lang w:eastAsia="zh-CN"/>
        </w:rPr>
        <w:t xml:space="preserve">on the </w:t>
      </w:r>
      <w:r w:rsidR="008B38A9">
        <w:rPr>
          <w:rFonts w:eastAsia="SimSun"/>
          <w:lang w:eastAsia="zh-CN"/>
        </w:rPr>
        <w:t>NR-PDCCH</w:t>
      </w:r>
      <w:r w:rsidR="006D79EB">
        <w:rPr>
          <w:rFonts w:eastAsia="SimSun"/>
          <w:lang w:eastAsia="zh-CN"/>
        </w:rPr>
        <w:t xml:space="preserve">. We also discuss </w:t>
      </w:r>
      <w:r w:rsidR="008B38A9">
        <w:rPr>
          <w:rFonts w:eastAsia="SimSun"/>
          <w:lang w:eastAsia="zh-CN"/>
        </w:rPr>
        <w:t>the structure and contents of the group-common PDCCH.</w:t>
      </w:r>
      <w:r>
        <w:rPr>
          <w:rFonts w:eastAsia="SimSun"/>
          <w:lang w:eastAsia="zh-CN"/>
        </w:rPr>
        <w:t xml:space="preserve"> </w:t>
      </w:r>
    </w:p>
    <w:p w:rsidR="001016AC" w:rsidRDefault="008B38A9" w:rsidP="0039087A">
      <w:pPr>
        <w:pStyle w:val="Heading1"/>
      </w:pPr>
      <w:r>
        <w:t>Common control signaling via NR-PDCCH</w:t>
      </w:r>
    </w:p>
    <w:p w:rsidR="0040320B" w:rsidRDefault="00FB3AB5" w:rsidP="0040320B">
      <w:pPr>
        <w:pStyle w:val="BodyText"/>
        <w:rPr>
          <w:rFonts w:eastAsia="SimSun"/>
          <w:lang w:eastAsia="zh-CN"/>
        </w:rPr>
      </w:pPr>
      <w:r>
        <w:rPr>
          <w:rFonts w:eastAsia="SimSun"/>
          <w:lang w:eastAsia="zh-CN"/>
        </w:rPr>
        <w:t>Similarly to LTE, the NR-PDCCH may be used to deliver cell-wide (or beam-wide) common control information</w:t>
      </w:r>
      <w:r w:rsidR="00CD74DC">
        <w:rPr>
          <w:rFonts w:eastAsia="SimSun"/>
          <w:lang w:eastAsia="zh-CN"/>
        </w:rPr>
        <w:t xml:space="preserve"> such as on-demand system information (S</w:t>
      </w:r>
      <w:r>
        <w:rPr>
          <w:rFonts w:eastAsia="SimSun"/>
          <w:lang w:eastAsia="zh-CN"/>
        </w:rPr>
        <w:t>I</w:t>
      </w:r>
      <w:r w:rsidR="00CD74DC">
        <w:rPr>
          <w:rFonts w:eastAsia="SimSun"/>
          <w:lang w:eastAsia="zh-CN"/>
        </w:rPr>
        <w:t>)</w:t>
      </w:r>
      <w:r>
        <w:rPr>
          <w:rFonts w:eastAsia="SimSun"/>
          <w:lang w:eastAsia="zh-CN"/>
        </w:rPr>
        <w:t xml:space="preserve">, group power control commands and perhaps paging (depending on the </w:t>
      </w:r>
      <w:r w:rsidR="00A663D4">
        <w:rPr>
          <w:rFonts w:eastAsia="SimSun"/>
          <w:lang w:eastAsia="zh-CN"/>
        </w:rPr>
        <w:t xml:space="preserve">final </w:t>
      </w:r>
      <w:r w:rsidR="007F5BBC">
        <w:rPr>
          <w:rFonts w:eastAsia="SimSun"/>
          <w:lang w:eastAsia="zh-CN"/>
        </w:rPr>
        <w:t xml:space="preserve">design of a </w:t>
      </w:r>
      <w:r w:rsidR="00A663D4">
        <w:rPr>
          <w:rFonts w:eastAsia="SimSun"/>
          <w:lang w:eastAsia="zh-CN"/>
        </w:rPr>
        <w:t>paging</w:t>
      </w:r>
      <w:r>
        <w:rPr>
          <w:rFonts w:eastAsia="SimSun"/>
          <w:lang w:eastAsia="zh-CN"/>
        </w:rPr>
        <w:t xml:space="preserve"> deliver</w:t>
      </w:r>
      <w:r w:rsidR="00A663D4">
        <w:rPr>
          <w:rFonts w:eastAsia="SimSun"/>
          <w:lang w:eastAsia="zh-CN"/>
        </w:rPr>
        <w:t>y</w:t>
      </w:r>
      <w:r>
        <w:rPr>
          <w:rFonts w:eastAsia="SimSun"/>
          <w:lang w:eastAsia="zh-CN"/>
        </w:rPr>
        <w:t xml:space="preserve"> mechanism). </w:t>
      </w:r>
      <w:r w:rsidR="00A663D4">
        <w:rPr>
          <w:rFonts w:eastAsia="SimSun"/>
          <w:lang w:eastAsia="zh-CN"/>
        </w:rPr>
        <w:t>The relevant agreements governing further design include:</w:t>
      </w:r>
    </w:p>
    <w:p w:rsidR="00A663D4" w:rsidRPr="00A21D4B" w:rsidRDefault="00A663D4" w:rsidP="00A663D4">
      <w:pPr>
        <w:pStyle w:val="BodyText"/>
        <w:spacing w:after="0"/>
        <w:rPr>
          <w:b/>
          <w:lang w:eastAsia="ja-JP"/>
        </w:rPr>
      </w:pPr>
      <w:r w:rsidRPr="00DF1B59">
        <w:rPr>
          <w:rFonts w:hint="eastAsia"/>
          <w:b/>
          <w:highlight w:val="green"/>
          <w:u w:val="single"/>
          <w:lang w:eastAsia="ja-JP"/>
        </w:rPr>
        <w:t>Agreements:</w:t>
      </w:r>
    </w:p>
    <w:p w:rsidR="00A663D4" w:rsidRDefault="00A663D4" w:rsidP="00A663D4">
      <w:pPr>
        <w:pStyle w:val="BodyText"/>
        <w:numPr>
          <w:ilvl w:val="0"/>
          <w:numId w:val="25"/>
        </w:numPr>
        <w:spacing w:after="0"/>
      </w:pPr>
      <w:r>
        <w:t xml:space="preserve">The </w:t>
      </w:r>
      <w:r w:rsidRPr="00A21D4B">
        <w:rPr>
          <w:rFonts w:hint="eastAsia"/>
          <w:lang w:eastAsia="ja-JP"/>
        </w:rPr>
        <w:t>time/freq. resource</w:t>
      </w:r>
      <w:r>
        <w:t xml:space="preserve"> containing at least </w:t>
      </w:r>
      <w:r w:rsidRPr="00A21D4B">
        <w:rPr>
          <w:rFonts w:hint="eastAsia"/>
          <w:lang w:eastAsia="ja-JP"/>
        </w:rPr>
        <w:t>one</w:t>
      </w:r>
      <w:r>
        <w:t xml:space="preserve"> search space is obtained from </w:t>
      </w:r>
      <w:r w:rsidRPr="00A21D4B">
        <w:rPr>
          <w:rFonts w:hint="eastAsia"/>
          <w:lang w:eastAsia="ja-JP"/>
        </w:rPr>
        <w:t>MIB/</w:t>
      </w:r>
      <w:r>
        <w:t>system information</w:t>
      </w:r>
      <w:r w:rsidRPr="00A21D4B">
        <w:rPr>
          <w:rFonts w:hint="eastAsia"/>
          <w:lang w:eastAsia="ja-JP"/>
        </w:rPr>
        <w:t>/</w:t>
      </w:r>
      <w:r w:rsidRPr="00A21D4B">
        <w:rPr>
          <w:lang w:eastAsia="ja-JP"/>
        </w:rPr>
        <w:t>implicitly</w:t>
      </w:r>
      <w:r w:rsidRPr="00A21D4B">
        <w:rPr>
          <w:rFonts w:hint="eastAsia"/>
          <w:lang w:eastAsia="ja-JP"/>
        </w:rPr>
        <w:t xml:space="preserve"> derived from initial access information</w:t>
      </w:r>
    </w:p>
    <w:p w:rsidR="00A663D4" w:rsidRPr="00A663D4" w:rsidRDefault="00A663D4" w:rsidP="00A663D4">
      <w:pPr>
        <w:pStyle w:val="BodyText"/>
        <w:numPr>
          <w:ilvl w:val="0"/>
          <w:numId w:val="25"/>
        </w:numPr>
        <w:spacing w:after="0"/>
      </w:pPr>
      <w:r w:rsidRPr="00A663D4">
        <w:rPr>
          <w:lang w:eastAsia="ja-JP"/>
        </w:rPr>
        <w:t>Time/freq. resource</w:t>
      </w:r>
      <w:r w:rsidRPr="00A663D4">
        <w:t xml:space="preserve"> containing </w:t>
      </w:r>
      <w:r w:rsidRPr="00A663D4">
        <w:rPr>
          <w:lang w:eastAsia="ja-JP"/>
        </w:rPr>
        <w:t>additional</w:t>
      </w:r>
      <w:r w:rsidRPr="00A663D4">
        <w:t xml:space="preserve"> search spaces, can be configured using dedicated RRC signaling</w:t>
      </w:r>
    </w:p>
    <w:p w:rsidR="00A663D4" w:rsidRDefault="00A663D4" w:rsidP="00A663D4">
      <w:pPr>
        <w:pStyle w:val="BodyText"/>
        <w:numPr>
          <w:ilvl w:val="0"/>
          <w:numId w:val="25"/>
        </w:numPr>
        <w:spacing w:after="0"/>
      </w:pPr>
      <w:r w:rsidRPr="00A663D4">
        <w:rPr>
          <w:lang w:eastAsia="ja-JP"/>
        </w:rPr>
        <w:t>Other solution is not precluded</w:t>
      </w:r>
    </w:p>
    <w:p w:rsidR="00593178" w:rsidRPr="00593178" w:rsidRDefault="00593178" w:rsidP="00593178">
      <w:pPr>
        <w:pStyle w:val="BodyText"/>
        <w:numPr>
          <w:ilvl w:val="0"/>
          <w:numId w:val="25"/>
        </w:numPr>
        <w:spacing w:after="0"/>
      </w:pPr>
      <w:r w:rsidRPr="00593178">
        <w:rPr>
          <w:rFonts w:hint="eastAsia"/>
        </w:rPr>
        <w:t xml:space="preserve">From gNB perspective, DL control </w:t>
      </w:r>
      <w:r w:rsidRPr="00593178">
        <w:t>signalling</w:t>
      </w:r>
      <w:r w:rsidRPr="00593178">
        <w:rPr>
          <w:rFonts w:hint="eastAsia"/>
        </w:rPr>
        <w:t xml:space="preserve"> ca</w:t>
      </w:r>
      <w:r w:rsidRPr="00593178">
        <w:t>n be located at the first OFDM symbol(s) in a slot and/or mini-slot</w:t>
      </w:r>
    </w:p>
    <w:p w:rsidR="00593178" w:rsidRPr="00A663D4" w:rsidRDefault="00593178" w:rsidP="00593178">
      <w:pPr>
        <w:pStyle w:val="BodyText"/>
        <w:numPr>
          <w:ilvl w:val="1"/>
          <w:numId w:val="25"/>
        </w:numPr>
        <w:spacing w:after="0"/>
      </w:pPr>
      <w:r w:rsidRPr="00593178">
        <w:rPr>
          <w:rFonts w:hint="eastAsia"/>
        </w:rPr>
        <w:t xml:space="preserve">FFS: From gNB perspective, DL control </w:t>
      </w:r>
      <w:r w:rsidRPr="00593178">
        <w:t>signalling</w:t>
      </w:r>
      <w:r w:rsidRPr="00593178">
        <w:rPr>
          <w:rFonts w:hint="eastAsia"/>
        </w:rPr>
        <w:t xml:space="preserve"> ca</w:t>
      </w:r>
      <w:r w:rsidRPr="00593178">
        <w:t xml:space="preserve">n be located </w:t>
      </w:r>
      <w:r w:rsidRPr="00593178">
        <w:rPr>
          <w:rFonts w:hint="eastAsia"/>
        </w:rPr>
        <w:t>over the slot and/or mini-slot</w:t>
      </w:r>
    </w:p>
    <w:p w:rsidR="00A663D4" w:rsidRPr="00A663D4" w:rsidRDefault="00A663D4" w:rsidP="00A663D4">
      <w:pPr>
        <w:numPr>
          <w:ilvl w:val="0"/>
          <w:numId w:val="25"/>
        </w:numPr>
        <w:rPr>
          <w:rFonts w:eastAsia="MS Mincho"/>
          <w:lang w:eastAsia="ja-JP"/>
        </w:rPr>
      </w:pPr>
      <w:r w:rsidRPr="00A663D4">
        <w:rPr>
          <w:rFonts w:eastAsia="MS Mincho"/>
          <w:lang w:eastAsia="ja-JP"/>
        </w:rPr>
        <w:t>A UE monitors for downlink control information in one or more “control subband”</w:t>
      </w:r>
    </w:p>
    <w:p w:rsidR="00A663D4" w:rsidRPr="00A663D4" w:rsidRDefault="00A663D4" w:rsidP="00A663D4">
      <w:pPr>
        <w:numPr>
          <w:ilvl w:val="1"/>
          <w:numId w:val="25"/>
        </w:numPr>
        <w:rPr>
          <w:rFonts w:eastAsia="MS Mincho"/>
          <w:lang w:eastAsia="ja-JP"/>
        </w:rPr>
      </w:pPr>
      <w:r w:rsidRPr="00A663D4">
        <w:rPr>
          <w:rFonts w:eastAsia="MS Mincho"/>
          <w:lang w:eastAsia="ja-JP"/>
        </w:rPr>
        <w:t>This does not preclude that UE may receive additional control information elsewhere within or outside the control subband in the same or different OFDM symbol(s)</w:t>
      </w:r>
    </w:p>
    <w:p w:rsidR="00A663D4" w:rsidRPr="00A663D4" w:rsidRDefault="00A663D4" w:rsidP="00A663D4">
      <w:pPr>
        <w:numPr>
          <w:ilvl w:val="1"/>
          <w:numId w:val="25"/>
        </w:numPr>
        <w:rPr>
          <w:rFonts w:eastAsia="MS Mincho"/>
          <w:lang w:eastAsia="ja-JP"/>
        </w:rPr>
      </w:pPr>
      <w:r w:rsidRPr="00A663D4">
        <w:rPr>
          <w:rFonts w:eastAsia="MS Mincho"/>
          <w:lang w:eastAsia="ja-JP"/>
        </w:rPr>
        <w:t>FFS: One DCI message is transmitted within one control subband.</w:t>
      </w:r>
    </w:p>
    <w:p w:rsidR="00A663D4" w:rsidRPr="00A663D4" w:rsidRDefault="00A663D4" w:rsidP="00A663D4">
      <w:pPr>
        <w:numPr>
          <w:ilvl w:val="0"/>
          <w:numId w:val="25"/>
        </w:numPr>
        <w:rPr>
          <w:rFonts w:eastAsia="MS Mincho"/>
          <w:lang w:eastAsia="ja-JP"/>
        </w:rPr>
      </w:pPr>
      <w:r w:rsidRPr="00A663D4">
        <w:rPr>
          <w:rFonts w:eastAsia="MS Mincho"/>
          <w:lang w:eastAsia="ja-JP"/>
        </w:rPr>
        <w:t xml:space="preserve">A “control subband” is smaller than or equal to the carrier bandwidth (up to a certain limit) </w:t>
      </w:r>
    </w:p>
    <w:p w:rsidR="00A663D4" w:rsidRPr="00A663D4" w:rsidRDefault="00A663D4" w:rsidP="00A663D4">
      <w:pPr>
        <w:numPr>
          <w:ilvl w:val="0"/>
          <w:numId w:val="25"/>
        </w:numPr>
        <w:rPr>
          <w:rFonts w:eastAsia="MS Mincho"/>
          <w:lang w:eastAsia="ja-JP"/>
        </w:rPr>
      </w:pPr>
      <w:r w:rsidRPr="00A663D4">
        <w:rPr>
          <w:rFonts w:eastAsia="MS Mincho"/>
          <w:lang w:eastAsia="ja-JP"/>
        </w:rPr>
        <w:t xml:space="preserve">FFS if a “control subband” is non-contiguous and/or contiguous in the frequency domain. </w:t>
      </w:r>
    </w:p>
    <w:p w:rsidR="00A663D4" w:rsidRPr="00A663D4" w:rsidRDefault="00A663D4" w:rsidP="00A663D4">
      <w:pPr>
        <w:numPr>
          <w:ilvl w:val="0"/>
          <w:numId w:val="25"/>
        </w:numPr>
        <w:rPr>
          <w:rFonts w:eastAsia="MS Mincho"/>
          <w:b/>
          <w:lang w:eastAsia="ja-JP"/>
        </w:rPr>
      </w:pPr>
      <w:r w:rsidRPr="00A663D4">
        <w:rPr>
          <w:rFonts w:eastAsia="MS Mincho"/>
          <w:lang w:eastAsia="ja-JP"/>
        </w:rPr>
        <w:t>A “control subband” consists of an integer number of RBs/PRBs in the frequency domain</w:t>
      </w:r>
    </w:p>
    <w:p w:rsidR="00A663D4" w:rsidRPr="00A663D4" w:rsidRDefault="00A663D4" w:rsidP="00A663D4">
      <w:pPr>
        <w:numPr>
          <w:ilvl w:val="0"/>
          <w:numId w:val="25"/>
        </w:numPr>
        <w:rPr>
          <w:rFonts w:eastAsia="MS Mincho"/>
          <w:b/>
          <w:lang w:eastAsia="ja-JP"/>
        </w:rPr>
      </w:pPr>
      <w:r w:rsidRPr="00A663D4">
        <w:rPr>
          <w:rFonts w:eastAsia="MS Mincho"/>
          <w:lang w:eastAsia="ja-JP"/>
        </w:rPr>
        <w:t>FFS: multiplexing of multiple control channels in a subband</w:t>
      </w:r>
    </w:p>
    <w:p w:rsidR="00A663D4" w:rsidRPr="00C46ADE" w:rsidRDefault="00A663D4" w:rsidP="00A663D4">
      <w:pPr>
        <w:numPr>
          <w:ilvl w:val="0"/>
          <w:numId w:val="25"/>
        </w:numPr>
        <w:rPr>
          <w:rFonts w:eastAsia="MS Mincho"/>
          <w:lang w:eastAsia="ja-JP"/>
        </w:rPr>
      </w:pPr>
      <w:r w:rsidRPr="00C46ADE">
        <w:rPr>
          <w:rFonts w:eastAsia="MS Mincho"/>
          <w:lang w:eastAsia="ja-JP"/>
        </w:rPr>
        <w:t>At least for single-stage DCI design:</w:t>
      </w:r>
    </w:p>
    <w:p w:rsidR="00A663D4" w:rsidRPr="00C46ADE" w:rsidRDefault="00A663D4" w:rsidP="00A663D4">
      <w:pPr>
        <w:numPr>
          <w:ilvl w:val="1"/>
          <w:numId w:val="25"/>
        </w:numPr>
        <w:rPr>
          <w:rFonts w:eastAsia="MS Mincho"/>
          <w:lang w:eastAsia="ja-JP"/>
        </w:rPr>
      </w:pPr>
      <w:r w:rsidRPr="00C46ADE">
        <w:rPr>
          <w:rFonts w:eastAsia="MS Mincho"/>
          <w:lang w:eastAsia="ja-JP"/>
        </w:rPr>
        <w:t>A control resource set (formerly called control subband) is, in the frequency domain, a set of PRBs within which the UE attempts to blindly decode downlink control information</w:t>
      </w:r>
    </w:p>
    <w:p w:rsidR="00A663D4" w:rsidRPr="00C46ADE" w:rsidRDefault="00A663D4" w:rsidP="00A663D4">
      <w:pPr>
        <w:numPr>
          <w:ilvl w:val="2"/>
          <w:numId w:val="25"/>
        </w:numPr>
        <w:rPr>
          <w:rFonts w:eastAsia="MS Mincho"/>
          <w:lang w:eastAsia="ja-JP"/>
        </w:rPr>
      </w:pPr>
      <w:r w:rsidRPr="00C46ADE">
        <w:rPr>
          <w:rFonts w:eastAsia="MS Mincho"/>
          <w:lang w:eastAsia="ja-JP"/>
        </w:rPr>
        <w:t>The PRBs may or may not be frequency contiguous</w:t>
      </w:r>
    </w:p>
    <w:p w:rsidR="00A663D4" w:rsidRPr="00C46ADE" w:rsidRDefault="00A663D4" w:rsidP="00A663D4">
      <w:pPr>
        <w:numPr>
          <w:ilvl w:val="2"/>
          <w:numId w:val="25"/>
        </w:numPr>
        <w:rPr>
          <w:rFonts w:eastAsia="MS Mincho"/>
          <w:lang w:eastAsia="ja-JP"/>
        </w:rPr>
      </w:pPr>
      <w:r w:rsidRPr="00C46ADE">
        <w:rPr>
          <w:rFonts w:eastAsia="MS Mincho"/>
          <w:lang w:eastAsia="ja-JP"/>
        </w:rPr>
        <w:t>A UE may have one or more control resource sets</w:t>
      </w:r>
    </w:p>
    <w:p w:rsidR="00A663D4" w:rsidRPr="00C46ADE" w:rsidRDefault="00A663D4" w:rsidP="00A663D4">
      <w:pPr>
        <w:numPr>
          <w:ilvl w:val="2"/>
          <w:numId w:val="25"/>
        </w:numPr>
        <w:rPr>
          <w:rFonts w:eastAsia="MS Mincho"/>
          <w:lang w:eastAsia="ja-JP"/>
        </w:rPr>
      </w:pPr>
      <w:r w:rsidRPr="00C46ADE">
        <w:rPr>
          <w:rFonts w:eastAsia="MS Mincho"/>
          <w:lang w:eastAsia="ja-JP"/>
        </w:rPr>
        <w:t>Working assumption: One DCI message is located within one control resource set</w:t>
      </w:r>
    </w:p>
    <w:p w:rsidR="00A663D4" w:rsidRPr="00CF6856" w:rsidRDefault="00A663D4" w:rsidP="00CF6856">
      <w:pPr>
        <w:numPr>
          <w:ilvl w:val="0"/>
          <w:numId w:val="25"/>
        </w:numPr>
        <w:rPr>
          <w:rFonts w:eastAsia="MS Mincho"/>
          <w:lang w:eastAsia="ja-JP"/>
        </w:rPr>
      </w:pPr>
      <w:r w:rsidRPr="00C46ADE">
        <w:rPr>
          <w:rFonts w:eastAsia="MS Mincho"/>
          <w:lang w:eastAsia="ja-JP"/>
        </w:rPr>
        <w:t>In frequency-domain, a PRB is the resource unit size (may or may not including DM-RS) for control channel</w:t>
      </w:r>
    </w:p>
    <w:p w:rsidR="00A663D4" w:rsidRDefault="00A663D4" w:rsidP="00A663D4">
      <w:pPr>
        <w:pStyle w:val="BodyText"/>
        <w:spacing w:after="0"/>
      </w:pPr>
    </w:p>
    <w:p w:rsidR="00CF6DC4" w:rsidRDefault="00A663D4" w:rsidP="00A663D4">
      <w:pPr>
        <w:pStyle w:val="BodyText"/>
        <w:spacing w:after="0"/>
      </w:pPr>
      <w:r>
        <w:t xml:space="preserve">It should be noted that </w:t>
      </w:r>
      <w:r w:rsidR="00A9592B">
        <w:t xml:space="preserve">DL </w:t>
      </w:r>
      <w:r w:rsidR="00CD74DC">
        <w:t xml:space="preserve">control signaling </w:t>
      </w:r>
      <w:r w:rsidR="00A9592B">
        <w:t xml:space="preserve">for </w:t>
      </w:r>
      <w:r w:rsidR="00CD74DC">
        <w:t xml:space="preserve">scheduling some SI should be transmitted </w:t>
      </w:r>
      <w:r w:rsidR="00CF6DC4">
        <w:t>in a common search space that is known to the UE at initial access. Then taking the agreements on the control resource set</w:t>
      </w:r>
      <w:r w:rsidR="00324620">
        <w:t xml:space="preserve"> framework </w:t>
      </w:r>
      <w:r w:rsidR="00CF6DC4">
        <w:t>into account we have the following observations</w:t>
      </w:r>
      <w:r w:rsidR="00324620">
        <w:t>:</w:t>
      </w:r>
    </w:p>
    <w:p w:rsidR="00324620" w:rsidRDefault="00324620" w:rsidP="00A663D4">
      <w:pPr>
        <w:pStyle w:val="BodyText"/>
        <w:spacing w:after="0"/>
      </w:pPr>
    </w:p>
    <w:p w:rsidR="00CF6DC4" w:rsidRPr="00593178" w:rsidRDefault="00CD74DC" w:rsidP="00A663D4">
      <w:pPr>
        <w:pStyle w:val="BodyText"/>
        <w:spacing w:after="0"/>
        <w:rPr>
          <w:b/>
          <w:u w:val="single"/>
        </w:rPr>
      </w:pPr>
      <w:r w:rsidRPr="00324620">
        <w:rPr>
          <w:b/>
          <w:u w:val="single"/>
        </w:rPr>
        <w:t>Observation</w:t>
      </w:r>
      <w:r w:rsidR="00324620" w:rsidRPr="00324620">
        <w:rPr>
          <w:b/>
          <w:u w:val="single"/>
        </w:rPr>
        <w:t>s</w:t>
      </w:r>
      <w:r w:rsidR="006154E0">
        <w:rPr>
          <w:b/>
          <w:u w:val="single"/>
        </w:rPr>
        <w:t>:</w:t>
      </w:r>
    </w:p>
    <w:p w:rsidR="00CF6DC4" w:rsidRDefault="00CF6DC4" w:rsidP="00CF6DC4">
      <w:pPr>
        <w:pStyle w:val="BodyText"/>
        <w:numPr>
          <w:ilvl w:val="0"/>
          <w:numId w:val="29"/>
        </w:numPr>
        <w:spacing w:after="0"/>
      </w:pPr>
      <w:r>
        <w:t>A first control resource set (CORESET) is obtained at initial access either through the MIB or some other unscheduled SI.</w:t>
      </w:r>
    </w:p>
    <w:p w:rsidR="00CF6DC4" w:rsidRDefault="00CF6DC4" w:rsidP="00CF6DC4">
      <w:pPr>
        <w:pStyle w:val="BodyText"/>
        <w:numPr>
          <w:ilvl w:val="1"/>
          <w:numId w:val="29"/>
        </w:numPr>
        <w:spacing w:after="0"/>
      </w:pPr>
      <w:r>
        <w:t>This first CORESET should at least contain a common search space (CSS) if some SIBs are scheduled, (i.e. not all SIBs are provided by an NR-PBCH)</w:t>
      </w:r>
    </w:p>
    <w:p w:rsidR="008D405D" w:rsidRDefault="00CF6DC4" w:rsidP="00CF6DC4">
      <w:pPr>
        <w:pStyle w:val="BodyText"/>
        <w:numPr>
          <w:ilvl w:val="0"/>
          <w:numId w:val="29"/>
        </w:numPr>
        <w:spacing w:after="0"/>
      </w:pPr>
      <w:r>
        <w:t xml:space="preserve">Per the agreement </w:t>
      </w:r>
      <w:r w:rsidR="00AB4837">
        <w:t xml:space="preserve">above, </w:t>
      </w:r>
      <w:r>
        <w:t xml:space="preserve">configuration of additional CORESET(s) is by dedicated RRC signaling. </w:t>
      </w:r>
      <w:r w:rsidR="00CF6856">
        <w:t xml:space="preserve">Scheduling of such RRC signaling would have to be in a UE-specific search space (UESS) in the first CORESET since it constitutes the only </w:t>
      </w:r>
      <w:r w:rsidR="00AB4837">
        <w:t xml:space="preserve">set of </w:t>
      </w:r>
      <w:r w:rsidR="00CF6856">
        <w:t>control resource</w:t>
      </w:r>
      <w:r w:rsidR="00AB4837">
        <w:t>s</w:t>
      </w:r>
      <w:r w:rsidR="00CF6856">
        <w:t xml:space="preserve"> known to a UE </w:t>
      </w:r>
      <w:r w:rsidR="00A9592B">
        <w:t xml:space="preserve">at completion of </w:t>
      </w:r>
      <w:r w:rsidR="00CF6856">
        <w:t>the DL initial access procedure.</w:t>
      </w:r>
    </w:p>
    <w:p w:rsidR="00916093" w:rsidRDefault="00916093" w:rsidP="00916093">
      <w:pPr>
        <w:pStyle w:val="BodyText"/>
      </w:pPr>
    </w:p>
    <w:p w:rsidR="008D405D" w:rsidRDefault="008D405D" w:rsidP="00916093">
      <w:pPr>
        <w:pStyle w:val="BodyText"/>
      </w:pPr>
      <w:r>
        <w:t xml:space="preserve">Some consequences of these observations are </w:t>
      </w:r>
      <w:r w:rsidR="000A1717">
        <w:t>treated</w:t>
      </w:r>
      <w:r>
        <w:t xml:space="preserve"> in a separate contribution </w:t>
      </w:r>
      <w:r w:rsidR="000A1717">
        <w:t>discussing the DL control channel structure</w:t>
      </w:r>
      <w:r w:rsidR="00B8659F">
        <w:t xml:space="preserve"> </w:t>
      </w:r>
      <w:r w:rsidR="00C6442D">
        <w:fldChar w:fldCharType="begin"/>
      </w:r>
      <w:r w:rsidR="00B8659F">
        <w:instrText xml:space="preserve"> REF _Ref474011202 \n \h </w:instrText>
      </w:r>
      <w:r w:rsidR="00C6442D">
        <w:fldChar w:fldCharType="separate"/>
      </w:r>
      <w:r w:rsidR="00B8659F">
        <w:t>[</w:t>
      </w:r>
      <w:r w:rsidR="00B8659F">
        <w:t>1</w:t>
      </w:r>
      <w:r w:rsidR="00B8659F">
        <w:t>]</w:t>
      </w:r>
      <w:r w:rsidR="00C6442D">
        <w:fldChar w:fldCharType="end"/>
      </w:r>
      <w:r w:rsidR="00B8659F">
        <w:t>.</w:t>
      </w:r>
    </w:p>
    <w:p w:rsidR="00AB0624" w:rsidRDefault="00AB0624" w:rsidP="00AB0624">
      <w:pPr>
        <w:pStyle w:val="Heading2"/>
      </w:pPr>
      <w:r>
        <w:t>Structure and contents of the group-common PDCCH</w:t>
      </w:r>
    </w:p>
    <w:p w:rsidR="002C5BA9" w:rsidRDefault="00773A3A" w:rsidP="00D449B5">
      <w:pPr>
        <w:pStyle w:val="BodyText"/>
        <w:rPr>
          <w:lang w:eastAsia="zh-CN"/>
        </w:rPr>
      </w:pPr>
      <w:r>
        <w:rPr>
          <w:lang w:eastAsia="zh-CN"/>
        </w:rPr>
        <w:t>Several contributions (e.g.</w:t>
      </w:r>
      <w:r w:rsidR="00480F42">
        <w:rPr>
          <w:lang w:eastAsia="zh-CN"/>
        </w:rPr>
        <w:t xml:space="preserve"> </w:t>
      </w:r>
      <w:r w:rsidR="00C6442D">
        <w:rPr>
          <w:lang w:eastAsia="zh-CN"/>
        </w:rPr>
        <w:fldChar w:fldCharType="begin"/>
      </w:r>
      <w:r w:rsidR="00B8659F">
        <w:rPr>
          <w:lang w:eastAsia="zh-CN"/>
        </w:rPr>
        <w:instrText xml:space="preserve"> REF _Ref474011271 \n \h </w:instrText>
      </w:r>
      <w:r w:rsidR="00C6442D">
        <w:rPr>
          <w:lang w:eastAsia="zh-CN"/>
        </w:rPr>
      </w:r>
      <w:r w:rsidR="00C6442D">
        <w:rPr>
          <w:lang w:eastAsia="zh-CN"/>
        </w:rPr>
        <w:fldChar w:fldCharType="separate"/>
      </w:r>
      <w:r w:rsidR="00B8659F">
        <w:rPr>
          <w:lang w:eastAsia="zh-CN"/>
        </w:rPr>
        <w:t>[2]</w:t>
      </w:r>
      <w:r w:rsidR="00C6442D">
        <w:rPr>
          <w:lang w:eastAsia="zh-CN"/>
        </w:rPr>
        <w:fldChar w:fldCharType="end"/>
      </w:r>
      <w:r>
        <w:rPr>
          <w:lang w:eastAsia="zh-CN"/>
        </w:rPr>
        <w:t>) discussed benefits of introducing an L1 broadcast channel for at least signaling the slot structure. It was agreed at the NR ad-hoc meeting to support a group common PDCCH that at least provides</w:t>
      </w:r>
      <w:r w:rsidR="00F70833">
        <w:rPr>
          <w:lang w:eastAsia="zh-CN"/>
        </w:rPr>
        <w:t xml:space="preserve"> slot format related</w:t>
      </w:r>
      <w:r>
        <w:rPr>
          <w:lang w:eastAsia="zh-CN"/>
        </w:rPr>
        <w:t xml:space="preserve"> inf</w:t>
      </w:r>
      <w:r w:rsidR="00480F42">
        <w:rPr>
          <w:lang w:eastAsia="zh-CN"/>
        </w:rPr>
        <w:t xml:space="preserve">ormation. For completeness we list the relevant agreements from </w:t>
      </w:r>
      <w:r w:rsidR="00C6442D">
        <w:rPr>
          <w:lang w:eastAsia="zh-CN"/>
        </w:rPr>
        <w:fldChar w:fldCharType="begin"/>
      </w:r>
      <w:r w:rsidR="008E1EF1">
        <w:rPr>
          <w:lang w:eastAsia="zh-CN"/>
        </w:rPr>
        <w:instrText xml:space="preserve"> REF _Ref473730316 \n \h </w:instrText>
      </w:r>
      <w:r w:rsidR="00C6442D">
        <w:rPr>
          <w:lang w:eastAsia="zh-CN"/>
        </w:rPr>
      </w:r>
      <w:r w:rsidR="00C6442D">
        <w:rPr>
          <w:lang w:eastAsia="zh-CN"/>
        </w:rPr>
        <w:fldChar w:fldCharType="separate"/>
      </w:r>
      <w:r w:rsidR="00B8659F">
        <w:rPr>
          <w:lang w:eastAsia="zh-CN"/>
        </w:rPr>
        <w:t>[</w:t>
      </w:r>
      <w:r w:rsidR="00B8659F">
        <w:rPr>
          <w:lang w:eastAsia="zh-CN"/>
        </w:rPr>
        <w:t>3</w:t>
      </w:r>
      <w:r w:rsidR="00B8659F">
        <w:rPr>
          <w:lang w:eastAsia="zh-CN"/>
        </w:rPr>
        <w:t>]</w:t>
      </w:r>
      <w:r w:rsidR="00C6442D">
        <w:rPr>
          <w:lang w:eastAsia="zh-CN"/>
        </w:rPr>
        <w:fldChar w:fldCharType="end"/>
      </w:r>
    </w:p>
    <w:p w:rsidR="008E1878" w:rsidRPr="008E1878" w:rsidRDefault="008E1878" w:rsidP="008E1878">
      <w:pPr>
        <w:pStyle w:val="BodyText"/>
        <w:rPr>
          <w:lang w:val="en-GB" w:eastAsia="zh-CN"/>
        </w:rPr>
      </w:pPr>
      <w:r w:rsidRPr="008E1878">
        <w:rPr>
          <w:rFonts w:hint="eastAsia"/>
          <w:b/>
          <w:u w:val="single"/>
          <w:lang w:val="en-GB" w:eastAsia="zh-CN"/>
        </w:rPr>
        <w:t>Agreements:</w:t>
      </w:r>
    </w:p>
    <w:p w:rsidR="008E1878" w:rsidRPr="008E1878" w:rsidRDefault="008E1878" w:rsidP="008E1878">
      <w:pPr>
        <w:pStyle w:val="BodyText"/>
        <w:numPr>
          <w:ilvl w:val="0"/>
          <w:numId w:val="30"/>
        </w:numPr>
        <w:rPr>
          <w:lang w:eastAsia="zh-CN"/>
        </w:rPr>
      </w:pPr>
      <w:r w:rsidRPr="008E1878">
        <w:rPr>
          <w:lang w:eastAsia="zh-CN"/>
        </w:rPr>
        <w:t xml:space="preserve">NR supports a ‘group common PDCCH’ carrying information of e.g. the slot structure. </w:t>
      </w:r>
    </w:p>
    <w:p w:rsidR="008E1878" w:rsidRPr="008E1878" w:rsidRDefault="008E1878" w:rsidP="008E1878">
      <w:pPr>
        <w:pStyle w:val="BodyText"/>
        <w:numPr>
          <w:ilvl w:val="1"/>
          <w:numId w:val="30"/>
        </w:numPr>
        <w:rPr>
          <w:lang w:eastAsia="zh-CN"/>
        </w:rPr>
      </w:pPr>
      <w:r w:rsidRPr="008E1878">
        <w:rPr>
          <w:lang w:eastAsia="zh-CN"/>
        </w:rPr>
        <w:t>If the UE does not receive the ‘group common PDCCH’ the UE should be able to receive at least PDCCH in a slot, at least if the gNB did not transmit the ‘group common PDCCH’.</w:t>
      </w:r>
    </w:p>
    <w:p w:rsidR="008E1878" w:rsidRPr="008E1878" w:rsidRDefault="008E1878" w:rsidP="008E1878">
      <w:pPr>
        <w:pStyle w:val="BodyText"/>
        <w:numPr>
          <w:ilvl w:val="1"/>
          <w:numId w:val="30"/>
        </w:numPr>
        <w:rPr>
          <w:lang w:eastAsia="zh-CN"/>
        </w:rPr>
      </w:pPr>
      <w:r w:rsidRPr="008E1878">
        <w:rPr>
          <w:lang w:eastAsia="zh-CN"/>
        </w:rPr>
        <w:t>The network will inform through RRC signalling the UE whether to decode the ‘group common PDCCH’ or not</w:t>
      </w:r>
    </w:p>
    <w:p w:rsidR="008E1878" w:rsidRPr="008E1878" w:rsidRDefault="008E1878" w:rsidP="008E1878">
      <w:pPr>
        <w:pStyle w:val="BodyText"/>
        <w:numPr>
          <w:ilvl w:val="1"/>
          <w:numId w:val="30"/>
        </w:numPr>
        <w:rPr>
          <w:lang w:eastAsia="zh-CN"/>
        </w:rPr>
      </w:pPr>
      <w:r w:rsidRPr="008E1878">
        <w:rPr>
          <w:lang w:eastAsia="zh-CN"/>
        </w:rPr>
        <w:t>Common does not necessarily imply common per cell.</w:t>
      </w:r>
    </w:p>
    <w:p w:rsidR="008E1878" w:rsidRPr="008E1878" w:rsidRDefault="008E1878" w:rsidP="008E1878">
      <w:pPr>
        <w:pStyle w:val="BodyText"/>
        <w:numPr>
          <w:ilvl w:val="1"/>
          <w:numId w:val="30"/>
        </w:numPr>
        <w:rPr>
          <w:lang w:eastAsia="zh-CN"/>
        </w:rPr>
      </w:pPr>
      <w:r w:rsidRPr="008E1878">
        <w:rPr>
          <w:lang w:eastAsia="zh-CN"/>
        </w:rPr>
        <w:t>Continue the discussion on the detailed content of the ‘group common PDCCH’ including usage for TDD and FDD</w:t>
      </w:r>
    </w:p>
    <w:p w:rsidR="008E1878" w:rsidRDefault="008E1878" w:rsidP="008E1878">
      <w:pPr>
        <w:pStyle w:val="BodyText"/>
        <w:numPr>
          <w:ilvl w:val="1"/>
          <w:numId w:val="30"/>
        </w:numPr>
        <w:rPr>
          <w:lang w:eastAsia="zh-CN"/>
        </w:rPr>
      </w:pPr>
      <w:r w:rsidRPr="008E1878">
        <w:rPr>
          <w:lang w:eastAsia="zh-CN"/>
        </w:rPr>
        <w:t>The term ‘group common PDCCH’ refers to a channel (either a PDCCH or a separately designed channel) that carries information intended for the group of UEs.</w:t>
      </w:r>
    </w:p>
    <w:p w:rsidR="008E1878" w:rsidRPr="008E1878" w:rsidRDefault="008E1878" w:rsidP="008E1878">
      <w:pPr>
        <w:pStyle w:val="ListParagraph"/>
        <w:numPr>
          <w:ilvl w:val="0"/>
          <w:numId w:val="30"/>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The UE will have the possibility to determine whether some blind decodings can be skipped based on information on a ‘group common PDCCH’ (if present).</w:t>
      </w:r>
    </w:p>
    <w:p w:rsidR="008E1878" w:rsidRPr="008E1878" w:rsidRDefault="008E1878" w:rsidP="008E1878">
      <w:pPr>
        <w:pStyle w:val="ListParagraph"/>
        <w:numPr>
          <w:ilvl w:val="0"/>
          <w:numId w:val="30"/>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FFS: if the data starting position is signaled on the group common PDCCH, the UE may exploit this information to skip some blind decodings</w:t>
      </w:r>
    </w:p>
    <w:p w:rsidR="008E1878" w:rsidRPr="008E1878" w:rsidRDefault="008E1878" w:rsidP="008E1878">
      <w:pPr>
        <w:pStyle w:val="ListParagraph"/>
        <w:numPr>
          <w:ilvl w:val="0"/>
          <w:numId w:val="30"/>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FFS: if the end of the control resource set is signaled on the ‘group common PDCCH’, the UE may exploit this information to skip some blind decodings</w:t>
      </w:r>
    </w:p>
    <w:p w:rsidR="008E1878" w:rsidRPr="008E1878" w:rsidRDefault="008E1878" w:rsidP="008E1878">
      <w:pPr>
        <w:pStyle w:val="ListParagraph"/>
        <w:numPr>
          <w:ilvl w:val="0"/>
          <w:numId w:val="30"/>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FFS: how to handle the case when there is no ‘group common PDCCH’ in a slot</w:t>
      </w:r>
    </w:p>
    <w:p w:rsidR="008E1878" w:rsidRPr="008E1878" w:rsidRDefault="008E1878" w:rsidP="008E1878">
      <w:pPr>
        <w:pStyle w:val="ListParagraph"/>
        <w:numPr>
          <w:ilvl w:val="0"/>
          <w:numId w:val="30"/>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When monitoring for a PDCCH, the UE should be able to process a detected PDCCH irrespective of whether the ‘group common PDCCH’ is received or not</w:t>
      </w:r>
    </w:p>
    <w:p w:rsidR="008E1878" w:rsidRPr="008E1878" w:rsidRDefault="008E1878" w:rsidP="008E1878">
      <w:pPr>
        <w:pStyle w:val="BodyText"/>
        <w:numPr>
          <w:ilvl w:val="0"/>
          <w:numId w:val="30"/>
        </w:numPr>
        <w:spacing w:after="0"/>
        <w:rPr>
          <w:lang w:eastAsia="ja-JP"/>
        </w:rPr>
      </w:pPr>
      <w:r w:rsidRPr="008E1878">
        <w:rPr>
          <w:lang w:eastAsia="ja-JP"/>
        </w:rPr>
        <w:t>‘Slot format related information’</w:t>
      </w:r>
    </w:p>
    <w:p w:rsidR="008E1878" w:rsidRPr="008E1878" w:rsidRDefault="008E1878" w:rsidP="008E1878">
      <w:pPr>
        <w:pStyle w:val="BodyText"/>
        <w:numPr>
          <w:ilvl w:val="1"/>
          <w:numId w:val="30"/>
        </w:numPr>
        <w:spacing w:after="0"/>
        <w:rPr>
          <w:lang w:eastAsia="ja-JP"/>
        </w:rPr>
      </w:pPr>
      <w:r w:rsidRPr="008E1878">
        <w:rPr>
          <w:lang w:eastAsia="ja-JP"/>
        </w:rPr>
        <w:t>Information from which the UE can derive at least which symbols in a slot that are ‘DL’, ‘UL’ (for Rel-15), and ‘other’, respectively</w:t>
      </w:r>
    </w:p>
    <w:p w:rsidR="008E1878" w:rsidRPr="008E1878" w:rsidRDefault="008E1878" w:rsidP="008E1878">
      <w:pPr>
        <w:pStyle w:val="BodyText"/>
        <w:numPr>
          <w:ilvl w:val="1"/>
          <w:numId w:val="30"/>
        </w:numPr>
        <w:spacing w:after="0"/>
        <w:rPr>
          <w:lang w:eastAsia="ja-JP"/>
        </w:rPr>
      </w:pPr>
      <w:r w:rsidRPr="008E1878">
        <w:rPr>
          <w:lang w:eastAsia="ja-JP"/>
        </w:rPr>
        <w:t>FFS: if ‘other’ can be subdivided into ‘blank’, ‘sidelink’, etc</w:t>
      </w:r>
    </w:p>
    <w:p w:rsidR="008E1878" w:rsidRPr="008E1878" w:rsidRDefault="008E1878" w:rsidP="008E1878">
      <w:pPr>
        <w:pStyle w:val="BodyText"/>
        <w:numPr>
          <w:ilvl w:val="0"/>
          <w:numId w:val="30"/>
        </w:numPr>
        <w:spacing w:after="0"/>
        <w:rPr>
          <w:lang w:eastAsia="ja-JP"/>
        </w:rPr>
      </w:pPr>
      <w:r w:rsidRPr="008E1878">
        <w:rPr>
          <w:lang w:eastAsia="ja-JP"/>
        </w:rPr>
        <w:t>FFS: ‘Control resource set duration’</w:t>
      </w:r>
    </w:p>
    <w:p w:rsidR="008E1878" w:rsidRPr="008E1878" w:rsidRDefault="008E1878" w:rsidP="008E1878">
      <w:pPr>
        <w:pStyle w:val="BodyText"/>
        <w:numPr>
          <w:ilvl w:val="1"/>
          <w:numId w:val="30"/>
        </w:numPr>
        <w:spacing w:after="0"/>
        <w:rPr>
          <w:lang w:eastAsia="ja-JP"/>
        </w:rPr>
      </w:pPr>
      <w:r w:rsidRPr="008E1878">
        <w:rPr>
          <w:lang w:eastAsia="ja-JP"/>
        </w:rPr>
        <w:t xml:space="preserve">FFS: Indicates the duration of the control resource set(s) </w:t>
      </w:r>
    </w:p>
    <w:p w:rsidR="008E1878" w:rsidRDefault="008E1878" w:rsidP="008E1878">
      <w:pPr>
        <w:pStyle w:val="BodyText"/>
        <w:numPr>
          <w:ilvl w:val="1"/>
          <w:numId w:val="30"/>
        </w:numPr>
        <w:spacing w:after="0"/>
        <w:rPr>
          <w:lang w:eastAsia="ja-JP"/>
        </w:rPr>
      </w:pPr>
      <w:r w:rsidRPr="008E1878">
        <w:rPr>
          <w:lang w:eastAsia="ja-JP"/>
        </w:rPr>
        <w:t>FFS: Can help the UE skip some of the semi-statically configured blind decodings. If not received, the UE performs all blind decodings.</w:t>
      </w:r>
    </w:p>
    <w:p w:rsidR="008E1878" w:rsidRDefault="008E1878" w:rsidP="008E1878">
      <w:pPr>
        <w:pStyle w:val="BodyText"/>
        <w:spacing w:after="0"/>
        <w:rPr>
          <w:lang w:eastAsia="ja-JP"/>
        </w:rPr>
      </w:pPr>
    </w:p>
    <w:p w:rsidR="007432F0" w:rsidRDefault="008E1878" w:rsidP="008E1878">
      <w:pPr>
        <w:pStyle w:val="BodyText"/>
        <w:spacing w:after="0"/>
        <w:rPr>
          <w:lang w:eastAsia="ja-JP"/>
        </w:rPr>
      </w:pPr>
      <w:r>
        <w:rPr>
          <w:lang w:eastAsia="ja-JP"/>
        </w:rPr>
        <w:t xml:space="preserve">A first implication of these set of agreements is that the network may choose not to configure UEs to monitor this channel. Whilst this is up to network implementation, we believe that </w:t>
      </w:r>
      <w:r w:rsidR="00AB4837">
        <w:rPr>
          <w:lang w:eastAsia="ja-JP"/>
        </w:rPr>
        <w:t xml:space="preserve">transmitting slot format information on </w:t>
      </w:r>
      <w:r>
        <w:rPr>
          <w:lang w:eastAsia="ja-JP"/>
        </w:rPr>
        <w:t xml:space="preserve">this channel is beneficial for </w:t>
      </w:r>
      <w:r w:rsidR="00AB4837">
        <w:rPr>
          <w:lang w:eastAsia="ja-JP"/>
        </w:rPr>
        <w:t xml:space="preserve">critical </w:t>
      </w:r>
      <w:r>
        <w:rPr>
          <w:lang w:eastAsia="ja-JP"/>
        </w:rPr>
        <w:t xml:space="preserve">deployment scenarios. For instance, supporting an NR carrier in some LTE TDD bands may require that the NR cell follow coexistence guidelines when it comes to transmission directions. </w:t>
      </w:r>
      <w:r w:rsidR="00AB4837">
        <w:rPr>
          <w:lang w:eastAsia="ja-JP"/>
        </w:rPr>
        <w:t>In addition the slot format may also facili</w:t>
      </w:r>
      <w:r w:rsidR="00B8659F">
        <w:rPr>
          <w:lang w:eastAsia="ja-JP"/>
        </w:rPr>
        <w:t>tate accurate channel and inter</w:t>
      </w:r>
      <w:r w:rsidR="00AB4837">
        <w:rPr>
          <w:lang w:eastAsia="ja-JP"/>
        </w:rPr>
        <w:t xml:space="preserve">ference measurements in a dynamic TDD system. </w:t>
      </w:r>
      <w:r w:rsidR="007432F0">
        <w:rPr>
          <w:lang w:eastAsia="ja-JP"/>
        </w:rPr>
        <w:t xml:space="preserve"> Given these benefits of indicating the slot format, it is preferable that a UE is configured to periodically monitor for the group-common channel. </w:t>
      </w:r>
      <w:r w:rsidR="00526D7A">
        <w:rPr>
          <w:lang w:eastAsia="ja-JP"/>
        </w:rPr>
        <w:t xml:space="preserve">It is still up to the network when to actually transmit the </w:t>
      </w:r>
      <w:r w:rsidR="00526D7A">
        <w:rPr>
          <w:lang w:eastAsia="ja-JP"/>
        </w:rPr>
        <w:lastRenderedPageBreak/>
        <w:t>channel but a periodic configuration, possibly with a long duty cycle, may reduce device power consumption in attempting to decode a channel that could not have been transmitted.</w:t>
      </w:r>
    </w:p>
    <w:p w:rsidR="007432F0" w:rsidRDefault="007432F0" w:rsidP="008E1878">
      <w:pPr>
        <w:pStyle w:val="BodyText"/>
        <w:spacing w:after="0"/>
        <w:rPr>
          <w:lang w:eastAsia="ja-JP"/>
        </w:rPr>
      </w:pPr>
    </w:p>
    <w:p w:rsidR="00C67309" w:rsidRDefault="00AB4DB8" w:rsidP="008E1878">
      <w:pPr>
        <w:pStyle w:val="BodyText"/>
        <w:spacing w:after="0"/>
        <w:rPr>
          <w:lang w:eastAsia="ja-JP"/>
        </w:rPr>
      </w:pPr>
      <w:r w:rsidRPr="00AB4DB8">
        <w:rPr>
          <w:b/>
          <w:u w:val="single"/>
          <w:lang w:eastAsia="ja-JP"/>
        </w:rPr>
        <w:t>Proposal</w:t>
      </w:r>
      <w:r w:rsidR="007432F0">
        <w:rPr>
          <w:lang w:eastAsia="ja-JP"/>
        </w:rPr>
        <w:t xml:space="preserve">: a UE is configured to periodically monitor for group-common control channel conveying slot format related information. </w:t>
      </w:r>
    </w:p>
    <w:p w:rsidR="00C67309" w:rsidRDefault="00C67309" w:rsidP="008E1878">
      <w:pPr>
        <w:pStyle w:val="BodyText"/>
        <w:spacing w:after="0"/>
        <w:rPr>
          <w:lang w:eastAsia="ja-JP"/>
        </w:rPr>
      </w:pPr>
    </w:p>
    <w:p w:rsidR="008E1878" w:rsidRDefault="001F5A9F" w:rsidP="008E1878">
      <w:pPr>
        <w:pStyle w:val="BodyText"/>
        <w:spacing w:after="0"/>
        <w:rPr>
          <w:lang w:eastAsia="ja-JP"/>
        </w:rPr>
      </w:pPr>
      <w:r>
        <w:rPr>
          <w:lang w:eastAsia="ja-JP"/>
        </w:rPr>
        <w:t>A second outstanding issue is the UE behavior when the group-common channel is not transmitted in a slot. NR supports DL, UL and bi-directional slot structures</w:t>
      </w:r>
      <w:r w:rsidR="00EC6096">
        <w:rPr>
          <w:lang w:eastAsia="ja-JP"/>
        </w:rPr>
        <w:t xml:space="preserve"> at least for unpaired spectrum</w:t>
      </w:r>
      <w:r>
        <w:rPr>
          <w:lang w:eastAsia="ja-JP"/>
        </w:rPr>
        <w:t>.</w:t>
      </w:r>
      <w:r w:rsidR="00EC6096">
        <w:rPr>
          <w:lang w:eastAsia="ja-JP"/>
        </w:rPr>
        <w:t xml:space="preserve"> Therefore, it should be clear that the group-common </w:t>
      </w:r>
      <w:r w:rsidR="00B8659F">
        <w:rPr>
          <w:lang w:eastAsia="ja-JP"/>
        </w:rPr>
        <w:t xml:space="preserve">control </w:t>
      </w:r>
      <w:r w:rsidR="00EC6096">
        <w:rPr>
          <w:lang w:eastAsia="ja-JP"/>
        </w:rPr>
        <w:t xml:space="preserve">channel can only be transmitted in </w:t>
      </w:r>
      <w:r w:rsidR="00B8659F">
        <w:rPr>
          <w:lang w:eastAsia="ja-JP"/>
        </w:rPr>
        <w:t>slots with a DL region</w:t>
      </w:r>
      <w:r w:rsidR="00EC6096">
        <w:rPr>
          <w:lang w:eastAsia="ja-JP"/>
        </w:rPr>
        <w:t>. A simple unified solution is that the slot format related information at least indicates the slot structure for the same slot in which it was received. In addition</w:t>
      </w:r>
      <w:r w:rsidR="002A7D61">
        <w:rPr>
          <w:lang w:eastAsia="ja-JP"/>
        </w:rPr>
        <w:t xml:space="preserve"> information may also indicate slot structures for future slots. The UE may follow the slot structure(s) indicated by the slot format except instructed otherwise by a DCI scheduling DL or UL data. For purposes of channel and interference measurements</w:t>
      </w:r>
      <w:r w:rsidR="00B8659F">
        <w:rPr>
          <w:lang w:eastAsia="ja-JP"/>
        </w:rPr>
        <w:t xml:space="preserve"> it would be beneficial if</w:t>
      </w:r>
      <w:r w:rsidR="002A7D61">
        <w:rPr>
          <w:lang w:eastAsia="ja-JP"/>
        </w:rPr>
        <w:t xml:space="preserve"> the UE may assume that a previously received slot structure is valid until the next group-common PDCCH is received.</w:t>
      </w:r>
    </w:p>
    <w:p w:rsidR="00F70833" w:rsidRDefault="00F70833" w:rsidP="008E1878">
      <w:pPr>
        <w:pStyle w:val="BodyText"/>
        <w:spacing w:after="0"/>
        <w:rPr>
          <w:lang w:eastAsia="ja-JP"/>
        </w:rPr>
      </w:pPr>
    </w:p>
    <w:p w:rsidR="00F70833" w:rsidRDefault="00F70833" w:rsidP="008E1878">
      <w:pPr>
        <w:pStyle w:val="BodyText"/>
        <w:spacing w:after="0"/>
        <w:rPr>
          <w:lang w:eastAsia="ja-JP"/>
        </w:rPr>
      </w:pPr>
      <w:r>
        <w:rPr>
          <w:b/>
          <w:u w:val="single"/>
          <w:lang w:eastAsia="ja-JP"/>
        </w:rPr>
        <w:t>Observation</w:t>
      </w:r>
      <w:r>
        <w:rPr>
          <w:lang w:eastAsia="ja-JP"/>
        </w:rPr>
        <w:t>: it may be beneficial in some cases if a UE may assume that slot format related information received in a group-common control channel is valid until the next instance of the group-common channel is received.</w:t>
      </w:r>
    </w:p>
    <w:p w:rsidR="005A48F7" w:rsidRDefault="005A48F7" w:rsidP="008E1878">
      <w:pPr>
        <w:pStyle w:val="BodyText"/>
        <w:spacing w:after="0"/>
        <w:rPr>
          <w:lang w:eastAsia="ja-JP"/>
        </w:rPr>
      </w:pPr>
    </w:p>
    <w:p w:rsidR="00E67D80" w:rsidRPr="008E1878" w:rsidRDefault="005A48F7" w:rsidP="008E1878">
      <w:pPr>
        <w:pStyle w:val="BodyText"/>
        <w:spacing w:after="0"/>
        <w:rPr>
          <w:lang w:eastAsia="ja-JP"/>
        </w:rPr>
      </w:pPr>
      <w:r>
        <w:rPr>
          <w:lang w:eastAsia="ja-JP"/>
        </w:rPr>
        <w:t xml:space="preserve">Although </w:t>
      </w:r>
      <w:r w:rsidR="00B8659F">
        <w:rPr>
          <w:lang w:eastAsia="ja-JP"/>
        </w:rPr>
        <w:t xml:space="preserve">it was agreed that </w:t>
      </w:r>
      <w:r>
        <w:rPr>
          <w:lang w:eastAsia="ja-JP"/>
        </w:rPr>
        <w:t xml:space="preserve">detection of the group-common control channel is not a prerequisite to detect an NR-PDCCH, its detection may facilitate other important benefits gleaned from knowledge of the slot format. Therefore, the reliability of this channel should be based on the LTE PCFICH as a starting point. Towards this </w:t>
      </w:r>
      <w:r w:rsidR="008F6A82">
        <w:rPr>
          <w:lang w:eastAsia="ja-JP"/>
        </w:rPr>
        <w:t>goal</w:t>
      </w:r>
      <w:r>
        <w:rPr>
          <w:lang w:eastAsia="ja-JP"/>
        </w:rPr>
        <w:t xml:space="preserve">, the payload size should also be as small as possible given a target coding rate. As a PRB </w:t>
      </w:r>
      <w:r w:rsidR="00452C18">
        <w:rPr>
          <w:lang w:eastAsia="ja-JP"/>
        </w:rPr>
        <w:t xml:space="preserve">is </w:t>
      </w:r>
      <w:r>
        <w:rPr>
          <w:lang w:eastAsia="ja-JP"/>
        </w:rPr>
        <w:t>the resource unit size for the control channel, the group-common channel should be mapped to a</w:t>
      </w:r>
      <w:r w:rsidR="008F6A82">
        <w:rPr>
          <w:lang w:eastAsia="ja-JP"/>
        </w:rPr>
        <w:t>n integer number of PRBs in the first symbol of the slot.</w:t>
      </w:r>
      <w:r w:rsidR="00452C18">
        <w:rPr>
          <w:lang w:eastAsia="ja-JP"/>
        </w:rPr>
        <w:t xml:space="preserve"> Since the slot format information may be valid for the same slot in which the group common channel is received, it is best to enable early decoding by mapping to the firs</w:t>
      </w:r>
      <w:r w:rsidR="00B44B39">
        <w:rPr>
          <w:lang w:eastAsia="ja-JP"/>
        </w:rPr>
        <w:t>t</w:t>
      </w:r>
      <w:r w:rsidR="00452C18">
        <w:rPr>
          <w:lang w:eastAsia="ja-JP"/>
        </w:rPr>
        <w:t xml:space="preserve"> symbol of the slot</w:t>
      </w:r>
      <w:r w:rsidR="00452C18">
        <w:rPr>
          <w:rFonts w:eastAsia="SimSun"/>
          <w:lang w:eastAsia="zh-CN"/>
        </w:rPr>
        <w:t>.</w:t>
      </w:r>
      <w:r>
        <w:rPr>
          <w:lang w:eastAsia="ja-JP"/>
        </w:rPr>
        <w:t xml:space="preserve"> </w:t>
      </w:r>
    </w:p>
    <w:p w:rsidR="008E1EF1" w:rsidRDefault="008E1EF1" w:rsidP="00D449B5">
      <w:pPr>
        <w:pStyle w:val="BodyText"/>
        <w:rPr>
          <w:lang w:eastAsia="zh-CN"/>
        </w:rPr>
      </w:pPr>
    </w:p>
    <w:p w:rsidR="002A7D61" w:rsidRDefault="00E67D80" w:rsidP="002A7D61">
      <w:pPr>
        <w:pStyle w:val="Heading3"/>
      </w:pPr>
      <w:r>
        <w:t xml:space="preserve">Other contents of the group-common control channel </w:t>
      </w:r>
    </w:p>
    <w:p w:rsidR="009D753C" w:rsidRDefault="00BC6FD1" w:rsidP="001B027C">
      <w:pPr>
        <w:jc w:val="both"/>
      </w:pPr>
      <w:r>
        <w:t xml:space="preserve">An outstanding issue is the necessity of dynamically signaling the actual duration of the CORESET in a </w:t>
      </w:r>
      <w:r w:rsidR="00AE4B9C">
        <w:t xml:space="preserve">group common control channel. </w:t>
      </w:r>
      <w:r w:rsidR="00E67D80">
        <w:t xml:space="preserve">This indication may potentially </w:t>
      </w:r>
      <w:r w:rsidR="00AE4B9C">
        <w:t xml:space="preserve">reduce the </w:t>
      </w:r>
      <w:r w:rsidR="00452C18">
        <w:t xml:space="preserve">average number of blind decodes </w:t>
      </w:r>
      <w:r w:rsidR="00AE4B9C">
        <w:t xml:space="preserve">performed by a UE in the same slot containing this channel. The proposed savings in terms of UE power consumption are </w:t>
      </w:r>
      <w:r w:rsidR="009D753C">
        <w:t xml:space="preserve">unclear </w:t>
      </w:r>
      <w:r w:rsidR="00AE4B9C">
        <w:t xml:space="preserve">and warrant further investigation. </w:t>
      </w:r>
    </w:p>
    <w:p w:rsidR="00E67D80" w:rsidRDefault="00E67D80" w:rsidP="001B027C">
      <w:pPr>
        <w:jc w:val="both"/>
      </w:pPr>
    </w:p>
    <w:p w:rsidR="002A7D61" w:rsidRDefault="00AE4B9C" w:rsidP="001B027C">
      <w:pPr>
        <w:jc w:val="both"/>
      </w:pPr>
      <w:r>
        <w:t>Firstly, the reduction in average decoding effort is highly dependent on the search space design and the CCE-to-REG mapping</w:t>
      </w:r>
      <w:r w:rsidR="006921D6">
        <w:t>.</w:t>
      </w:r>
      <w:r w:rsidR="00EC61F5">
        <w:t xml:space="preserve"> Note that RAN1 has not agreed on the </w:t>
      </w:r>
      <w:r w:rsidR="006921D6">
        <w:t xml:space="preserve">CCE-to-REG mapping </w:t>
      </w:r>
      <w:r w:rsidR="00EC61F5">
        <w:t>between the following options: fre</w:t>
      </w:r>
      <w:r>
        <w:t xml:space="preserve">quency-first, time-first or network configurable. </w:t>
      </w:r>
      <w:r w:rsidR="00452C18">
        <w:t>An illustration is shown in</w:t>
      </w:r>
      <w:r w:rsidR="00BC6FD1">
        <w:t xml:space="preserve"> </w:t>
      </w:r>
      <w:r w:rsidR="00C6442D">
        <w:fldChar w:fldCharType="begin"/>
      </w:r>
      <w:r w:rsidR="00BC6FD1">
        <w:instrText xml:space="preserve"> REF _Ref473753263 \h </w:instrText>
      </w:r>
      <w:r w:rsidR="00C6442D">
        <w:fldChar w:fldCharType="separate"/>
      </w:r>
      <w:r w:rsidR="00B8659F">
        <w:t xml:space="preserve">Figure </w:t>
      </w:r>
      <w:r w:rsidR="00B8659F">
        <w:rPr>
          <w:noProof/>
        </w:rPr>
        <w:t>2</w:t>
      </w:r>
      <w:r w:rsidR="00C6442D">
        <w:fldChar w:fldCharType="end"/>
      </w:r>
      <w:r w:rsidR="00452C18">
        <w:t xml:space="preserve"> for a</w:t>
      </w:r>
      <w:r>
        <w:t xml:space="preserve"> CORESET allocation of </w:t>
      </w:r>
      <w:r w:rsidR="001B027C">
        <w:t>1</w:t>
      </w:r>
      <w:r>
        <w:t>00</w:t>
      </w:r>
      <w:r w:rsidR="001B027C">
        <w:t xml:space="preserve"> PRBs per symbol</w:t>
      </w:r>
      <w:r w:rsidR="00EC61F5">
        <w:t xml:space="preserve">, </w:t>
      </w:r>
      <w:r w:rsidR="001B027C">
        <w:t xml:space="preserve">a semi-statically configured duration of 2 </w:t>
      </w:r>
      <w:r>
        <w:t>OFDM symbol</w:t>
      </w:r>
      <w:r w:rsidR="001B027C">
        <w:t>s</w:t>
      </w:r>
      <w:r w:rsidR="00EC61F5">
        <w:t xml:space="preserve"> and an </w:t>
      </w:r>
      <w:r>
        <w:t xml:space="preserve">NR-CCE </w:t>
      </w:r>
      <w:r w:rsidR="001B027C">
        <w:t>made up of 4</w:t>
      </w:r>
      <w:r w:rsidR="00452C18">
        <w:t xml:space="preserve"> REGs</w:t>
      </w:r>
      <w:r w:rsidR="00EC61F5">
        <w:t xml:space="preserve">. </w:t>
      </w:r>
      <w:r w:rsidR="000723AC">
        <w:t xml:space="preserve">Assuming no other channels/signals are mapped to the CORESET region, this </w:t>
      </w:r>
      <w:r w:rsidR="00EC61F5">
        <w:t>gives a maximum NR-PDCCH capacity of 50 NR-CCEs (</w:t>
      </w:r>
      <w:r w:rsidR="000723AC">
        <w:t>25 per OFDM symbol)</w:t>
      </w:r>
      <w:r>
        <w:t xml:space="preserve">. </w:t>
      </w:r>
      <w:r w:rsidR="001B027C">
        <w:t>For</w:t>
      </w:r>
      <w:r w:rsidR="00BC6FD1">
        <w:t xml:space="preserve"> time-first mapping as shown in </w:t>
      </w:r>
      <w:r w:rsidR="00C6442D">
        <w:fldChar w:fldCharType="begin"/>
      </w:r>
      <w:r w:rsidR="00BC6FD1">
        <w:instrText xml:space="preserve"> REF _Ref473753263 \h </w:instrText>
      </w:r>
      <w:r w:rsidR="00C6442D">
        <w:fldChar w:fldCharType="separate"/>
      </w:r>
      <w:r w:rsidR="00B8659F">
        <w:t xml:space="preserve">Figure </w:t>
      </w:r>
      <w:r w:rsidR="00B8659F">
        <w:rPr>
          <w:noProof/>
        </w:rPr>
        <w:t>2</w:t>
      </w:r>
      <w:r w:rsidR="00C6442D">
        <w:fldChar w:fldCharType="end"/>
      </w:r>
      <w:r w:rsidR="00BC6FD1">
        <w:t>(a)</w:t>
      </w:r>
      <w:r w:rsidR="001B027C">
        <w:t>, the</w:t>
      </w:r>
      <w:r w:rsidR="00BC6FD1">
        <w:t xml:space="preserve"> CORESET </w:t>
      </w:r>
      <w:r w:rsidR="001B027C">
        <w:t>duration is always fixed as provided in the</w:t>
      </w:r>
      <w:r w:rsidR="00BC6FD1">
        <w:t xml:space="preserve"> initial CORESET configuration</w:t>
      </w:r>
      <w:r w:rsidR="009D753C">
        <w:t xml:space="preserve"> and dynamic signaling is not needed</w:t>
      </w:r>
      <w:r w:rsidR="00FE002B">
        <w:t xml:space="preserve">. On the other hand, for frequency-first mapping as shown in </w:t>
      </w:r>
      <w:r w:rsidR="00C6442D">
        <w:fldChar w:fldCharType="begin"/>
      </w:r>
      <w:r w:rsidR="00FE002B">
        <w:instrText xml:space="preserve"> REF _Ref473753263 \h </w:instrText>
      </w:r>
      <w:r w:rsidR="00C6442D">
        <w:fldChar w:fldCharType="separate"/>
      </w:r>
      <w:r w:rsidR="00B8659F">
        <w:t xml:space="preserve">Figure </w:t>
      </w:r>
      <w:r w:rsidR="00B8659F">
        <w:rPr>
          <w:noProof/>
        </w:rPr>
        <w:t>2</w:t>
      </w:r>
      <w:r w:rsidR="00C6442D">
        <w:fldChar w:fldCharType="end"/>
      </w:r>
      <w:r w:rsidR="00FE002B">
        <w:t>(b), dynamically indicating the actual duration of the CORESET may allow a UE to skip some blind decodes at least in a UESS.</w:t>
      </w:r>
    </w:p>
    <w:p w:rsidR="00B17029" w:rsidRPr="002A7D61" w:rsidRDefault="00B17029" w:rsidP="001B027C">
      <w:pPr>
        <w:jc w:val="both"/>
      </w:pPr>
    </w:p>
    <w:p w:rsidR="00B17029" w:rsidRDefault="00B17029" w:rsidP="00B17029">
      <w:pPr>
        <w:rPr>
          <w:lang w:val="en-GB"/>
        </w:rPr>
      </w:pPr>
      <w:r>
        <w:rPr>
          <w:lang w:val="en-GB"/>
        </w:rPr>
        <w:t>Regarding search space design the greatest benefits for dynamically signaling the duration occurs if the candidates are equally distributed (i.e. load balancing) across all OFDM symbols. Then for low traffic loads blind decodes may be skipped for unused candidates in the last symbol(s). However this is also dependent on the search space design and what kind of time-domain randomization is applied across slots.</w:t>
      </w:r>
    </w:p>
    <w:p w:rsidR="002A7D61" w:rsidRPr="00B17029" w:rsidRDefault="002A7D61" w:rsidP="001B027C">
      <w:pPr>
        <w:pStyle w:val="BodyText"/>
        <w:rPr>
          <w:lang w:val="en-GB" w:eastAsia="zh-CN"/>
        </w:rPr>
      </w:pPr>
    </w:p>
    <w:p w:rsidR="00BC6FD1" w:rsidRDefault="00492C00" w:rsidP="00BC6FD1">
      <w:pPr>
        <w:pStyle w:val="BodyText"/>
        <w:keepNext/>
        <w:jc w:val="center"/>
      </w:pPr>
      <w:r>
        <w:object w:dxaOrig="6599" w:dyaOrig="5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2pt;height:178.55pt" o:ole="">
            <v:imagedata r:id="rId8" o:title=""/>
          </v:shape>
          <o:OLEObject Type="Embed" ProgID="Visio.Drawing.11" ShapeID="_x0000_i1025" DrawAspect="Content" ObjectID="_1547906221" r:id="rId9"/>
        </w:object>
      </w:r>
    </w:p>
    <w:p w:rsidR="00BC6FD1" w:rsidRDefault="00BC6FD1" w:rsidP="00BC6FD1">
      <w:pPr>
        <w:pStyle w:val="Caption"/>
        <w:jc w:val="center"/>
      </w:pPr>
      <w:bookmarkStart w:id="3" w:name="_Ref473753263"/>
      <w:r>
        <w:t xml:space="preserve">Figure </w:t>
      </w:r>
      <w:fldSimple w:instr=" SEQ Figure \* ARABIC ">
        <w:r w:rsidR="00B8659F">
          <w:rPr>
            <w:noProof/>
          </w:rPr>
          <w:t>2</w:t>
        </w:r>
      </w:fldSimple>
      <w:bookmarkEnd w:id="3"/>
      <w:r>
        <w:t xml:space="preserve"> CCE-to-REG mapping options in a CORESET (a) Time-first and (b) Frequency-first</w:t>
      </w:r>
    </w:p>
    <w:p w:rsidR="006921D6" w:rsidRDefault="006921D6" w:rsidP="006921D6">
      <w:pPr>
        <w:rPr>
          <w:lang w:val="en-GB"/>
        </w:rPr>
      </w:pPr>
    </w:p>
    <w:p w:rsidR="006921D6" w:rsidRDefault="006921D6" w:rsidP="006921D6">
      <w:pPr>
        <w:rPr>
          <w:lang w:val="en-GB"/>
        </w:rPr>
      </w:pPr>
      <w:r w:rsidRPr="00985A70">
        <w:rPr>
          <w:b/>
          <w:u w:val="single"/>
          <w:lang w:val="en-GB"/>
        </w:rPr>
        <w:t>Observation</w:t>
      </w:r>
      <w:r>
        <w:rPr>
          <w:lang w:val="en-GB"/>
        </w:rPr>
        <w:t xml:space="preserve">: the </w:t>
      </w:r>
      <w:r w:rsidR="00985A70">
        <w:rPr>
          <w:lang w:val="en-GB"/>
        </w:rPr>
        <w:t xml:space="preserve">potential </w:t>
      </w:r>
      <w:r>
        <w:rPr>
          <w:lang w:val="en-GB"/>
        </w:rPr>
        <w:t xml:space="preserve">reduction in average number of blind decodes </w:t>
      </w:r>
      <w:r w:rsidR="00985A70">
        <w:rPr>
          <w:lang w:val="en-GB"/>
        </w:rPr>
        <w:t xml:space="preserve">by dynamically signaling the duration of a CORESET is highly dependent on the search-space </w:t>
      </w:r>
      <w:r w:rsidR="009D753C">
        <w:rPr>
          <w:lang w:val="en-GB"/>
        </w:rPr>
        <w:t xml:space="preserve">design </w:t>
      </w:r>
      <w:r w:rsidR="00985A70">
        <w:rPr>
          <w:lang w:val="en-GB"/>
        </w:rPr>
        <w:t xml:space="preserve">and </w:t>
      </w:r>
      <w:r w:rsidR="009D753C">
        <w:rPr>
          <w:lang w:val="en-GB"/>
        </w:rPr>
        <w:t xml:space="preserve">the </w:t>
      </w:r>
      <w:r w:rsidR="00985A70">
        <w:rPr>
          <w:lang w:val="en-GB"/>
        </w:rPr>
        <w:t>CCE-to-REG mapping.</w:t>
      </w:r>
    </w:p>
    <w:p w:rsidR="00CF2B8F" w:rsidRDefault="00CF2B8F" w:rsidP="006921D6">
      <w:pPr>
        <w:rPr>
          <w:lang w:val="en-GB"/>
        </w:rPr>
      </w:pPr>
    </w:p>
    <w:p w:rsidR="00985A70" w:rsidRDefault="00985A70" w:rsidP="006921D6">
      <w:pPr>
        <w:rPr>
          <w:lang w:val="en-GB"/>
        </w:rPr>
      </w:pPr>
    </w:p>
    <w:p w:rsidR="00DF2AE0" w:rsidRDefault="00526D7A" w:rsidP="006921D6">
      <w:pPr>
        <w:rPr>
          <w:lang w:val="en-GB"/>
        </w:rPr>
      </w:pPr>
      <w:r>
        <w:rPr>
          <w:lang w:val="en-GB"/>
        </w:rPr>
        <w:t>O</w:t>
      </w:r>
      <w:r w:rsidR="00DF2AE0">
        <w:rPr>
          <w:lang w:val="en-GB"/>
        </w:rPr>
        <w:t>ther issues with signaling the CORESET duration in the group-common PDCCH</w:t>
      </w:r>
      <w:r>
        <w:rPr>
          <w:lang w:val="en-GB"/>
        </w:rPr>
        <w:t xml:space="preserve"> include</w:t>
      </w:r>
      <w:r w:rsidR="00DF2AE0">
        <w:rPr>
          <w:lang w:val="en-GB"/>
        </w:rPr>
        <w:t>:</w:t>
      </w:r>
    </w:p>
    <w:p w:rsidR="00985A70" w:rsidRDefault="00DF2AE0" w:rsidP="00DF2AE0">
      <w:pPr>
        <w:pStyle w:val="ListParagraph"/>
        <w:numPr>
          <w:ilvl w:val="0"/>
          <w:numId w:val="32"/>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Since by definition the</w:t>
      </w:r>
      <w:r w:rsidR="00CF2B8F">
        <w:rPr>
          <w:rFonts w:ascii="Times New Roman" w:hAnsi="Times New Roman" w:cs="Times New Roman"/>
          <w:sz w:val="20"/>
          <w:szCs w:val="20"/>
          <w:lang w:val="en-GB"/>
        </w:rPr>
        <w:t xml:space="preserve"> group common PDCCH is </w:t>
      </w:r>
      <w:r>
        <w:rPr>
          <w:rFonts w:ascii="Times New Roman" w:hAnsi="Times New Roman" w:cs="Times New Roman"/>
          <w:sz w:val="20"/>
          <w:szCs w:val="20"/>
          <w:lang w:val="en-GB"/>
        </w:rPr>
        <w:t xml:space="preserve">common to a subset of UEs in a cell, the CORESET duration </w:t>
      </w:r>
      <w:r w:rsidR="009D753C">
        <w:rPr>
          <w:rFonts w:ascii="Times New Roman" w:hAnsi="Times New Roman" w:cs="Times New Roman"/>
          <w:sz w:val="20"/>
          <w:szCs w:val="20"/>
          <w:lang w:val="en-GB"/>
        </w:rPr>
        <w:t xml:space="preserve">could </w:t>
      </w:r>
      <w:r>
        <w:rPr>
          <w:rFonts w:ascii="Times New Roman" w:hAnsi="Times New Roman" w:cs="Times New Roman"/>
          <w:sz w:val="20"/>
          <w:szCs w:val="20"/>
          <w:lang w:val="en-GB"/>
        </w:rPr>
        <w:t>at least apply to the first CORESET</w:t>
      </w:r>
      <w:r w:rsidR="00CF2B8F">
        <w:rPr>
          <w:rFonts w:ascii="Times New Roman" w:hAnsi="Times New Roman" w:cs="Times New Roman"/>
          <w:sz w:val="20"/>
          <w:szCs w:val="20"/>
          <w:lang w:val="en-GB"/>
        </w:rPr>
        <w:t xml:space="preserve"> obtained at initial access</w:t>
      </w:r>
      <w:r>
        <w:rPr>
          <w:rFonts w:ascii="Times New Roman" w:hAnsi="Times New Roman" w:cs="Times New Roman"/>
          <w:sz w:val="20"/>
          <w:szCs w:val="20"/>
          <w:lang w:val="en-GB"/>
        </w:rPr>
        <w:t xml:space="preserve">. </w:t>
      </w:r>
      <w:r w:rsidR="00CF2B8F">
        <w:rPr>
          <w:rFonts w:ascii="Times New Roman" w:hAnsi="Times New Roman" w:cs="Times New Roman"/>
          <w:sz w:val="20"/>
          <w:szCs w:val="20"/>
          <w:lang w:val="en-GB"/>
        </w:rPr>
        <w:t xml:space="preserve">As a UE may be configured with additional CORESETs it is not clear whether the duration of these </w:t>
      </w:r>
      <w:r w:rsidR="007B5C90">
        <w:rPr>
          <w:rFonts w:ascii="Times New Roman" w:hAnsi="Times New Roman" w:cs="Times New Roman"/>
          <w:sz w:val="20"/>
          <w:szCs w:val="20"/>
          <w:lang w:val="en-GB"/>
        </w:rPr>
        <w:t xml:space="preserve">additional </w:t>
      </w:r>
      <w:r w:rsidR="00CF2B8F">
        <w:rPr>
          <w:rFonts w:ascii="Times New Roman" w:hAnsi="Times New Roman" w:cs="Times New Roman"/>
          <w:sz w:val="20"/>
          <w:szCs w:val="20"/>
          <w:lang w:val="en-GB"/>
        </w:rPr>
        <w:t xml:space="preserve">CORESETs </w:t>
      </w:r>
      <w:r w:rsidR="0004523C">
        <w:rPr>
          <w:rFonts w:ascii="Times New Roman" w:hAnsi="Times New Roman" w:cs="Times New Roman"/>
          <w:sz w:val="20"/>
          <w:szCs w:val="20"/>
          <w:lang w:val="en-GB"/>
        </w:rPr>
        <w:t xml:space="preserve">is indicated by the same information element in the </w:t>
      </w:r>
      <w:r w:rsidR="00CF2B8F">
        <w:rPr>
          <w:rFonts w:ascii="Times New Roman" w:hAnsi="Times New Roman" w:cs="Times New Roman"/>
          <w:sz w:val="20"/>
          <w:szCs w:val="20"/>
          <w:lang w:val="en-GB"/>
        </w:rPr>
        <w:t>group-common channel. If not the benefits are questionable.</w:t>
      </w:r>
    </w:p>
    <w:p w:rsidR="0004523C" w:rsidRDefault="0004523C" w:rsidP="00886EC6">
      <w:pPr>
        <w:pStyle w:val="ListParagraph"/>
        <w:numPr>
          <w:ilvl w:val="0"/>
          <w:numId w:val="32"/>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For mini-slot-based data transmission, the gNB may configure mini-slot-specific CORESETs. Based on the preceding discussion, </w:t>
      </w:r>
      <w:r w:rsidR="009D753C">
        <w:rPr>
          <w:rFonts w:ascii="Times New Roman" w:hAnsi="Times New Roman" w:cs="Times New Roman"/>
          <w:sz w:val="20"/>
          <w:szCs w:val="20"/>
          <w:lang w:val="en-GB"/>
        </w:rPr>
        <w:t xml:space="preserve">the applicability of a CORESET duration information element in a group-common PDCCH to mini-slot-based control resources is questionable. A simpler solution is that </w:t>
      </w:r>
      <w:r w:rsidR="009147DC">
        <w:rPr>
          <w:rFonts w:ascii="Times New Roman" w:hAnsi="Times New Roman" w:cs="Times New Roman"/>
          <w:sz w:val="20"/>
          <w:szCs w:val="20"/>
          <w:lang w:val="en-GB"/>
        </w:rPr>
        <w:t xml:space="preserve">a UE monitors for control channel candidates in a mini-slot-based CORESET based on the </w:t>
      </w:r>
      <w:r>
        <w:rPr>
          <w:rFonts w:ascii="Times New Roman" w:hAnsi="Times New Roman" w:cs="Times New Roman"/>
          <w:sz w:val="20"/>
          <w:szCs w:val="20"/>
          <w:lang w:val="en-GB"/>
        </w:rPr>
        <w:t>semi-statically configured</w:t>
      </w:r>
      <w:r w:rsidR="009147DC">
        <w:rPr>
          <w:rFonts w:ascii="Times New Roman" w:hAnsi="Times New Roman" w:cs="Times New Roman"/>
          <w:sz w:val="20"/>
          <w:szCs w:val="20"/>
          <w:lang w:val="en-GB"/>
        </w:rPr>
        <w:t xml:space="preserve"> number of OFDM symbols</w:t>
      </w:r>
      <w:r>
        <w:rPr>
          <w:rFonts w:ascii="Times New Roman" w:hAnsi="Times New Roman" w:cs="Times New Roman"/>
          <w:sz w:val="20"/>
          <w:szCs w:val="20"/>
          <w:lang w:val="en-GB"/>
        </w:rPr>
        <w:t>.</w:t>
      </w:r>
    </w:p>
    <w:p w:rsidR="00661652" w:rsidRDefault="00CF2B8F" w:rsidP="00DF2AE0">
      <w:pPr>
        <w:pStyle w:val="ListParagraph"/>
        <w:numPr>
          <w:ilvl w:val="0"/>
          <w:numId w:val="32"/>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In contrast to signaling slot format information, which may be assumed to be valid for a multi-slot duration, dynamic indication of the CORESET duration is only valid for the current slot. Therefore, if the transmission of this channel is aperiodic or periodic with a long duty cycle, the actual saving</w:t>
      </w:r>
      <w:r w:rsidR="00526D7A">
        <w:rPr>
          <w:rFonts w:ascii="Times New Roman" w:hAnsi="Times New Roman" w:cs="Times New Roman"/>
          <w:sz w:val="20"/>
          <w:szCs w:val="20"/>
          <w:lang w:val="en-GB"/>
        </w:rPr>
        <w:t>s</w:t>
      </w:r>
      <w:r>
        <w:rPr>
          <w:rFonts w:ascii="Times New Roman" w:hAnsi="Times New Roman" w:cs="Times New Roman"/>
          <w:sz w:val="20"/>
          <w:szCs w:val="20"/>
          <w:lang w:val="en-GB"/>
        </w:rPr>
        <w:t xml:space="preserve"> in UE power consumption may be negligible. </w:t>
      </w:r>
    </w:p>
    <w:p w:rsidR="004F3E24" w:rsidRDefault="004F3E24">
      <w:pPr>
        <w:ind w:left="720"/>
        <w:rPr>
          <w:lang w:val="en-GB"/>
        </w:rPr>
      </w:pPr>
    </w:p>
    <w:p w:rsidR="00886EC6" w:rsidRDefault="00886EC6" w:rsidP="00991C97">
      <w:pPr>
        <w:rPr>
          <w:b/>
          <w:u w:val="single"/>
          <w:lang w:val="en-GB"/>
        </w:rPr>
      </w:pPr>
    </w:p>
    <w:p w:rsidR="00E67D80" w:rsidRDefault="00991C97">
      <w:pPr>
        <w:rPr>
          <w:lang w:val="en-GB"/>
        </w:rPr>
      </w:pPr>
      <w:r w:rsidRPr="00CF2B8F">
        <w:rPr>
          <w:b/>
          <w:u w:val="single"/>
          <w:lang w:val="en-GB"/>
        </w:rPr>
        <w:t>Proposal</w:t>
      </w:r>
      <w:r>
        <w:rPr>
          <w:lang w:val="en-GB"/>
        </w:rPr>
        <w:t>: progress the search space design and CCE-to-REG mapping before deciding on whether to indicate the duration of a CORESET in the group-common control channel.</w:t>
      </w:r>
    </w:p>
    <w:p w:rsidR="00C94BA8" w:rsidRPr="00C94BA8" w:rsidRDefault="006921D6" w:rsidP="00C94BA8">
      <w:pPr>
        <w:rPr>
          <w:lang w:val="en-GB"/>
        </w:rPr>
      </w:pPr>
      <w:r>
        <w:rPr>
          <w:lang w:val="en-GB"/>
        </w:rPr>
        <w:t xml:space="preserve"> </w:t>
      </w:r>
    </w:p>
    <w:p w:rsidR="005935B8" w:rsidRDefault="00830F4E" w:rsidP="001B027C">
      <w:pPr>
        <w:pStyle w:val="Heading1"/>
        <w:jc w:val="both"/>
      </w:pPr>
      <w:r w:rsidRPr="0052231C">
        <w:rPr>
          <w:rFonts w:hint="eastAsia"/>
        </w:rPr>
        <w:t>Conclusion</w:t>
      </w:r>
    </w:p>
    <w:p w:rsidR="00907D28" w:rsidRDefault="00C22604" w:rsidP="001B027C">
      <w:pPr>
        <w:pStyle w:val="BodyText"/>
        <w:ind w:left="-2"/>
        <w:rPr>
          <w:rFonts w:eastAsia="SimSun"/>
          <w:lang w:eastAsia="zh-CN"/>
        </w:rPr>
      </w:pPr>
      <w:r>
        <w:rPr>
          <w:rFonts w:eastAsia="SimSun"/>
          <w:lang w:eastAsia="zh-CN"/>
        </w:rPr>
        <w:t xml:space="preserve">This contribution </w:t>
      </w:r>
      <w:r w:rsidR="0004523C">
        <w:rPr>
          <w:rFonts w:eastAsia="SimSun"/>
          <w:lang w:eastAsia="zh-CN"/>
        </w:rPr>
        <w:t>discussed some outstanding details of common control signaling including usage and contents of the so-called group-common control channel. In summary,</w:t>
      </w:r>
    </w:p>
    <w:p w:rsidR="0004523C" w:rsidRPr="00736205" w:rsidRDefault="0004523C" w:rsidP="0004523C">
      <w:pPr>
        <w:pStyle w:val="BodyText"/>
        <w:numPr>
          <w:ilvl w:val="0"/>
          <w:numId w:val="33"/>
        </w:numPr>
        <w:rPr>
          <w:rFonts w:eastAsia="SimSun"/>
          <w:lang w:eastAsia="zh-CN"/>
        </w:rPr>
      </w:pPr>
      <w:r w:rsidRPr="0004523C">
        <w:rPr>
          <w:rFonts w:eastAsia="SimSun"/>
          <w:b/>
          <w:u w:val="single"/>
          <w:lang w:eastAsia="zh-CN"/>
        </w:rPr>
        <w:t>Observation</w:t>
      </w:r>
      <w:r>
        <w:rPr>
          <w:rFonts w:eastAsia="SimSun"/>
          <w:lang w:eastAsia="zh-CN"/>
        </w:rPr>
        <w:t xml:space="preserve">: </w:t>
      </w:r>
      <w:r>
        <w:rPr>
          <w:lang w:val="en-GB"/>
        </w:rPr>
        <w:t>the potential reduction in average number of blind decodes by dynamically signaling the duration of a CORESET is highly dependent on the search-space and CCE-to-REG mapping design.</w:t>
      </w:r>
    </w:p>
    <w:p w:rsidR="00736205" w:rsidRPr="00F70833" w:rsidRDefault="00736205" w:rsidP="0004523C">
      <w:pPr>
        <w:pStyle w:val="BodyText"/>
        <w:numPr>
          <w:ilvl w:val="0"/>
          <w:numId w:val="33"/>
        </w:numPr>
        <w:rPr>
          <w:rFonts w:eastAsia="SimSun"/>
          <w:lang w:eastAsia="zh-CN"/>
        </w:rPr>
      </w:pPr>
      <w:r>
        <w:rPr>
          <w:rFonts w:eastAsia="SimSun"/>
          <w:b/>
          <w:u w:val="single"/>
          <w:lang w:eastAsia="zh-CN"/>
        </w:rPr>
        <w:t>Proposal:</w:t>
      </w:r>
      <w:r>
        <w:rPr>
          <w:rFonts w:eastAsia="SimSun"/>
          <w:lang w:eastAsia="zh-CN"/>
        </w:rPr>
        <w:t xml:space="preserve"> </w:t>
      </w:r>
      <w:r>
        <w:rPr>
          <w:lang w:eastAsia="ja-JP"/>
        </w:rPr>
        <w:t>a UE is configured to periodically monitor for group-common control channel conveying slot format related information.</w:t>
      </w:r>
    </w:p>
    <w:p w:rsidR="00F70833" w:rsidRDefault="00F70833" w:rsidP="00F70833">
      <w:pPr>
        <w:pStyle w:val="BodyText"/>
        <w:numPr>
          <w:ilvl w:val="0"/>
          <w:numId w:val="33"/>
        </w:numPr>
        <w:spacing w:after="0"/>
        <w:rPr>
          <w:lang w:eastAsia="ja-JP"/>
        </w:rPr>
      </w:pPr>
      <w:r>
        <w:rPr>
          <w:b/>
          <w:u w:val="single"/>
          <w:lang w:eastAsia="ja-JP"/>
        </w:rPr>
        <w:t>Observation</w:t>
      </w:r>
      <w:r>
        <w:rPr>
          <w:lang w:eastAsia="ja-JP"/>
        </w:rPr>
        <w:t>: it may be beneficial in some cases if a UE may assume that slot format related information received in a group-common control channel is valid until the next instance of the group-common channel is received.</w:t>
      </w:r>
    </w:p>
    <w:p w:rsidR="0004523C" w:rsidRPr="0004523C" w:rsidRDefault="0004523C" w:rsidP="0004523C">
      <w:pPr>
        <w:pStyle w:val="BodyText"/>
        <w:numPr>
          <w:ilvl w:val="0"/>
          <w:numId w:val="33"/>
        </w:numPr>
        <w:rPr>
          <w:rFonts w:eastAsia="SimSun"/>
          <w:lang w:eastAsia="zh-CN"/>
        </w:rPr>
      </w:pPr>
      <w:r w:rsidRPr="0004523C">
        <w:rPr>
          <w:b/>
          <w:u w:val="single"/>
          <w:lang w:val="en-GB"/>
        </w:rPr>
        <w:t>Proposal</w:t>
      </w:r>
      <w:r w:rsidRPr="0004523C">
        <w:rPr>
          <w:lang w:val="en-GB"/>
        </w:rPr>
        <w:t xml:space="preserve">: progress the search space design and CCE-to-REG mapping before deciding on </w:t>
      </w:r>
      <w:r w:rsidR="00916A39">
        <w:rPr>
          <w:lang w:val="en-GB"/>
        </w:rPr>
        <w:t>whether to indicate</w:t>
      </w:r>
      <w:r w:rsidR="00916A39" w:rsidRPr="0004523C">
        <w:rPr>
          <w:lang w:val="en-GB"/>
        </w:rPr>
        <w:t xml:space="preserve"> </w:t>
      </w:r>
      <w:r w:rsidRPr="0004523C">
        <w:rPr>
          <w:lang w:val="en-GB"/>
        </w:rPr>
        <w:t>the duration of a CORESET in the group-common control channel.</w:t>
      </w:r>
    </w:p>
    <w:p w:rsidR="00801613" w:rsidRPr="00DE501E" w:rsidRDefault="00801613" w:rsidP="001B027C">
      <w:pPr>
        <w:pStyle w:val="BodyText"/>
        <w:rPr>
          <w:rFonts w:eastAsia="SimSun"/>
          <w:b/>
          <w:lang w:eastAsia="zh-CN"/>
        </w:rPr>
      </w:pPr>
    </w:p>
    <w:p w:rsidR="00830F4E" w:rsidRPr="0052231C" w:rsidRDefault="00830F4E" w:rsidP="00E9523A">
      <w:pPr>
        <w:pStyle w:val="Heading1"/>
      </w:pPr>
      <w:r w:rsidRPr="0052231C">
        <w:lastRenderedPageBreak/>
        <w:t>References</w:t>
      </w:r>
    </w:p>
    <w:p w:rsidR="008D405D" w:rsidRDefault="008D405D"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4011202"/>
      <w:bookmarkStart w:id="5" w:name="_Ref473642711"/>
      <w:r>
        <w:rPr>
          <w:rFonts w:eastAsia="SimSun"/>
          <w:noProof/>
          <w:lang w:eastAsia="zh-CN"/>
        </w:rPr>
        <w:t>R1-170</w:t>
      </w:r>
      <w:r w:rsidR="001577E3">
        <w:rPr>
          <w:rFonts w:eastAsia="SimSun"/>
          <w:noProof/>
          <w:lang w:eastAsia="zh-CN"/>
        </w:rPr>
        <w:t>2092</w:t>
      </w:r>
      <w:r>
        <w:rPr>
          <w:rFonts w:eastAsia="SimSun"/>
          <w:noProof/>
          <w:lang w:eastAsia="zh-CN"/>
        </w:rPr>
        <w:t xml:space="preserve"> “</w:t>
      </w:r>
      <w:r w:rsidRPr="008D405D">
        <w:rPr>
          <w:rFonts w:eastAsia="SimSun"/>
          <w:noProof/>
          <w:lang w:eastAsia="zh-CN"/>
        </w:rPr>
        <w:t>NR DL control channel structure</w:t>
      </w:r>
      <w:r>
        <w:rPr>
          <w:rFonts w:eastAsia="SimSun"/>
          <w:noProof/>
          <w:lang w:eastAsia="zh-CN"/>
        </w:rPr>
        <w:t>”, CATT, RAN1 #88, Feb 13 – 17, 2017</w:t>
      </w:r>
      <w:bookmarkEnd w:id="4"/>
    </w:p>
    <w:p w:rsidR="00370CD6" w:rsidRDefault="008355A3"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74011271"/>
      <w:r>
        <w:rPr>
          <w:rFonts w:eastAsia="SimSun"/>
          <w:noProof/>
          <w:lang w:eastAsia="zh-CN"/>
        </w:rPr>
        <w:t>R1-170</w:t>
      </w:r>
      <w:r w:rsidR="00773A3A">
        <w:rPr>
          <w:rFonts w:eastAsia="SimSun"/>
          <w:noProof/>
          <w:lang w:eastAsia="zh-CN"/>
        </w:rPr>
        <w:t>0191</w:t>
      </w:r>
      <w:r w:rsidR="00370CD6">
        <w:rPr>
          <w:rFonts w:eastAsia="SimSun"/>
          <w:noProof/>
          <w:lang w:eastAsia="zh-CN"/>
        </w:rPr>
        <w:t>, “</w:t>
      </w:r>
      <w:r w:rsidR="00773A3A" w:rsidRPr="00773A3A">
        <w:rPr>
          <w:rFonts w:eastAsia="SimSun"/>
          <w:bCs/>
          <w:noProof/>
          <w:lang w:eastAsia="zh-CN"/>
        </w:rPr>
        <w:t>Common control signaling for NR</w:t>
      </w:r>
      <w:r w:rsidR="00370CD6">
        <w:rPr>
          <w:rFonts w:eastAsia="SimSun"/>
          <w:noProof/>
          <w:lang w:eastAsia="zh-CN"/>
        </w:rPr>
        <w:t xml:space="preserve">”, </w:t>
      </w:r>
      <w:r>
        <w:rPr>
          <w:rFonts w:eastAsia="SimSun"/>
          <w:noProof/>
          <w:lang w:eastAsia="zh-CN"/>
        </w:rPr>
        <w:t>CATT</w:t>
      </w:r>
      <w:r w:rsidR="00370CD6">
        <w:rPr>
          <w:rFonts w:eastAsia="SimSun"/>
          <w:noProof/>
          <w:lang w:eastAsia="zh-CN"/>
        </w:rPr>
        <w:t>, RAN1 AH_NR1, Jan 16 – 20, 2017</w:t>
      </w:r>
      <w:bookmarkEnd w:id="5"/>
      <w:bookmarkEnd w:id="6"/>
    </w:p>
    <w:p w:rsidR="00480F42" w:rsidRDefault="00480F42"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473730316"/>
      <w:r>
        <w:rPr>
          <w:rFonts w:eastAsia="SimSun"/>
          <w:noProof/>
          <w:lang w:eastAsia="zh-CN"/>
        </w:rPr>
        <w:t>RAN1 Chairman’s meeting notes, RAN1 AH_NR1, Jan 16 – 20, 2017</w:t>
      </w:r>
      <w:bookmarkEnd w:id="7"/>
    </w:p>
    <w:sectPr w:rsidR="00480F42"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344" w:rsidRDefault="00782344" w:rsidP="00E9523A">
      <w:pPr>
        <w:ind w:left="-2"/>
      </w:pPr>
      <w:r>
        <w:separator/>
      </w:r>
    </w:p>
  </w:endnote>
  <w:endnote w:type="continuationSeparator" w:id="1">
    <w:p w:rsidR="00782344" w:rsidRDefault="0078234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344" w:rsidRDefault="00782344" w:rsidP="00E9523A">
      <w:pPr>
        <w:ind w:left="-2"/>
      </w:pPr>
      <w:r>
        <w:separator/>
      </w:r>
    </w:p>
  </w:footnote>
  <w:footnote w:type="continuationSeparator" w:id="1">
    <w:p w:rsidR="00782344" w:rsidRDefault="0078234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B8" w:rsidRPr="001A329E" w:rsidRDefault="003A13B8"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5507A1"/>
    <w:multiLevelType w:val="hybridMultilevel"/>
    <w:tmpl w:val="C4E2A89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nsid w:val="09EB28AD"/>
    <w:multiLevelType w:val="hybridMultilevel"/>
    <w:tmpl w:val="70D636A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147D3A42"/>
    <w:multiLevelType w:val="hybridMultilevel"/>
    <w:tmpl w:val="4C3874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6">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8">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26E6714E"/>
    <w:multiLevelType w:val="hybridMultilevel"/>
    <w:tmpl w:val="1A1E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3">
    <w:nsid w:val="31391D16"/>
    <w:multiLevelType w:val="hybridMultilevel"/>
    <w:tmpl w:val="F2067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8A1CCE"/>
    <w:multiLevelType w:val="hybridMultilevel"/>
    <w:tmpl w:val="401A795E"/>
    <w:lvl w:ilvl="0" w:tplc="04090001">
      <w:start w:val="1"/>
      <w:numFmt w:val="bullet"/>
      <w:lvlText w:val=""/>
      <w:lvlJc w:val="left"/>
      <w:pPr>
        <w:ind w:left="755" w:hanging="360"/>
      </w:pPr>
      <w:rPr>
        <w:rFonts w:ascii="Symbol" w:hAnsi="Symbol" w:hint="default"/>
      </w:rPr>
    </w:lvl>
    <w:lvl w:ilvl="1" w:tplc="0409000F">
      <w:start w:val="1"/>
      <w:numFmt w:val="decimal"/>
      <w:lvlText w:val="%2."/>
      <w:lvlJc w:val="left"/>
      <w:pPr>
        <w:ind w:left="1475" w:hanging="360"/>
      </w:pPr>
      <w:rPr>
        <w:rFonts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7">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9">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1">
    <w:nsid w:val="46E86C1D"/>
    <w:multiLevelType w:val="hybridMultilevel"/>
    <w:tmpl w:val="00086D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2956C2"/>
    <w:multiLevelType w:val="hybridMultilevel"/>
    <w:tmpl w:val="68748B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4">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7">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06CC9"/>
    <w:multiLevelType w:val="hybridMultilevel"/>
    <w:tmpl w:val="69485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5"/>
  </w:num>
  <w:num w:numId="3">
    <w:abstractNumId w:val="14"/>
  </w:num>
  <w:num w:numId="4">
    <w:abstractNumId w:val="28"/>
  </w:num>
  <w:num w:numId="5">
    <w:abstractNumId w:val="19"/>
  </w:num>
  <w:num w:numId="6">
    <w:abstractNumId w:val="3"/>
  </w:num>
  <w:num w:numId="7">
    <w:abstractNumId w:val="24"/>
  </w:num>
  <w:num w:numId="8">
    <w:abstractNumId w:val="12"/>
  </w:num>
  <w:num w:numId="9">
    <w:abstractNumId w:val="18"/>
  </w:num>
  <w:num w:numId="10">
    <w:abstractNumId w:val="20"/>
  </w:num>
  <w:num w:numId="11">
    <w:abstractNumId w:val="7"/>
  </w:num>
  <w:num w:numId="12">
    <w:abstractNumId w:val="31"/>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0"/>
  </w:num>
  <w:num w:numId="17">
    <w:abstractNumId w:val="8"/>
  </w:num>
  <w:num w:numId="18">
    <w:abstractNumId w:val="27"/>
  </w:num>
  <w:num w:numId="19">
    <w:abstractNumId w:val="5"/>
  </w:num>
  <w:num w:numId="20">
    <w:abstractNumId w:val="22"/>
  </w:num>
  <w:num w:numId="21">
    <w:abstractNumId w:val="21"/>
  </w:num>
  <w:num w:numId="22">
    <w:abstractNumId w:val="13"/>
  </w:num>
  <w:num w:numId="23">
    <w:abstractNumId w:val="29"/>
  </w:num>
  <w:num w:numId="24">
    <w:abstractNumId w:val="1"/>
  </w:num>
  <w:num w:numId="25">
    <w:abstractNumId w:val="6"/>
  </w:num>
  <w:num w:numId="26">
    <w:abstractNumId w:val="10"/>
  </w:num>
  <w:num w:numId="27">
    <w:abstractNumId w:val="23"/>
  </w:num>
  <w:num w:numId="28">
    <w:abstractNumId w:val="16"/>
  </w:num>
  <w:num w:numId="29">
    <w:abstractNumId w:val="9"/>
  </w:num>
  <w:num w:numId="30">
    <w:abstractNumId w:val="11"/>
  </w:num>
  <w:num w:numId="31">
    <w:abstractNumId w:val="15"/>
  </w:num>
  <w:num w:numId="32">
    <w:abstractNumId w:val="4"/>
  </w:num>
  <w:num w:numId="33">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76482"/>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62B"/>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23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23AC"/>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71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577E3"/>
    <w:rsid w:val="00160877"/>
    <w:rsid w:val="0016090A"/>
    <w:rsid w:val="00161560"/>
    <w:rsid w:val="00162E6B"/>
    <w:rsid w:val="00163B0E"/>
    <w:rsid w:val="00164873"/>
    <w:rsid w:val="001651CB"/>
    <w:rsid w:val="001652D3"/>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081"/>
    <w:rsid w:val="001811A3"/>
    <w:rsid w:val="001812C4"/>
    <w:rsid w:val="001813B7"/>
    <w:rsid w:val="001815C6"/>
    <w:rsid w:val="001833D2"/>
    <w:rsid w:val="001855B7"/>
    <w:rsid w:val="00186832"/>
    <w:rsid w:val="00187302"/>
    <w:rsid w:val="00187CF9"/>
    <w:rsid w:val="00187E19"/>
    <w:rsid w:val="00190886"/>
    <w:rsid w:val="00190DC4"/>
    <w:rsid w:val="00192307"/>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027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BF4"/>
    <w:rsid w:val="001E0EFF"/>
    <w:rsid w:val="001E1361"/>
    <w:rsid w:val="001E13C0"/>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A9F"/>
    <w:rsid w:val="001F5E13"/>
    <w:rsid w:val="001F65EF"/>
    <w:rsid w:val="001F6672"/>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A7D61"/>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279C"/>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620"/>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67D42"/>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3B8"/>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3FF"/>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A14"/>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444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6D36"/>
    <w:rsid w:val="00447781"/>
    <w:rsid w:val="004504DE"/>
    <w:rsid w:val="00450658"/>
    <w:rsid w:val="00450F34"/>
    <w:rsid w:val="00451296"/>
    <w:rsid w:val="00451715"/>
    <w:rsid w:val="00452083"/>
    <w:rsid w:val="00452BE0"/>
    <w:rsid w:val="00452C18"/>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2C9"/>
    <w:rsid w:val="00475AB6"/>
    <w:rsid w:val="004763D5"/>
    <w:rsid w:val="004776B9"/>
    <w:rsid w:val="00477829"/>
    <w:rsid w:val="00477BD8"/>
    <w:rsid w:val="0048039B"/>
    <w:rsid w:val="00480F42"/>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2C00"/>
    <w:rsid w:val="00493908"/>
    <w:rsid w:val="00493C61"/>
    <w:rsid w:val="00493CE6"/>
    <w:rsid w:val="00494F26"/>
    <w:rsid w:val="0049548B"/>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0B64"/>
    <w:rsid w:val="004E16A7"/>
    <w:rsid w:val="004E26D8"/>
    <w:rsid w:val="004E46C0"/>
    <w:rsid w:val="004E480A"/>
    <w:rsid w:val="004E54FB"/>
    <w:rsid w:val="004E56FE"/>
    <w:rsid w:val="004E59D3"/>
    <w:rsid w:val="004E6491"/>
    <w:rsid w:val="004E7A9F"/>
    <w:rsid w:val="004F194B"/>
    <w:rsid w:val="004F1B30"/>
    <w:rsid w:val="004F3423"/>
    <w:rsid w:val="004F3E24"/>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150B"/>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6D7A"/>
    <w:rsid w:val="00527DE3"/>
    <w:rsid w:val="0053009C"/>
    <w:rsid w:val="00530B69"/>
    <w:rsid w:val="005317E9"/>
    <w:rsid w:val="00531F65"/>
    <w:rsid w:val="00532577"/>
    <w:rsid w:val="005327CA"/>
    <w:rsid w:val="0053291E"/>
    <w:rsid w:val="00533320"/>
    <w:rsid w:val="00534007"/>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178"/>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8F7"/>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E7E22"/>
    <w:rsid w:val="005F05FD"/>
    <w:rsid w:val="005F0BCA"/>
    <w:rsid w:val="005F3A15"/>
    <w:rsid w:val="005F481D"/>
    <w:rsid w:val="005F5017"/>
    <w:rsid w:val="005F52A2"/>
    <w:rsid w:val="005F5647"/>
    <w:rsid w:val="005F639C"/>
    <w:rsid w:val="005F7226"/>
    <w:rsid w:val="005F7A16"/>
    <w:rsid w:val="0060023D"/>
    <w:rsid w:val="00600659"/>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4E0"/>
    <w:rsid w:val="00616AC5"/>
    <w:rsid w:val="00616BC5"/>
    <w:rsid w:val="006172BB"/>
    <w:rsid w:val="00620D3F"/>
    <w:rsid w:val="00620F26"/>
    <w:rsid w:val="00623451"/>
    <w:rsid w:val="006236BB"/>
    <w:rsid w:val="00624D60"/>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3C97"/>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65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87C5B"/>
    <w:rsid w:val="006901BE"/>
    <w:rsid w:val="0069120C"/>
    <w:rsid w:val="00691AA1"/>
    <w:rsid w:val="00691C80"/>
    <w:rsid w:val="0069212E"/>
    <w:rsid w:val="006921D6"/>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D79EB"/>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4BED"/>
    <w:rsid w:val="00736205"/>
    <w:rsid w:val="007372F2"/>
    <w:rsid w:val="0073782C"/>
    <w:rsid w:val="00737E2A"/>
    <w:rsid w:val="00737FDA"/>
    <w:rsid w:val="00740AF2"/>
    <w:rsid w:val="00740C60"/>
    <w:rsid w:val="00741285"/>
    <w:rsid w:val="007420B2"/>
    <w:rsid w:val="0074323D"/>
    <w:rsid w:val="007432F0"/>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36C1"/>
    <w:rsid w:val="00773A3A"/>
    <w:rsid w:val="00774450"/>
    <w:rsid w:val="0077614F"/>
    <w:rsid w:val="00776AFA"/>
    <w:rsid w:val="00780130"/>
    <w:rsid w:val="00780EB0"/>
    <w:rsid w:val="00781CD7"/>
    <w:rsid w:val="00782344"/>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2CAA"/>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582"/>
    <w:rsid w:val="007B5802"/>
    <w:rsid w:val="007B5C90"/>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5BBC"/>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BB0"/>
    <w:rsid w:val="00813C6B"/>
    <w:rsid w:val="008143E9"/>
    <w:rsid w:val="0081548E"/>
    <w:rsid w:val="008156FA"/>
    <w:rsid w:val="00816C6D"/>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55A3"/>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EC6"/>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8A9"/>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05D"/>
    <w:rsid w:val="008D49FF"/>
    <w:rsid w:val="008D608D"/>
    <w:rsid w:val="008D63B6"/>
    <w:rsid w:val="008D641A"/>
    <w:rsid w:val="008D6470"/>
    <w:rsid w:val="008D6628"/>
    <w:rsid w:val="008D7504"/>
    <w:rsid w:val="008E014D"/>
    <w:rsid w:val="008E1878"/>
    <w:rsid w:val="008E1EF1"/>
    <w:rsid w:val="008E26A6"/>
    <w:rsid w:val="008E36C3"/>
    <w:rsid w:val="008E38F9"/>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A82"/>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7DC"/>
    <w:rsid w:val="00914E1E"/>
    <w:rsid w:val="0091571D"/>
    <w:rsid w:val="00916093"/>
    <w:rsid w:val="009163DE"/>
    <w:rsid w:val="00916A39"/>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5E7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0E8"/>
    <w:rsid w:val="00983631"/>
    <w:rsid w:val="00983850"/>
    <w:rsid w:val="009838B2"/>
    <w:rsid w:val="009839DE"/>
    <w:rsid w:val="00983AAF"/>
    <w:rsid w:val="00984BAC"/>
    <w:rsid w:val="00985A70"/>
    <w:rsid w:val="009869F5"/>
    <w:rsid w:val="00987636"/>
    <w:rsid w:val="009910D9"/>
    <w:rsid w:val="00991C43"/>
    <w:rsid w:val="00991C97"/>
    <w:rsid w:val="00992800"/>
    <w:rsid w:val="00992F64"/>
    <w:rsid w:val="00993971"/>
    <w:rsid w:val="009939C6"/>
    <w:rsid w:val="00994DA0"/>
    <w:rsid w:val="00994E80"/>
    <w:rsid w:val="009971CC"/>
    <w:rsid w:val="009976E3"/>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53C"/>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357E"/>
    <w:rsid w:val="00A64242"/>
    <w:rsid w:val="00A644F8"/>
    <w:rsid w:val="00A663D4"/>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911"/>
    <w:rsid w:val="00A86E10"/>
    <w:rsid w:val="00A8781A"/>
    <w:rsid w:val="00A91295"/>
    <w:rsid w:val="00A91D33"/>
    <w:rsid w:val="00A93B5D"/>
    <w:rsid w:val="00A93F07"/>
    <w:rsid w:val="00A94737"/>
    <w:rsid w:val="00A94D2C"/>
    <w:rsid w:val="00A9592B"/>
    <w:rsid w:val="00A95C26"/>
    <w:rsid w:val="00A96259"/>
    <w:rsid w:val="00A96A40"/>
    <w:rsid w:val="00A972AD"/>
    <w:rsid w:val="00A9752B"/>
    <w:rsid w:val="00A97CA4"/>
    <w:rsid w:val="00AA0B49"/>
    <w:rsid w:val="00AA138F"/>
    <w:rsid w:val="00AA243E"/>
    <w:rsid w:val="00AA2981"/>
    <w:rsid w:val="00AA37B4"/>
    <w:rsid w:val="00AA4E0E"/>
    <w:rsid w:val="00AA4E5A"/>
    <w:rsid w:val="00AA6C1B"/>
    <w:rsid w:val="00AB0624"/>
    <w:rsid w:val="00AB27AF"/>
    <w:rsid w:val="00AB2C35"/>
    <w:rsid w:val="00AB38D1"/>
    <w:rsid w:val="00AB4411"/>
    <w:rsid w:val="00AB4837"/>
    <w:rsid w:val="00AB4BB7"/>
    <w:rsid w:val="00AB4DB8"/>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574E"/>
    <w:rsid w:val="00AD6642"/>
    <w:rsid w:val="00AD6C5D"/>
    <w:rsid w:val="00AD6D60"/>
    <w:rsid w:val="00AD6F0B"/>
    <w:rsid w:val="00AD76D8"/>
    <w:rsid w:val="00AD7E03"/>
    <w:rsid w:val="00AE23C6"/>
    <w:rsid w:val="00AE3917"/>
    <w:rsid w:val="00AE4A96"/>
    <w:rsid w:val="00AE4B9C"/>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428"/>
    <w:rsid w:val="00B14A49"/>
    <w:rsid w:val="00B15B53"/>
    <w:rsid w:val="00B15E47"/>
    <w:rsid w:val="00B168C2"/>
    <w:rsid w:val="00B17029"/>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4B39"/>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59F"/>
    <w:rsid w:val="00B867BA"/>
    <w:rsid w:val="00B86B70"/>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3FED"/>
    <w:rsid w:val="00BC4273"/>
    <w:rsid w:val="00BC45AF"/>
    <w:rsid w:val="00BC69F5"/>
    <w:rsid w:val="00BC6FD1"/>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5205"/>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42D"/>
    <w:rsid w:val="00C64DB4"/>
    <w:rsid w:val="00C65754"/>
    <w:rsid w:val="00C67309"/>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4BA8"/>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3842"/>
    <w:rsid w:val="00CD42CB"/>
    <w:rsid w:val="00CD4CB9"/>
    <w:rsid w:val="00CD4D59"/>
    <w:rsid w:val="00CD5738"/>
    <w:rsid w:val="00CD5A53"/>
    <w:rsid w:val="00CD6124"/>
    <w:rsid w:val="00CD66EC"/>
    <w:rsid w:val="00CD74DC"/>
    <w:rsid w:val="00CD7A2C"/>
    <w:rsid w:val="00CE111D"/>
    <w:rsid w:val="00CE1C99"/>
    <w:rsid w:val="00CE1EBE"/>
    <w:rsid w:val="00CE2056"/>
    <w:rsid w:val="00CE27FF"/>
    <w:rsid w:val="00CE31BA"/>
    <w:rsid w:val="00CE3A4A"/>
    <w:rsid w:val="00CE412B"/>
    <w:rsid w:val="00CE45EA"/>
    <w:rsid w:val="00CE4948"/>
    <w:rsid w:val="00CE51A1"/>
    <w:rsid w:val="00CE656D"/>
    <w:rsid w:val="00CE7C59"/>
    <w:rsid w:val="00CF004B"/>
    <w:rsid w:val="00CF0A2F"/>
    <w:rsid w:val="00CF117D"/>
    <w:rsid w:val="00CF13F3"/>
    <w:rsid w:val="00CF1B3D"/>
    <w:rsid w:val="00CF2B8F"/>
    <w:rsid w:val="00CF3ADD"/>
    <w:rsid w:val="00CF3C97"/>
    <w:rsid w:val="00CF3E08"/>
    <w:rsid w:val="00CF3E2D"/>
    <w:rsid w:val="00CF4F81"/>
    <w:rsid w:val="00CF5623"/>
    <w:rsid w:val="00CF5CFB"/>
    <w:rsid w:val="00CF6856"/>
    <w:rsid w:val="00CF6DC4"/>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2E1"/>
    <w:rsid w:val="00D35B2F"/>
    <w:rsid w:val="00D36E52"/>
    <w:rsid w:val="00D37A1C"/>
    <w:rsid w:val="00D413A7"/>
    <w:rsid w:val="00D4264C"/>
    <w:rsid w:val="00D43FAC"/>
    <w:rsid w:val="00D449B5"/>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0DAD"/>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2DEF"/>
    <w:rsid w:val="00DA3133"/>
    <w:rsid w:val="00DA3C62"/>
    <w:rsid w:val="00DA3DB6"/>
    <w:rsid w:val="00DA4EA9"/>
    <w:rsid w:val="00DA60A3"/>
    <w:rsid w:val="00DA66FB"/>
    <w:rsid w:val="00DA6729"/>
    <w:rsid w:val="00DB00F6"/>
    <w:rsid w:val="00DB103E"/>
    <w:rsid w:val="00DB15BA"/>
    <w:rsid w:val="00DB1D9A"/>
    <w:rsid w:val="00DB4BCB"/>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2AE0"/>
    <w:rsid w:val="00DF3F9A"/>
    <w:rsid w:val="00DF4A75"/>
    <w:rsid w:val="00DF4AFE"/>
    <w:rsid w:val="00DF4F6B"/>
    <w:rsid w:val="00DF5C8D"/>
    <w:rsid w:val="00DF6209"/>
    <w:rsid w:val="00DF631D"/>
    <w:rsid w:val="00DF6E5D"/>
    <w:rsid w:val="00DF787D"/>
    <w:rsid w:val="00DF79AE"/>
    <w:rsid w:val="00DF7C39"/>
    <w:rsid w:val="00E00116"/>
    <w:rsid w:val="00E00741"/>
    <w:rsid w:val="00E016F1"/>
    <w:rsid w:val="00E01CED"/>
    <w:rsid w:val="00E025A0"/>
    <w:rsid w:val="00E02961"/>
    <w:rsid w:val="00E03306"/>
    <w:rsid w:val="00E0490D"/>
    <w:rsid w:val="00E04A46"/>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17FB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37111"/>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67D80"/>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096"/>
    <w:rsid w:val="00EC61F5"/>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2885"/>
    <w:rsid w:val="00F643F8"/>
    <w:rsid w:val="00F6496A"/>
    <w:rsid w:val="00F64D90"/>
    <w:rsid w:val="00F64F6E"/>
    <w:rsid w:val="00F70205"/>
    <w:rsid w:val="00F7065F"/>
    <w:rsid w:val="00F70833"/>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AB5"/>
    <w:rsid w:val="00FB3C25"/>
    <w:rsid w:val="00FB589E"/>
    <w:rsid w:val="00FB5DE3"/>
    <w:rsid w:val="00FB680E"/>
    <w:rsid w:val="00FB68DF"/>
    <w:rsid w:val="00FB6A3C"/>
    <w:rsid w:val="00FB7BFE"/>
    <w:rsid w:val="00FB7E0F"/>
    <w:rsid w:val="00FC0A71"/>
    <w:rsid w:val="00FC1EEC"/>
    <w:rsid w:val="00FC3288"/>
    <w:rsid w:val="00FC3389"/>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02B"/>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8E1878"/>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6C4F1-6867-40BA-A8B9-EA26AF9A4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2116</Words>
  <Characters>12066</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14</cp:revision>
  <dcterms:created xsi:type="dcterms:W3CDTF">2017-02-05T06:56:00Z</dcterms:created>
  <dcterms:modified xsi:type="dcterms:W3CDTF">2017-02-07T01:10:00Z</dcterms:modified>
</cp:coreProperties>
</file>