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A0CC4" w14:textId="7C620A51" w:rsidR="00407725" w:rsidRPr="00446F9D" w:rsidRDefault="00407725" w:rsidP="00407725">
      <w:pPr>
        <w:pStyle w:val="Header"/>
        <w:tabs>
          <w:tab w:val="clear" w:pos="4536"/>
        </w:tabs>
        <w:rPr>
          <w:i/>
        </w:rPr>
      </w:pPr>
      <w:r w:rsidRPr="005C575B">
        <w:t>3GPP TSG RAN WG1</w:t>
      </w:r>
      <w:r w:rsidRPr="00446F9D">
        <w:tab/>
      </w:r>
      <w:r w:rsidR="00A11899" w:rsidRPr="00A11899">
        <w:t>R1-1701874</w:t>
      </w:r>
    </w:p>
    <w:p w14:paraId="288C0066" w14:textId="55C9D196" w:rsidR="00F618ED" w:rsidRDefault="00EC732A" w:rsidP="00407725">
      <w:pPr>
        <w:pStyle w:val="Header"/>
      </w:pPr>
      <w:r>
        <w:t>Athens</w:t>
      </w:r>
      <w:r w:rsidR="00407725" w:rsidRPr="00630F42">
        <w:t xml:space="preserve">, </w:t>
      </w:r>
      <w:r>
        <w:t>Greece</w:t>
      </w:r>
      <w:r w:rsidR="00407725" w:rsidRPr="000833FA">
        <w:t>,</w:t>
      </w:r>
      <w:r w:rsidR="00407725">
        <w:t xml:space="preserve"> </w:t>
      </w:r>
      <w:r w:rsidRPr="00EC732A">
        <w:t>13th- 17th February 2017</w:t>
      </w:r>
    </w:p>
    <w:p w14:paraId="2FC65921" w14:textId="77777777" w:rsidR="00407725" w:rsidRPr="000833FA" w:rsidRDefault="00407725" w:rsidP="00407725">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419EEBB3" w:rsidR="00F618ED" w:rsidRPr="00E220C0" w:rsidRDefault="00F618ED" w:rsidP="00F618ED">
      <w:pPr>
        <w:pStyle w:val="Header"/>
        <w:tabs>
          <w:tab w:val="clear" w:pos="4536"/>
          <w:tab w:val="left" w:pos="1800"/>
        </w:tabs>
      </w:pPr>
      <w:r w:rsidRPr="0003368D">
        <w:t>Title:</w:t>
      </w:r>
      <w:bookmarkStart w:id="0" w:name="Title"/>
      <w:bookmarkEnd w:id="0"/>
      <w:r w:rsidRPr="0003368D">
        <w:tab/>
      </w:r>
      <w:r w:rsidR="00A11899" w:rsidRPr="00A11899">
        <w:t>On HARQ and its enhancements</w:t>
      </w:r>
    </w:p>
    <w:p w14:paraId="0DB675C4" w14:textId="26B9D8DC" w:rsidR="00F618ED" w:rsidRPr="00E220C0" w:rsidRDefault="00F618ED" w:rsidP="00F618ED">
      <w:pPr>
        <w:pStyle w:val="Header"/>
        <w:tabs>
          <w:tab w:val="left" w:pos="1800"/>
        </w:tabs>
      </w:pPr>
      <w:r w:rsidRPr="00E220C0">
        <w:t>Agenda Item:</w:t>
      </w:r>
      <w:bookmarkStart w:id="1" w:name="Source"/>
      <w:bookmarkEnd w:id="1"/>
      <w:r w:rsidRPr="00E220C0">
        <w:tab/>
      </w:r>
      <w:r w:rsidR="00A11899" w:rsidRPr="00A11899">
        <w:t>8.1.3.3.1</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6C4198EF" w14:textId="4779AEA3" w:rsidR="00EC732A" w:rsidRDefault="00EC732A" w:rsidP="00EC732A">
      <w:pPr>
        <w:pStyle w:val="BodyText"/>
      </w:pPr>
      <w:r>
        <w:t xml:space="preserve">At the last RAN1 meeting the following was agreed: </w:t>
      </w:r>
    </w:p>
    <w:p w14:paraId="4A10CF18" w14:textId="77777777" w:rsidR="00A11899" w:rsidRPr="00FE461B" w:rsidRDefault="00A11899" w:rsidP="00A11899">
      <w:pPr>
        <w:rPr>
          <w:rFonts w:eastAsia="MS Mincho"/>
          <w:b/>
          <w:u w:val="single"/>
          <w:lang w:eastAsia="ja-JP"/>
        </w:rPr>
      </w:pPr>
      <w:r w:rsidRPr="00D905DD">
        <w:rPr>
          <w:rFonts w:eastAsia="MS Mincho" w:hint="eastAsia"/>
          <w:b/>
          <w:highlight w:val="green"/>
          <w:u w:val="single"/>
          <w:lang w:eastAsia="ja-JP"/>
        </w:rPr>
        <w:t>Agreements:</w:t>
      </w:r>
    </w:p>
    <w:p w14:paraId="01E59993" w14:textId="77777777" w:rsidR="00A11899" w:rsidRPr="00FE461B" w:rsidRDefault="00A11899" w:rsidP="00A11899">
      <w:pPr>
        <w:numPr>
          <w:ilvl w:val="0"/>
          <w:numId w:val="34"/>
        </w:numPr>
        <w:rPr>
          <w:rFonts w:eastAsia="MS Mincho"/>
          <w:lang w:eastAsia="ja-JP"/>
        </w:rPr>
      </w:pPr>
      <w:r w:rsidRPr="00FE461B">
        <w:rPr>
          <w:rFonts w:eastAsia="MS Mincho"/>
          <w:lang w:eastAsia="ja-JP"/>
        </w:rPr>
        <w:t>HARQ-ACK feedback with one bit per TB is supported.</w:t>
      </w:r>
    </w:p>
    <w:p w14:paraId="60414550" w14:textId="77777777" w:rsidR="00A11899" w:rsidRPr="00B542DD" w:rsidRDefault="00A11899" w:rsidP="00A11899">
      <w:pPr>
        <w:rPr>
          <w:rFonts w:eastAsia="MS Mincho"/>
          <w:b/>
          <w:u w:val="single"/>
          <w:lang w:eastAsia="ja-JP"/>
        </w:rPr>
      </w:pPr>
      <w:r w:rsidRPr="00B542DD">
        <w:rPr>
          <w:rFonts w:eastAsia="MS Mincho" w:hint="eastAsia"/>
          <w:b/>
          <w:highlight w:val="green"/>
          <w:u w:val="single"/>
          <w:lang w:eastAsia="ja-JP"/>
        </w:rPr>
        <w:t>Agreements:</w:t>
      </w:r>
    </w:p>
    <w:p w14:paraId="430CEEA6" w14:textId="77777777" w:rsidR="00A11899" w:rsidRPr="00B542DD" w:rsidRDefault="00A11899" w:rsidP="00A11899">
      <w:pPr>
        <w:numPr>
          <w:ilvl w:val="0"/>
          <w:numId w:val="34"/>
        </w:numPr>
        <w:rPr>
          <w:rFonts w:eastAsia="MS Mincho"/>
          <w:lang w:eastAsia="ja-JP"/>
        </w:rPr>
      </w:pPr>
      <w:r w:rsidRPr="00B542DD">
        <w:rPr>
          <w:rFonts w:eastAsia="MS Mincho" w:hint="eastAsia"/>
          <w:lang w:eastAsia="ja-JP"/>
        </w:rPr>
        <w:t xml:space="preserve">RAN1 will down select following options to utilize </w:t>
      </w:r>
      <w:r w:rsidRPr="00B542DD">
        <w:rPr>
          <w:rFonts w:eastAsia="MS Mincho"/>
          <w:lang w:eastAsia="ja-JP"/>
        </w:rPr>
        <w:t>HARQ-ACK feedback with more than one bit per TB</w:t>
      </w:r>
      <w:r w:rsidRPr="00B542DD">
        <w:rPr>
          <w:rFonts w:eastAsia="MS Mincho" w:hint="eastAsia"/>
          <w:lang w:eastAsia="ja-JP"/>
        </w:rPr>
        <w:t xml:space="preserve"> until the next meeting</w:t>
      </w:r>
    </w:p>
    <w:p w14:paraId="622C25F4" w14:textId="77777777" w:rsidR="00A11899" w:rsidRPr="00B542DD" w:rsidRDefault="00A11899" w:rsidP="00A11899">
      <w:pPr>
        <w:numPr>
          <w:ilvl w:val="1"/>
          <w:numId w:val="34"/>
        </w:numPr>
        <w:rPr>
          <w:rFonts w:eastAsia="MS Mincho"/>
          <w:lang w:eastAsia="ja-JP"/>
        </w:rPr>
      </w:pPr>
      <w:r w:rsidRPr="00B542DD">
        <w:rPr>
          <w:rFonts w:eastAsia="MS Mincho" w:hint="eastAsia"/>
          <w:lang w:eastAsia="ja-JP"/>
        </w:rPr>
        <w:t xml:space="preserve">Option 1: CB-group based re-transmission (Samsung) </w:t>
      </w:r>
    </w:p>
    <w:p w14:paraId="52B8DEB3" w14:textId="77777777" w:rsidR="00A11899" w:rsidRPr="00B542DD" w:rsidRDefault="00A11899" w:rsidP="00A11899">
      <w:pPr>
        <w:numPr>
          <w:ilvl w:val="1"/>
          <w:numId w:val="34"/>
        </w:numPr>
        <w:rPr>
          <w:rFonts w:eastAsia="MS Mincho"/>
          <w:lang w:eastAsia="ja-JP"/>
        </w:rPr>
      </w:pPr>
      <w:r w:rsidRPr="00B542DD">
        <w:rPr>
          <w:rFonts w:eastAsia="MS Mincho" w:hint="eastAsia"/>
          <w:lang w:eastAsia="ja-JP"/>
        </w:rPr>
        <w:t>Option 2: Decoder state information feedback (Nokia)</w:t>
      </w:r>
    </w:p>
    <w:p w14:paraId="194469CC" w14:textId="77777777" w:rsidR="00A11899" w:rsidRPr="00B542DD" w:rsidRDefault="00A11899" w:rsidP="00A11899">
      <w:pPr>
        <w:numPr>
          <w:ilvl w:val="1"/>
          <w:numId w:val="34"/>
        </w:numPr>
        <w:rPr>
          <w:rFonts w:eastAsia="MS Mincho"/>
          <w:lang w:eastAsia="ja-JP"/>
        </w:rPr>
      </w:pPr>
      <w:r w:rsidRPr="00B542DD">
        <w:rPr>
          <w:rFonts w:eastAsia="MS Mincho" w:hint="eastAsia"/>
          <w:lang w:eastAsia="ja-JP"/>
        </w:rPr>
        <w:t>Option 3: CB-level outer erasure code (Qualcomm)</w:t>
      </w:r>
    </w:p>
    <w:p w14:paraId="709B78BE" w14:textId="77777777" w:rsidR="00A11899" w:rsidRPr="00B542DD" w:rsidRDefault="00A11899" w:rsidP="00A11899">
      <w:pPr>
        <w:numPr>
          <w:ilvl w:val="1"/>
          <w:numId w:val="34"/>
        </w:numPr>
        <w:rPr>
          <w:rFonts w:eastAsia="MS Mincho"/>
          <w:lang w:eastAsia="ja-JP"/>
        </w:rPr>
      </w:pPr>
      <w:r w:rsidRPr="00B542DD">
        <w:rPr>
          <w:rFonts w:eastAsia="MS Mincho" w:hint="eastAsia"/>
          <w:lang w:eastAsia="ja-JP"/>
        </w:rPr>
        <w:t>Option 4: Any combination of Option 1-3</w:t>
      </w:r>
    </w:p>
    <w:p w14:paraId="177415B9" w14:textId="77777777" w:rsidR="00A11899" w:rsidRPr="00B542DD" w:rsidRDefault="00A11899" w:rsidP="00A11899">
      <w:pPr>
        <w:numPr>
          <w:ilvl w:val="1"/>
          <w:numId w:val="34"/>
        </w:numPr>
        <w:rPr>
          <w:rFonts w:eastAsia="MS Mincho"/>
          <w:lang w:eastAsia="ja-JP"/>
        </w:rPr>
      </w:pPr>
      <w:r w:rsidRPr="00B542DD">
        <w:rPr>
          <w:rFonts w:eastAsia="MS Mincho" w:hint="eastAsia"/>
          <w:lang w:eastAsia="ja-JP"/>
        </w:rPr>
        <w:t>Other options are not precluded</w:t>
      </w:r>
    </w:p>
    <w:p w14:paraId="5B72280E" w14:textId="77777777" w:rsidR="00A11899" w:rsidRPr="00B542DD" w:rsidRDefault="00A11899" w:rsidP="00A11899">
      <w:pPr>
        <w:numPr>
          <w:ilvl w:val="0"/>
          <w:numId w:val="34"/>
        </w:numPr>
        <w:rPr>
          <w:rFonts w:eastAsia="MS Mincho"/>
          <w:lang w:eastAsia="ja-JP"/>
        </w:rPr>
      </w:pPr>
      <w:r w:rsidRPr="00B542DD">
        <w:rPr>
          <w:rFonts w:eastAsia="MS Mincho" w:hint="eastAsia"/>
          <w:lang w:eastAsia="ja-JP"/>
        </w:rPr>
        <w:t xml:space="preserve">Note that if RAN1 will not reach consensus in the next meeting, no support of utilization </w:t>
      </w:r>
      <w:r w:rsidRPr="00B542DD">
        <w:rPr>
          <w:rFonts w:eastAsia="MS Mincho"/>
          <w:lang w:eastAsia="ja-JP"/>
        </w:rPr>
        <w:t>HARQ-ACK feedback with more than one bit per TB</w:t>
      </w:r>
      <w:r w:rsidRPr="00B542DD">
        <w:rPr>
          <w:rFonts w:eastAsia="MS Mincho" w:hint="eastAsia"/>
          <w:lang w:eastAsia="ja-JP"/>
        </w:rPr>
        <w:t xml:space="preserve"> in Rel-15</w:t>
      </w:r>
    </w:p>
    <w:p w14:paraId="2BC60DCE" w14:textId="6D347698" w:rsidR="004E08BF" w:rsidRDefault="004E08BF" w:rsidP="0022072F">
      <w:pPr>
        <w:pStyle w:val="BodyText"/>
      </w:pPr>
    </w:p>
    <w:p w14:paraId="00648533" w14:textId="799103A2" w:rsidR="00CC3994" w:rsidRPr="0022072F" w:rsidRDefault="00CC3994" w:rsidP="0022072F">
      <w:pPr>
        <w:pStyle w:val="BodyText"/>
      </w:pPr>
      <w:r>
        <w:t xml:space="preserve">In this contribution </w:t>
      </w:r>
      <w:r w:rsidR="00A11899">
        <w:t xml:space="preserve">we discuss the aspect </w:t>
      </w:r>
      <w:r w:rsidR="00A11899" w:rsidRPr="00B542DD">
        <w:rPr>
          <w:rFonts w:hint="eastAsia"/>
          <w:lang w:eastAsia="ja-JP"/>
        </w:rPr>
        <w:t xml:space="preserve">to utilize </w:t>
      </w:r>
      <w:r w:rsidR="00A11899">
        <w:t>multiple HARQ-ACK feedback bits from one TB, given the options listed.</w:t>
      </w:r>
      <w:r w:rsidR="00DE699B">
        <w:t xml:space="preserve"> We further consider an another aspect of HARQ-ACK reporting</w:t>
      </w:r>
    </w:p>
    <w:p w14:paraId="635F5223" w14:textId="2D83E804" w:rsidR="004B1C8B" w:rsidRDefault="00230310" w:rsidP="00230310">
      <w:pPr>
        <w:pStyle w:val="Heading1"/>
        <w:spacing w:before="180"/>
        <w:ind w:left="562" w:hanging="562"/>
      </w:pPr>
      <w:r>
        <w:t>Discussion</w:t>
      </w:r>
    </w:p>
    <w:p w14:paraId="4FE27051" w14:textId="58757D0E" w:rsidR="00DC6A18" w:rsidRDefault="00DE699B" w:rsidP="00DE699B">
      <w:pPr>
        <w:pStyle w:val="Heading2"/>
      </w:pPr>
      <w:r>
        <w:rPr>
          <w:lang w:eastAsia="ja-JP"/>
        </w:rPr>
        <w:t>U</w:t>
      </w:r>
      <w:r w:rsidRPr="00B542DD">
        <w:rPr>
          <w:rFonts w:hint="eastAsia"/>
          <w:lang w:eastAsia="ja-JP"/>
        </w:rPr>
        <w:t xml:space="preserve">tilize </w:t>
      </w:r>
      <w:r>
        <w:t>multiple HARQ-ACK feedback bits from one TB</w:t>
      </w:r>
    </w:p>
    <w:p w14:paraId="3E0ADA3F" w14:textId="6EF126DF" w:rsidR="000947DD" w:rsidRDefault="000947DD" w:rsidP="00A11899">
      <w:pPr>
        <w:pStyle w:val="BodyText"/>
      </w:pPr>
      <w:r>
        <w:t xml:space="preserve">In general, we </w:t>
      </w:r>
      <w:r w:rsidR="00A014B9">
        <w:t xml:space="preserve">do not </w:t>
      </w:r>
      <w:r>
        <w:t>see clear evidence to support any of the three</w:t>
      </w:r>
      <w:r w:rsidR="004A7792">
        <w:t xml:space="preserve"> options on the table. </w:t>
      </w:r>
    </w:p>
    <w:p w14:paraId="5ABDD110" w14:textId="57908B5E" w:rsidR="00DE699B" w:rsidRDefault="004A7792" w:rsidP="00A11899">
      <w:pPr>
        <w:pStyle w:val="BodyText"/>
      </w:pPr>
      <w:r>
        <w:t>The first option correspond</w:t>
      </w:r>
      <w:r w:rsidR="000947DD">
        <w:t>s</w:t>
      </w:r>
      <w:r>
        <w:t xml:space="preserve"> to CB-group based retransmissions</w:t>
      </w:r>
      <w:r w:rsidR="00156E55">
        <w:t xml:space="preserve"> in </w:t>
      </w:r>
      <w:r w:rsidR="00156E55">
        <w:fldChar w:fldCharType="begin"/>
      </w:r>
      <w:r w:rsidR="00156E55">
        <w:instrText xml:space="preserve"> REF _Ref474180563 \r \h </w:instrText>
      </w:r>
      <w:r w:rsidR="00156E55">
        <w:fldChar w:fldCharType="separate"/>
      </w:r>
      <w:r w:rsidR="00156E55">
        <w:t>[2]</w:t>
      </w:r>
      <w:r w:rsidR="00156E55">
        <w:fldChar w:fldCharType="end"/>
      </w:r>
      <w:r>
        <w:t xml:space="preserve">. This aspect </w:t>
      </w:r>
      <w:r w:rsidR="00FE54FB">
        <w:t xml:space="preserve">is discussed from the use case of mini-slots puncturing a slot transmission in </w:t>
      </w:r>
      <w:r w:rsidR="00FE54FB">
        <w:fldChar w:fldCharType="begin"/>
      </w:r>
      <w:r w:rsidR="00FE54FB">
        <w:instrText xml:space="preserve"> REF _Ref474179390 \r \h </w:instrText>
      </w:r>
      <w:r w:rsidR="00FE54FB">
        <w:fldChar w:fldCharType="separate"/>
      </w:r>
      <w:r w:rsidR="00FE54FB">
        <w:t>[1]</w:t>
      </w:r>
      <w:r w:rsidR="00FE54FB">
        <w:fldChar w:fldCharType="end"/>
      </w:r>
      <w:r w:rsidR="00FE54FB">
        <w:t>. The contribution proposes a single bit indicator to indicate to the UE whether or not the whole TB has been punctured. It should further be studied if the UE can autonomously detected the punctured parts of the data. Consequently, for this use case it is currently too early to agree on introduce a more detailed mechanism without performing the corresponding study. The second main case</w:t>
      </w:r>
      <w:r w:rsidR="0036709D">
        <w:t xml:space="preserve"> is to handle b</w:t>
      </w:r>
      <w:r w:rsidR="00FE54FB">
        <w:t>urst interference from a neighboring cell of short mini-slot transmissions</w:t>
      </w:r>
      <w:r w:rsidR="00156E55">
        <w:t xml:space="preserve"> onto slot based transmissions. </w:t>
      </w:r>
      <w:r w:rsidR="0036709D">
        <w:t xml:space="preserve">For the case of </w:t>
      </w:r>
      <w:r w:rsidR="00156E55">
        <w:t>very strong neighbor cell interference</w:t>
      </w:r>
      <w:r w:rsidR="0036709D">
        <w:t>, it looks from a UE perspective rather similar to the first aspect</w:t>
      </w:r>
      <w:r w:rsidR="00156E55">
        <w:t>. The third case would be around the size of the actual transport block. To understand this better we firstly would need to consider the maximum carrier bandwidths and the corresponding numerologies the larger bandwidths can be used in. This would be done within RAN4 and it would be good await feedback before conclu</w:t>
      </w:r>
      <w:r w:rsidR="0036709D">
        <w:t>ding. Lastly for the concept</w:t>
      </w:r>
      <w:r w:rsidR="00156E55">
        <w:t xml:space="preserve"> it would be of interest to understand the MAC level modelling of transport blocks on high-level before agreeing on this specific approach.</w:t>
      </w:r>
    </w:p>
    <w:p w14:paraId="0118C7A6" w14:textId="7996B343" w:rsidR="000947DD" w:rsidRDefault="00156E55" w:rsidP="00C15DF1">
      <w:pPr>
        <w:pStyle w:val="BodyText"/>
      </w:pPr>
      <w:r>
        <w:t xml:space="preserve">The second approach relates to decoder information and is proposed within </w:t>
      </w:r>
      <w:r>
        <w:fldChar w:fldCharType="begin"/>
      </w:r>
      <w:r>
        <w:instrText xml:space="preserve"> REF _Ref474180542 \r \h </w:instrText>
      </w:r>
      <w:r>
        <w:fldChar w:fldCharType="separate"/>
      </w:r>
      <w:r>
        <w:t>[3]</w:t>
      </w:r>
      <w:r>
        <w:fldChar w:fldCharType="end"/>
      </w:r>
      <w:r>
        <w:t xml:space="preserve">. This a new approach within 3GPP to provide this type of </w:t>
      </w:r>
      <w:r w:rsidR="0036709D">
        <w:t>information’s</w:t>
      </w:r>
      <w:r>
        <w:t xml:space="preserve"> and </w:t>
      </w:r>
      <w:r w:rsidR="00E43993">
        <w:t xml:space="preserve">more </w:t>
      </w:r>
      <w:r>
        <w:t xml:space="preserve">specifics </w:t>
      </w:r>
      <w:r w:rsidR="00E43993">
        <w:t xml:space="preserve">of design and what it can achieve are not clearly defined. The document </w:t>
      </w:r>
      <w:r w:rsidR="00E43993">
        <w:fldChar w:fldCharType="begin"/>
      </w:r>
      <w:r w:rsidR="00E43993">
        <w:instrText xml:space="preserve"> REF _Ref474180542 \r \h </w:instrText>
      </w:r>
      <w:r w:rsidR="00E43993">
        <w:fldChar w:fldCharType="separate"/>
      </w:r>
      <w:r w:rsidR="00E43993">
        <w:t>[3]</w:t>
      </w:r>
      <w:r w:rsidR="00E43993">
        <w:fldChar w:fldCharType="end"/>
      </w:r>
      <w:r w:rsidR="00E43993">
        <w:t xml:space="preserve"> cited academic research, which is based on a single code block transmission. Under such simplified setup, the research indicates retransmission resource can be reduced if high quality decoder state information can be provided. There are at least three aspects that should be analyzed further. First, the retransmission resource saving of a single code block was shown in Figure 2 of </w:t>
      </w:r>
      <w:r w:rsidR="00E43993">
        <w:fldChar w:fldCharType="begin"/>
      </w:r>
      <w:r w:rsidR="00E43993">
        <w:instrText xml:space="preserve"> REF _Ref474180542 \r \h </w:instrText>
      </w:r>
      <w:r w:rsidR="00E43993">
        <w:fldChar w:fldCharType="separate"/>
      </w:r>
      <w:r w:rsidR="00E43993">
        <w:t>[3]</w:t>
      </w:r>
      <w:r w:rsidR="00E43993">
        <w:fldChar w:fldCharType="end"/>
      </w:r>
      <w:r w:rsidR="00E43993">
        <w:t xml:space="preserve">. It is stated that in 70% of retransmission cases, the resources can be reduced by a factor of ten. Since retransmissions are needed 10% of the time, the proposal reduces the average resources from 0.9*1+0.1*2=1.1 units to 0.9*1+0.1*(0.7*1.1+0.3*2)=1.037 units. The net resource saving is only </w:t>
      </w:r>
      <w:r w:rsidR="000947DD">
        <w:t xml:space="preserve">5.7% on average but comes at a cost of doubling the ACK bits and reduced </w:t>
      </w:r>
      <w:r w:rsidR="0004293C">
        <w:t xml:space="preserve">PUCCH </w:t>
      </w:r>
      <w:r w:rsidR="000947DD">
        <w:t>coverage.</w:t>
      </w:r>
      <w:r w:rsidR="00C15DF1">
        <w:t xml:space="preserve"> </w:t>
      </w:r>
      <w:r w:rsidR="000947DD">
        <w:t>Second</w:t>
      </w:r>
      <w:r w:rsidR="00C15DF1">
        <w:t xml:space="preserve">ly, in a wideband system such as NR or LTE, each transmission consists of multiple code blocks. The multiple </w:t>
      </w:r>
      <w:r w:rsidR="000947DD">
        <w:t>code blocks</w:t>
      </w:r>
      <w:r w:rsidR="00C15DF1">
        <w:t xml:space="preserve"> may have different decoder state ACMI levels. </w:t>
      </w:r>
      <w:r w:rsidR="008E50F5">
        <w:t xml:space="preserve">This complicates the protocol designs. If the multi-bit ACK is based on average ACMI of the code blocks, then the worse than average code blocks are still not decodable. If the multi-bit ACK is based on the worst </w:t>
      </w:r>
      <w:r w:rsidR="008728DF">
        <w:t>code block ACMI, then</w:t>
      </w:r>
      <w:r w:rsidR="0004293C">
        <w:t xml:space="preserve"> the</w:t>
      </w:r>
      <w:r w:rsidR="008728DF">
        <w:t xml:space="preserve"> claimed resource saving will be lost. </w:t>
      </w:r>
    </w:p>
    <w:p w14:paraId="15C9D617" w14:textId="72EC18E4" w:rsidR="00156E55" w:rsidRDefault="00156E55" w:rsidP="00A11899">
      <w:pPr>
        <w:pStyle w:val="BodyText"/>
      </w:pPr>
      <w:r>
        <w:lastRenderedPageBreak/>
        <w:t xml:space="preserve">The third aspects </w:t>
      </w:r>
      <w:r w:rsidR="0036709D">
        <w:t>are</w:t>
      </w:r>
      <w:r>
        <w:t xml:space="preserve"> outer codes. This has been initially discussed already in both RAN1 and RAN2 related to NR. </w:t>
      </w:r>
      <w:r w:rsidR="000A2847">
        <w:t xml:space="preserve">It is not clear how this outer erasure decoding can be implemented in the UE economically but still satisfying fast ACK feedback latency requirements. It should be particularly noted that the outer code decoder hardware cannot be budgeted assuming it will be used on 10% of the time. In the event of a link adaptation error, several consecutive transmissions/layers will all require retransmissions. To satisfy the ACK latency requirement, the outer coder decoder need to be designed to handle such correlated transmission errors. </w:t>
      </w:r>
      <w:r w:rsidR="000947DD">
        <w:t>Furthermore, w</w:t>
      </w:r>
      <w:r>
        <w:t>hat is clear from the discussions is that the impact is rather significant in both working groups and correspondingly just from a time perspective it would be good not introduce this within Rel-15</w:t>
      </w:r>
      <w:r w:rsidR="000947DD">
        <w:t>.</w:t>
      </w:r>
    </w:p>
    <w:p w14:paraId="1486951D" w14:textId="4C8617E6" w:rsidR="00FE54FB" w:rsidRDefault="00FE54FB" w:rsidP="00A11899">
      <w:pPr>
        <w:pStyle w:val="BodyText"/>
      </w:pPr>
      <w:r>
        <w:t>For all three mechanisms it is clear that they further can be introduced in a backwards compatible manner in a later release of NR.</w:t>
      </w:r>
    </w:p>
    <w:p w14:paraId="4F4FA799" w14:textId="7723BBB6" w:rsidR="0036709D" w:rsidRPr="0036709D" w:rsidRDefault="0036709D" w:rsidP="00A11899">
      <w:pPr>
        <w:pStyle w:val="BodyText"/>
        <w:rPr>
          <w:b/>
        </w:rPr>
      </w:pPr>
      <w:r w:rsidRPr="0036709D">
        <w:rPr>
          <w:b/>
        </w:rPr>
        <w:t>Proposal</w:t>
      </w:r>
    </w:p>
    <w:p w14:paraId="30E5218A" w14:textId="264ACE18" w:rsidR="0036709D" w:rsidRDefault="0036709D" w:rsidP="0036709D">
      <w:pPr>
        <w:pStyle w:val="BodyText"/>
        <w:numPr>
          <w:ilvl w:val="0"/>
          <w:numId w:val="35"/>
        </w:numPr>
      </w:pPr>
      <w:r>
        <w:t>Introduce CB-group level HARQ-ACK feedback if the MAC-level modelling have been understood well enough and the gains are large enough by the remaining scenarios not covered by solution for mini-slots puncturing slots in DL.</w:t>
      </w:r>
    </w:p>
    <w:p w14:paraId="7B9481D2" w14:textId="6F8BD6F6" w:rsidR="00DE699B" w:rsidRDefault="00DE699B" w:rsidP="00DE699B">
      <w:pPr>
        <w:pStyle w:val="Heading2"/>
      </w:pPr>
      <w:r>
        <w:t>HARQ-ACK reporting</w:t>
      </w:r>
    </w:p>
    <w:p w14:paraId="7C9739FC" w14:textId="77777777" w:rsidR="00DE699B" w:rsidRDefault="00DE699B" w:rsidP="00DE699B">
      <w:pPr>
        <w:pStyle w:val="BodyText"/>
      </w:pPr>
      <w:r>
        <w:t xml:space="preserve">Hybrid-ARQ acknowledgement ‘immediately’ after reception of downlink data is clearly beneficial from a latency perspective, as well as for operation in unlicensed spectrum. Hence this was agreed at RAN1 #87. </w:t>
      </w:r>
    </w:p>
    <w:p w14:paraId="50986F02" w14:textId="77777777" w:rsidR="00DE699B" w:rsidRDefault="00DE699B" w:rsidP="00DE699B">
      <w:pPr>
        <w:pStyle w:val="BodyText"/>
      </w:pPr>
      <w:r>
        <w:t>Indicating multiple timing possibilities in the DCI may require multiple bits. Either these bits can indicate predefined timing relations (same slot, next slot, next-next slot, etc), point to a set of RRC configured relations (same slot, RRC conf 1, RRC conf 2, etc), or “polling” can be used. In the latter case, the DCI could contain a single bit indicating whether the UE should transmit the hybrid-ARQ acknowledgement (in the same slot) or not. If the UE was instructed not to transmit a hybrid-ARQ acknowledgement, the network could at a later time instant “poll” the UE for the status of the previous receptions. Polling could have the benefit of avoiding complicated HARQ-ACK codebooks as used in LTE. They can also be useful for operation in unlicensed spectrum for devices not capable of ‘immediate’ ACK.</w:t>
      </w:r>
    </w:p>
    <w:p w14:paraId="3D8F6DF4" w14:textId="3F555CD6" w:rsidR="0036709D" w:rsidRDefault="0036709D" w:rsidP="00DE699B">
      <w:pPr>
        <w:pStyle w:val="BodyText"/>
        <w:rPr>
          <w:b/>
        </w:rPr>
      </w:pPr>
      <w:r>
        <w:rPr>
          <w:b/>
        </w:rPr>
        <w:t>Proposal</w:t>
      </w:r>
    </w:p>
    <w:p w14:paraId="02E78050" w14:textId="22E16FEC" w:rsidR="00DE699B" w:rsidRPr="0036709D" w:rsidRDefault="00DE699B" w:rsidP="0036709D">
      <w:pPr>
        <w:pStyle w:val="BodyText"/>
        <w:numPr>
          <w:ilvl w:val="0"/>
          <w:numId w:val="35"/>
        </w:numPr>
      </w:pPr>
      <w:r w:rsidRPr="0036709D">
        <w:t>Consider polled ACK in addition to ‘immediate’ ACK.</w:t>
      </w:r>
    </w:p>
    <w:p w14:paraId="063235B6" w14:textId="77777777" w:rsidR="00DE699B" w:rsidRDefault="00DE699B" w:rsidP="00DE699B">
      <w:pPr>
        <w:pStyle w:val="BodyText"/>
        <w:keepNext/>
      </w:pPr>
      <w:r w:rsidRPr="006B1453">
        <w:rPr>
          <w:noProof/>
          <w:lang w:val="sv-SE" w:eastAsia="sv-SE"/>
        </w:rPr>
        <w:drawing>
          <wp:inline distT="0" distB="0" distL="0" distR="0" wp14:anchorId="63032CAC" wp14:editId="0BD5B893">
            <wp:extent cx="5644827" cy="1571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7553" cy="1619715"/>
                    </a:xfrm>
                    <a:prstGeom prst="rect">
                      <a:avLst/>
                    </a:prstGeom>
                    <a:noFill/>
                    <a:ln>
                      <a:noFill/>
                    </a:ln>
                  </pic:spPr>
                </pic:pic>
              </a:graphicData>
            </a:graphic>
          </wp:inline>
        </w:drawing>
      </w:r>
    </w:p>
    <w:p w14:paraId="4F4346E2" w14:textId="77777777" w:rsidR="00DE699B" w:rsidRPr="006B1453" w:rsidRDefault="00DE699B" w:rsidP="00DE699B">
      <w:pPr>
        <w:pStyle w:val="Caption"/>
        <w:jc w:val="both"/>
      </w:pPr>
      <w:bookmarkStart w:id="3" w:name="_Ref465862656"/>
      <w:r>
        <w:t xml:space="preserve">Figure </w:t>
      </w:r>
      <w:fldSimple w:instr=" SEQ Figure \* ARABIC ">
        <w:r>
          <w:rPr>
            <w:noProof/>
          </w:rPr>
          <w:t>1</w:t>
        </w:r>
      </w:fldSimple>
      <w:bookmarkEnd w:id="3"/>
      <w:r>
        <w:t>: ACK timing.</w:t>
      </w:r>
    </w:p>
    <w:p w14:paraId="3F640EC4" w14:textId="77777777" w:rsidR="00DE699B" w:rsidRPr="004E08BF" w:rsidRDefault="00DE699B" w:rsidP="00A11899">
      <w:pPr>
        <w:pStyle w:val="BodyText"/>
      </w:pPr>
    </w:p>
    <w:p w14:paraId="6C34731C" w14:textId="7EA8DFB1" w:rsidR="00DA7D33" w:rsidRDefault="00DA7D33" w:rsidP="00DA7D33">
      <w:pPr>
        <w:pStyle w:val="Heading1"/>
        <w:spacing w:before="180"/>
        <w:ind w:left="562" w:hanging="562"/>
      </w:pPr>
      <w:r>
        <w:t>Conclusion</w:t>
      </w:r>
    </w:p>
    <w:p w14:paraId="1786FB39" w14:textId="7DCD546F" w:rsidR="004A5A0F" w:rsidRDefault="004E08BF" w:rsidP="004E08BF">
      <w:pPr>
        <w:pStyle w:val="BodyText"/>
      </w:pPr>
      <w:r w:rsidRPr="004E08BF">
        <w:t xml:space="preserve">In this </w:t>
      </w:r>
      <w:r>
        <w:t xml:space="preserve">contribution we have discussed </w:t>
      </w:r>
      <w:r w:rsidR="00DE699B">
        <w:t xml:space="preserve">various aspect of HARQ-ACK reporting and </w:t>
      </w:r>
      <w:r>
        <w:t>propose the following:</w:t>
      </w:r>
    </w:p>
    <w:p w14:paraId="3BBED440" w14:textId="0595DFD8" w:rsidR="0036709D" w:rsidRDefault="0036709D" w:rsidP="0036709D">
      <w:pPr>
        <w:pStyle w:val="BodyText"/>
        <w:numPr>
          <w:ilvl w:val="0"/>
          <w:numId w:val="35"/>
        </w:numPr>
      </w:pPr>
      <w:r>
        <w:t>Introduce CB-group level HARQ-ACK feedback if the MAC-level modelling have been understood well enough and the gains are large enough by the remaining scenarios not covered by solution for mini-slots puncturing slots in DL.</w:t>
      </w:r>
    </w:p>
    <w:p w14:paraId="61B90C1A" w14:textId="131228D9" w:rsidR="0036709D" w:rsidRDefault="0036709D" w:rsidP="0036709D">
      <w:pPr>
        <w:pStyle w:val="BodyText"/>
        <w:numPr>
          <w:ilvl w:val="0"/>
          <w:numId w:val="35"/>
        </w:numPr>
      </w:pPr>
      <w:r w:rsidRPr="0036709D">
        <w:t>Consider polled ACK in addition to ‘immediate’ ACK.</w:t>
      </w:r>
    </w:p>
    <w:p w14:paraId="1DB8F1C3" w14:textId="77777777" w:rsidR="00DE699B" w:rsidRDefault="00DE699B" w:rsidP="004E08BF">
      <w:pPr>
        <w:pStyle w:val="BodyText"/>
      </w:pPr>
    </w:p>
    <w:p w14:paraId="533E7D0A" w14:textId="2C988D67" w:rsidR="001D3E2A" w:rsidRDefault="001D3E2A" w:rsidP="001D3E2A">
      <w:pPr>
        <w:pStyle w:val="Heading1"/>
        <w:tabs>
          <w:tab w:val="clear" w:pos="3544"/>
          <w:tab w:val="num" w:pos="0"/>
        </w:tabs>
        <w:ind w:left="567"/>
      </w:pPr>
      <w:r>
        <w:t>References</w:t>
      </w:r>
    </w:p>
    <w:p w14:paraId="1D366326" w14:textId="77683AEE" w:rsidR="009A38C5" w:rsidRDefault="00DE699B" w:rsidP="00DE699B">
      <w:pPr>
        <w:pStyle w:val="BodyText"/>
        <w:numPr>
          <w:ilvl w:val="0"/>
          <w:numId w:val="33"/>
        </w:numPr>
      </w:pPr>
      <w:bookmarkStart w:id="4" w:name="_Ref474179390"/>
      <w:r w:rsidRPr="00DE699B">
        <w:t>R1-1701869</w:t>
      </w:r>
      <w:r w:rsidRPr="00DE699B">
        <w:tab/>
        <w:t>On eMBB/URLLC multiplexing for downlink</w:t>
      </w:r>
      <w:r w:rsidRPr="00DE699B">
        <w:tab/>
        <w:t>Ericsson</w:t>
      </w:r>
      <w:bookmarkEnd w:id="4"/>
    </w:p>
    <w:p w14:paraId="74A9A7E8" w14:textId="4FA151ED" w:rsidR="00B931B6" w:rsidRDefault="00B931B6" w:rsidP="00B931B6">
      <w:pPr>
        <w:pStyle w:val="BodyText"/>
        <w:numPr>
          <w:ilvl w:val="0"/>
          <w:numId w:val="33"/>
        </w:numPr>
      </w:pPr>
      <w:bookmarkStart w:id="5" w:name="_Ref474180563"/>
      <w:r w:rsidRPr="00B931B6">
        <w:lastRenderedPageBreak/>
        <w:t>R1-1700958</w:t>
      </w:r>
      <w:r>
        <w:tab/>
      </w:r>
      <w:r w:rsidRPr="00B931B6">
        <w:t>TB/CB Handling for eMBB</w:t>
      </w:r>
      <w:r>
        <w:tab/>
        <w:t>Samsung</w:t>
      </w:r>
      <w:bookmarkStart w:id="6" w:name="_GoBack"/>
      <w:bookmarkEnd w:id="5"/>
      <w:bookmarkEnd w:id="6"/>
    </w:p>
    <w:p w14:paraId="4D29F579" w14:textId="3F46C6ED" w:rsidR="00C15DF1" w:rsidRPr="001D3E2A" w:rsidRDefault="00B931B6" w:rsidP="00CA48AF">
      <w:pPr>
        <w:pStyle w:val="BodyText"/>
        <w:numPr>
          <w:ilvl w:val="0"/>
          <w:numId w:val="33"/>
        </w:numPr>
      </w:pPr>
      <w:bookmarkStart w:id="7" w:name="_Ref474180542"/>
      <w:r w:rsidRPr="00B931B6">
        <w:t>R1-1701020</w:t>
      </w:r>
      <w:r>
        <w:tab/>
      </w:r>
      <w:r w:rsidRPr="00B931B6">
        <w:t>Enriched feedback for adaptive HARQ</w:t>
      </w:r>
      <w:r>
        <w:tab/>
        <w:t>Nokia, Alcatel-Lucent Shanghai Bell</w:t>
      </w:r>
      <w:bookmarkEnd w:id="7"/>
    </w:p>
    <w:sectPr w:rsidR="00C15DF1" w:rsidRPr="001D3E2A"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A0F55"/>
    <w:multiLevelType w:val="hybridMultilevel"/>
    <w:tmpl w:val="DF4871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6911A0"/>
    <w:multiLevelType w:val="hybridMultilevel"/>
    <w:tmpl w:val="BAAA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D5660"/>
    <w:multiLevelType w:val="hybridMultilevel"/>
    <w:tmpl w:val="D82236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31BBC"/>
    <w:multiLevelType w:val="hybridMultilevel"/>
    <w:tmpl w:val="84F2B4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36B24"/>
    <w:multiLevelType w:val="hybridMultilevel"/>
    <w:tmpl w:val="3D58BAA6"/>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2"/>
  </w:num>
  <w:num w:numId="4">
    <w:abstractNumId w:val="32"/>
  </w:num>
  <w:num w:numId="5">
    <w:abstractNumId w:val="29"/>
  </w:num>
  <w:num w:numId="6">
    <w:abstractNumId w:val="24"/>
  </w:num>
  <w:num w:numId="7">
    <w:abstractNumId w:val="31"/>
  </w:num>
  <w:num w:numId="8">
    <w:abstractNumId w:val="30"/>
  </w:num>
  <w:num w:numId="9">
    <w:abstractNumId w:val="14"/>
  </w:num>
  <w:num w:numId="10">
    <w:abstractNumId w:val="7"/>
  </w:num>
  <w:num w:numId="11">
    <w:abstractNumId w:val="21"/>
  </w:num>
  <w:num w:numId="12">
    <w:abstractNumId w:val="33"/>
  </w:num>
  <w:num w:numId="13">
    <w:abstractNumId w:val="6"/>
  </w:num>
  <w:num w:numId="14">
    <w:abstractNumId w:val="8"/>
  </w:num>
  <w:num w:numId="15">
    <w:abstractNumId w:val="17"/>
  </w:num>
  <w:num w:numId="16">
    <w:abstractNumId w:val="10"/>
  </w:num>
  <w:num w:numId="17">
    <w:abstractNumId w:val="32"/>
  </w:num>
  <w:num w:numId="18">
    <w:abstractNumId w:val="20"/>
  </w:num>
  <w:num w:numId="19">
    <w:abstractNumId w:val="26"/>
  </w:num>
  <w:num w:numId="20">
    <w:abstractNumId w:val="13"/>
  </w:num>
  <w:num w:numId="21">
    <w:abstractNumId w:val="12"/>
  </w:num>
  <w:num w:numId="22">
    <w:abstractNumId w:val="27"/>
  </w:num>
  <w:num w:numId="23">
    <w:abstractNumId w:val="16"/>
  </w:num>
  <w:num w:numId="24">
    <w:abstractNumId w:val="15"/>
  </w:num>
  <w:num w:numId="25">
    <w:abstractNumId w:val="18"/>
  </w:num>
  <w:num w:numId="26">
    <w:abstractNumId w:val="23"/>
  </w:num>
  <w:num w:numId="27">
    <w:abstractNumId w:val="5"/>
  </w:num>
  <w:num w:numId="28">
    <w:abstractNumId w:val="0"/>
  </w:num>
  <w:num w:numId="29">
    <w:abstractNumId w:val="11"/>
  </w:num>
  <w:num w:numId="30">
    <w:abstractNumId w:val="1"/>
  </w:num>
  <w:num w:numId="31">
    <w:abstractNumId w:val="3"/>
  </w:num>
  <w:num w:numId="32">
    <w:abstractNumId w:val="25"/>
  </w:num>
  <w:num w:numId="33">
    <w:abstractNumId w:val="28"/>
  </w:num>
  <w:num w:numId="34">
    <w:abstractNumId w:val="4"/>
  </w:num>
  <w:num w:numId="35">
    <w:abstractNumId w:val="22"/>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4293C"/>
    <w:rsid w:val="00060F67"/>
    <w:rsid w:val="00093FC4"/>
    <w:rsid w:val="000947DD"/>
    <w:rsid w:val="000A2847"/>
    <w:rsid w:val="00106ABF"/>
    <w:rsid w:val="00133560"/>
    <w:rsid w:val="00145B3E"/>
    <w:rsid w:val="00156E55"/>
    <w:rsid w:val="001B243C"/>
    <w:rsid w:val="001D3E2A"/>
    <w:rsid w:val="001F0CAF"/>
    <w:rsid w:val="00213303"/>
    <w:rsid w:val="0022072F"/>
    <w:rsid w:val="00230310"/>
    <w:rsid w:val="00247FAB"/>
    <w:rsid w:val="0028065B"/>
    <w:rsid w:val="00286B6D"/>
    <w:rsid w:val="002E444B"/>
    <w:rsid w:val="0034475B"/>
    <w:rsid w:val="0036709D"/>
    <w:rsid w:val="003F33ED"/>
    <w:rsid w:val="00407725"/>
    <w:rsid w:val="00434CD6"/>
    <w:rsid w:val="0048093F"/>
    <w:rsid w:val="0049799A"/>
    <w:rsid w:val="004A5A0F"/>
    <w:rsid w:val="004A7792"/>
    <w:rsid w:val="004B1C8B"/>
    <w:rsid w:val="004E08BF"/>
    <w:rsid w:val="0052140E"/>
    <w:rsid w:val="00546EB1"/>
    <w:rsid w:val="005514B5"/>
    <w:rsid w:val="005838EA"/>
    <w:rsid w:val="00627565"/>
    <w:rsid w:val="00655332"/>
    <w:rsid w:val="006A286A"/>
    <w:rsid w:val="006B1453"/>
    <w:rsid w:val="006B481E"/>
    <w:rsid w:val="006D4A4B"/>
    <w:rsid w:val="0070237A"/>
    <w:rsid w:val="007059CD"/>
    <w:rsid w:val="007C7533"/>
    <w:rsid w:val="00813D98"/>
    <w:rsid w:val="008625B7"/>
    <w:rsid w:val="008728DF"/>
    <w:rsid w:val="008A0342"/>
    <w:rsid w:val="008D5332"/>
    <w:rsid w:val="008E50F5"/>
    <w:rsid w:val="00916E30"/>
    <w:rsid w:val="00924E96"/>
    <w:rsid w:val="00942F98"/>
    <w:rsid w:val="009867D7"/>
    <w:rsid w:val="009A0611"/>
    <w:rsid w:val="009A38C5"/>
    <w:rsid w:val="009E46CD"/>
    <w:rsid w:val="00A014B9"/>
    <w:rsid w:val="00A057EA"/>
    <w:rsid w:val="00A11899"/>
    <w:rsid w:val="00A63AD6"/>
    <w:rsid w:val="00A96D77"/>
    <w:rsid w:val="00AC1F7D"/>
    <w:rsid w:val="00B03ED8"/>
    <w:rsid w:val="00B368D9"/>
    <w:rsid w:val="00B931B6"/>
    <w:rsid w:val="00B97DE2"/>
    <w:rsid w:val="00BA4CC0"/>
    <w:rsid w:val="00BB2430"/>
    <w:rsid w:val="00BB7B54"/>
    <w:rsid w:val="00BC0FFC"/>
    <w:rsid w:val="00BE4063"/>
    <w:rsid w:val="00C1560A"/>
    <w:rsid w:val="00C15DF1"/>
    <w:rsid w:val="00C62894"/>
    <w:rsid w:val="00C7705D"/>
    <w:rsid w:val="00C8496C"/>
    <w:rsid w:val="00CA48AF"/>
    <w:rsid w:val="00CA5E5D"/>
    <w:rsid w:val="00CB3C3F"/>
    <w:rsid w:val="00CB5A40"/>
    <w:rsid w:val="00CC1CA7"/>
    <w:rsid w:val="00CC260C"/>
    <w:rsid w:val="00CC3994"/>
    <w:rsid w:val="00CE6CB0"/>
    <w:rsid w:val="00D03072"/>
    <w:rsid w:val="00D03E47"/>
    <w:rsid w:val="00D577BB"/>
    <w:rsid w:val="00D84D5E"/>
    <w:rsid w:val="00DA7D33"/>
    <w:rsid w:val="00DB6F36"/>
    <w:rsid w:val="00DC6A18"/>
    <w:rsid w:val="00DD11CB"/>
    <w:rsid w:val="00DE0D8A"/>
    <w:rsid w:val="00DE1BAA"/>
    <w:rsid w:val="00DE699B"/>
    <w:rsid w:val="00E10C1F"/>
    <w:rsid w:val="00E20E32"/>
    <w:rsid w:val="00E43993"/>
    <w:rsid w:val="00E67901"/>
    <w:rsid w:val="00EB26FB"/>
    <w:rsid w:val="00EB2C79"/>
    <w:rsid w:val="00EC06DD"/>
    <w:rsid w:val="00EC732A"/>
    <w:rsid w:val="00F31D53"/>
    <w:rsid w:val="00F33C5D"/>
    <w:rsid w:val="00F346B4"/>
    <w:rsid w:val="00F618ED"/>
    <w:rsid w:val="00F81C1C"/>
    <w:rsid w:val="00F92325"/>
    <w:rsid w:val="00F92540"/>
    <w:rsid w:val="00FE0D8B"/>
    <w:rsid w:val="00FE1148"/>
    <w:rsid w:val="00FE1A94"/>
    <w:rsid w:val="00FE54FB"/>
    <w:rsid w:val="00FF1A1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customStyle="1" w:styleId="TdocHeader1">
    <w:name w:val="Tdoc_Header_1"/>
    <w:basedOn w:val="Header"/>
    <w:rsid w:val="00CC3994"/>
    <w:pPr>
      <w:widowControl w:val="0"/>
      <w:tabs>
        <w:tab w:val="clear" w:pos="4536"/>
        <w:tab w:val="right" w:pos="10206"/>
      </w:tabs>
      <w:ind w:left="1440" w:hanging="1440"/>
      <w:jc w:val="both"/>
    </w:pPr>
    <w:rPr>
      <w:rFonts w:eastAsia="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77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D708-4A5D-4973-B914-B8B46859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Pages>
  <Words>1113</Words>
  <Characters>5904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Daniel Larsson</cp:lastModifiedBy>
  <cp:revision>27</cp:revision>
  <dcterms:created xsi:type="dcterms:W3CDTF">2016-11-04T12:48:00Z</dcterms:created>
  <dcterms:modified xsi:type="dcterms:W3CDTF">2017-02-07T06:38:00Z</dcterms:modified>
</cp:coreProperties>
</file>