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6D52" w:rsidRDefault="00776D52" w:rsidP="00B657AC">
      <w:pPr>
        <w:pStyle w:val="Header"/>
        <w:tabs>
          <w:tab w:val="clear" w:pos="4536"/>
        </w:tabs>
      </w:pPr>
      <w:bookmarkStart w:id="0" w:name="OLE_LINK1"/>
      <w:bookmarkStart w:id="1" w:name="OLE_LINK2"/>
    </w:p>
    <w:p w:rsidR="00B657AC" w:rsidRPr="00446F9D" w:rsidRDefault="00B657AC" w:rsidP="00B657AC">
      <w:pPr>
        <w:pStyle w:val="Header"/>
        <w:tabs>
          <w:tab w:val="clear" w:pos="4536"/>
        </w:tabs>
        <w:rPr>
          <w:i/>
        </w:rPr>
      </w:pPr>
      <w:r w:rsidRPr="00446F9D">
        <w:t>TSG-RAN WG1 #</w:t>
      </w:r>
      <w:r w:rsidR="00776D52">
        <w:t>87</w:t>
      </w:r>
      <w:r w:rsidRPr="00446F9D">
        <w:tab/>
      </w:r>
      <w:r w:rsidR="00776D52">
        <w:t>R1-1612778</w:t>
      </w:r>
    </w:p>
    <w:p w:rsidR="00776D52" w:rsidRPr="00E20AF5" w:rsidRDefault="00776D52" w:rsidP="00776D52">
      <w:pPr>
        <w:pStyle w:val="CRCoverPage"/>
        <w:outlineLvl w:val="0"/>
        <w:rPr>
          <w:rFonts w:cs="Arial"/>
          <w:b/>
          <w:noProof/>
          <w:szCs w:val="24"/>
        </w:rPr>
      </w:pPr>
      <w:r w:rsidRPr="00E20AF5">
        <w:rPr>
          <w:rFonts w:cs="Arial"/>
          <w:b/>
          <w:noProof/>
          <w:szCs w:val="24"/>
        </w:rPr>
        <w:t>Reno, USA, 14</w:t>
      </w:r>
      <w:r w:rsidRPr="00E20AF5">
        <w:rPr>
          <w:rFonts w:cs="Arial"/>
          <w:b/>
          <w:noProof/>
          <w:szCs w:val="24"/>
          <w:vertAlign w:val="superscript"/>
        </w:rPr>
        <w:t>th</w:t>
      </w:r>
      <w:r w:rsidRPr="00E20AF5">
        <w:rPr>
          <w:rFonts w:cs="Arial"/>
          <w:b/>
          <w:noProof/>
          <w:szCs w:val="24"/>
        </w:rPr>
        <w:t xml:space="preserve"> – 18</w:t>
      </w:r>
      <w:r w:rsidRPr="00E20AF5">
        <w:rPr>
          <w:rFonts w:cs="Arial"/>
          <w:b/>
          <w:noProof/>
          <w:szCs w:val="24"/>
          <w:vertAlign w:val="superscript"/>
        </w:rPr>
        <w:t>th</w:t>
      </w:r>
      <w:r w:rsidRPr="00E20AF5">
        <w:rPr>
          <w:rFonts w:cs="Arial"/>
          <w:b/>
          <w:noProof/>
          <w:szCs w:val="24"/>
        </w:rPr>
        <w:t xml:space="preserve"> November 2016</w:t>
      </w:r>
    </w:p>
    <w:p w:rsidR="00424DB8" w:rsidRPr="00776D52" w:rsidRDefault="00424DB8" w:rsidP="00424DB8">
      <w:pPr>
        <w:pStyle w:val="TdocHeader2"/>
        <w:rPr>
          <w:sz w:val="22"/>
        </w:rPr>
      </w:pPr>
    </w:p>
    <w:p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rsidR="00424DB8" w:rsidRPr="00B657AC" w:rsidRDefault="00424DB8" w:rsidP="00424DB8">
      <w:pPr>
        <w:pStyle w:val="TdocHeader2"/>
        <w:rPr>
          <w:sz w:val="20"/>
          <w:lang w:val="en-US"/>
        </w:rPr>
      </w:pPr>
      <w:r w:rsidRPr="00B657AC">
        <w:rPr>
          <w:sz w:val="20"/>
          <w:lang w:val="en-US"/>
        </w:rPr>
        <w:t>Title:</w:t>
      </w:r>
      <w:bookmarkStart w:id="2" w:name="Title"/>
      <w:bookmarkEnd w:id="2"/>
      <w:r w:rsidRPr="00B657AC">
        <w:rPr>
          <w:sz w:val="20"/>
          <w:lang w:val="en-US"/>
        </w:rPr>
        <w:tab/>
        <w:t>Technology components for unlicensed operation</w:t>
      </w:r>
    </w:p>
    <w:p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776D52">
        <w:rPr>
          <w:bCs/>
          <w:iCs/>
          <w:sz w:val="20"/>
        </w:rPr>
        <w:t>7.1.7</w:t>
      </w:r>
    </w:p>
    <w:p w:rsidR="00424DB8" w:rsidRPr="00B657AC" w:rsidRDefault="00424DB8" w:rsidP="00424DB8">
      <w:pPr>
        <w:pStyle w:val="TdocHeader2"/>
        <w:rPr>
          <w:sz w:val="20"/>
          <w:lang w:val="en-US"/>
        </w:rPr>
      </w:pPr>
      <w:r w:rsidRPr="00B657AC">
        <w:rPr>
          <w:sz w:val="20"/>
          <w:lang w:val="en-US"/>
        </w:rPr>
        <w:t>Document for:</w:t>
      </w:r>
      <w:r w:rsidRPr="00B657AC">
        <w:rPr>
          <w:sz w:val="20"/>
          <w:lang w:val="en-US"/>
        </w:rPr>
        <w:tab/>
        <w:t>Discussion and Decision</w:t>
      </w:r>
    </w:p>
    <w:p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rsidR="000557F9" w:rsidRDefault="000557F9" w:rsidP="001E19C0">
      <w:pPr>
        <w:pStyle w:val="BodyText"/>
      </w:pPr>
      <w:r>
        <w:t>At RAN-73 it was decided to down-prioritize support of unlicensed spectrum in the NR study until March 2017. Nevertheless, future compatibility for support of unlicensed spectrum shall be verified and confirmed.</w:t>
      </w:r>
    </w:p>
    <w:p w:rsidR="00424DB8" w:rsidRPr="00F63C5D" w:rsidRDefault="00424DB8" w:rsidP="001E19C0">
      <w:pPr>
        <w:pStyle w:val="BodyText"/>
      </w:pPr>
      <w:r w:rsidRPr="00F63C5D">
        <w:t>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LBT as the sharing mechanism are also discussed. The technology components we will discuss are mainly the follow:</w:t>
      </w:r>
    </w:p>
    <w:p w:rsidR="00424DB8" w:rsidRPr="00F63C5D" w:rsidRDefault="00424DB8" w:rsidP="00424DB8">
      <w:pPr>
        <w:numPr>
          <w:ilvl w:val="1"/>
          <w:numId w:val="43"/>
        </w:numPr>
        <w:rPr>
          <w:sz w:val="22"/>
        </w:rPr>
      </w:pPr>
      <w:r w:rsidRPr="00F63C5D">
        <w:rPr>
          <w:sz w:val="22"/>
        </w:rPr>
        <w:t>DRS (SS/AIT, SSB) design and transmission</w:t>
      </w:r>
    </w:p>
    <w:p w:rsidR="00424DB8" w:rsidRPr="00F63C5D" w:rsidRDefault="00424DB8" w:rsidP="00424DB8">
      <w:pPr>
        <w:numPr>
          <w:ilvl w:val="1"/>
          <w:numId w:val="43"/>
        </w:numPr>
        <w:rPr>
          <w:sz w:val="22"/>
        </w:rPr>
      </w:pPr>
      <w:r w:rsidRPr="00F63C5D">
        <w:rPr>
          <w:iCs/>
          <w:sz w:val="22"/>
        </w:rPr>
        <w:t>Channel and procedure for Fast Channel Acquisition (FCA)</w:t>
      </w:r>
    </w:p>
    <w:p w:rsidR="00424DB8" w:rsidRPr="00F63C5D" w:rsidRDefault="00424DB8" w:rsidP="00424DB8">
      <w:pPr>
        <w:numPr>
          <w:ilvl w:val="1"/>
          <w:numId w:val="43"/>
        </w:numPr>
        <w:rPr>
          <w:sz w:val="22"/>
        </w:rPr>
      </w:pPr>
      <w:r w:rsidRPr="00F63C5D">
        <w:rPr>
          <w:iCs/>
          <w:sz w:val="22"/>
        </w:rPr>
        <w:t>Scheduling, L2/L1 processing delay impact for uplink data XT</w:t>
      </w:r>
    </w:p>
    <w:p w:rsidR="00424DB8" w:rsidRPr="00F63C5D" w:rsidRDefault="00424DB8" w:rsidP="00424DB8">
      <w:pPr>
        <w:numPr>
          <w:ilvl w:val="1"/>
          <w:numId w:val="43"/>
        </w:numPr>
        <w:rPr>
          <w:sz w:val="22"/>
        </w:rPr>
      </w:pPr>
      <w:r w:rsidRPr="00F63C5D">
        <w:rPr>
          <w:sz w:val="22"/>
        </w:rPr>
        <w:t>Interlacing data TX for uplink</w:t>
      </w:r>
    </w:p>
    <w:p w:rsidR="00424DB8" w:rsidRPr="00F63C5D" w:rsidRDefault="00424DB8" w:rsidP="00424DB8">
      <w:pPr>
        <w:numPr>
          <w:ilvl w:val="1"/>
          <w:numId w:val="43"/>
        </w:numPr>
        <w:rPr>
          <w:sz w:val="22"/>
        </w:rPr>
      </w:pPr>
      <w:r w:rsidRPr="00F63C5D">
        <w:rPr>
          <w:sz w:val="22"/>
        </w:rPr>
        <w:t>Random access over unlicensed operation</w:t>
      </w:r>
    </w:p>
    <w:p w:rsidR="00424DB8" w:rsidRPr="00F63C5D" w:rsidRDefault="00424DB8" w:rsidP="00424DB8">
      <w:pPr>
        <w:numPr>
          <w:ilvl w:val="1"/>
          <w:numId w:val="43"/>
        </w:numPr>
        <w:rPr>
          <w:sz w:val="22"/>
        </w:rPr>
      </w:pPr>
      <w:r w:rsidRPr="00F63C5D">
        <w:rPr>
          <w:sz w:val="22"/>
        </w:rPr>
        <w:t>Feedback channel design: e.g. at least one interlace is used for HARQ A/N and CSI feedback in UL, the format, coding and transmission design of the feedback shall be considered.</w:t>
      </w:r>
    </w:p>
    <w:p w:rsidR="00424DB8" w:rsidRPr="00F63C5D" w:rsidRDefault="00424DB8" w:rsidP="00424DB8">
      <w:pPr>
        <w:numPr>
          <w:ilvl w:val="1"/>
          <w:numId w:val="43"/>
        </w:numPr>
        <w:rPr>
          <w:sz w:val="22"/>
        </w:rPr>
      </w:pPr>
      <w:r w:rsidRPr="00F63C5D">
        <w:rPr>
          <w:sz w:val="22"/>
        </w:rPr>
        <w:t>USS/RRS design and transmission mechanism</w:t>
      </w:r>
    </w:p>
    <w:p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rsidR="00424DB8" w:rsidRPr="00E16CD2" w:rsidRDefault="00424DB8" w:rsidP="00424DB8"/>
    <w:p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5" w:name="_Toc458153811"/>
      <w:r>
        <w:t>Discussion</w:t>
      </w:r>
      <w:bookmarkEnd w:id="5"/>
    </w:p>
    <w:p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rsidR="00424DB8" w:rsidRPr="00F63C5D" w:rsidRDefault="00424DB8" w:rsidP="001E19C0">
      <w:pPr>
        <w:pStyle w:val="BodyText"/>
      </w:pPr>
      <w:r w:rsidRPr="00F63C5D">
        <w:t>Discovery reference signals (DRS) are used for the UE to discover and access the network. In LTE, it consists of PSS/SSS used for cell search and synchronization. In LTE LAA/eLAA, the DRS design and transmission procedure are already addressed. For both licensed assisted and stand-alone unlicensed operation in NR, DRS signal design and transmission procedure should be considered.</w:t>
      </w:r>
      <w:r w:rsidR="006353F5">
        <w:t xml:space="preserve"> Also transmission of system information for stand-alone unlicensed operation in NR should be investigated.</w:t>
      </w:r>
    </w:p>
    <w:p w:rsidR="00424DB8" w:rsidRPr="00F63C5D" w:rsidRDefault="00424DB8" w:rsidP="00424DB8">
      <w:pPr>
        <w:pStyle w:val="Proposal"/>
        <w:rPr>
          <w:sz w:val="22"/>
        </w:rPr>
      </w:pPr>
      <w:bookmarkStart w:id="6"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bookmarkEnd w:id="6"/>
    </w:p>
    <w:p w:rsidR="00424DB8" w:rsidRPr="00F63C5D" w:rsidRDefault="00424DB8" w:rsidP="00424DB8">
      <w:pPr>
        <w:rPr>
          <w:sz w:val="22"/>
        </w:rPr>
      </w:pPr>
    </w:p>
    <w:p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unlicensed operation. It is worth</w:t>
      </w:r>
      <w:r w:rsidR="00357F26">
        <w:t>while</w:t>
      </w:r>
      <w:r w:rsidRPr="00F63C5D">
        <w:t xml:space="preserve"> improv</w:t>
      </w:r>
      <w:r w:rsidR="00357F26">
        <w:t>ing</w:t>
      </w:r>
      <w:r w:rsidRPr="00F63C5D">
        <w:t xml:space="preserve"> the random access procedure for unlicensed operation considering the channel availability. </w:t>
      </w:r>
    </w:p>
    <w:p w:rsidR="00424DB8" w:rsidRPr="00F63C5D" w:rsidRDefault="00357F26" w:rsidP="00424DB8">
      <w:pPr>
        <w:pStyle w:val="Proposal"/>
        <w:rPr>
          <w:sz w:val="22"/>
        </w:rPr>
      </w:pPr>
      <w:bookmarkStart w:id="7" w:name="_Toc458153882"/>
      <w:r>
        <w:rPr>
          <w:sz w:val="22"/>
        </w:rPr>
        <w:lastRenderedPageBreak/>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bookmarkEnd w:id="7"/>
      <w:r w:rsidR="00424DB8" w:rsidRPr="00F63C5D">
        <w:rPr>
          <w:sz w:val="22"/>
        </w:rPr>
        <w:t xml:space="preserve"> </w:t>
      </w:r>
    </w:p>
    <w:p w:rsidR="00424DB8" w:rsidRPr="00F63C5D" w:rsidRDefault="00424DB8" w:rsidP="00424DB8">
      <w:pPr>
        <w:rPr>
          <w:sz w:val="22"/>
        </w:rPr>
      </w:pPr>
    </w:p>
    <w:p w:rsidR="00424DB8" w:rsidRPr="00F63C5D" w:rsidRDefault="00424DB8" w:rsidP="001E19C0">
      <w:pPr>
        <w:pStyle w:val="BodyText"/>
      </w:pPr>
      <w:r w:rsidRPr="00F63C5D">
        <w:t xml:space="preserve">For unlicensed operation of NR, </w:t>
      </w:r>
      <w:r w:rsidR="007F13F4">
        <w:t xml:space="preserve">the ability </w:t>
      </w:r>
      <w:r w:rsidRPr="00F63C5D">
        <w:t>to use a much smaller TTI than LTE with a numerology with larger subcarrier bandwidth</w:t>
      </w:r>
      <w:r w:rsidR="007F13F4">
        <w:t xml:space="preserve"> is beneficial</w:t>
      </w:r>
      <w:r w:rsidRPr="00F63C5D">
        <w:t xml:space="preserve">. For example, </w:t>
      </w:r>
      <w:r w:rsidR="007F13F4">
        <w:t xml:space="preserve">a </w:t>
      </w:r>
      <w:r w:rsidRPr="00F63C5D">
        <w:t>reduced to 0.125 ms with 60 KHz subcarrier</w:t>
      </w:r>
      <w:r w:rsidR="007F13F4">
        <w:t xml:space="preserve"> would enable data transmissions on the channel to begin with finer granularity</w:t>
      </w:r>
      <w:r w:rsidRPr="00F63C5D">
        <w:t>. Another issue is the scheduled data transmission procedure in NR can result in more control signal transmission to assist the data transmission. Specifically, for scheduled uplink transmission, two independent LBTs are required, one for grant transmission from network and another for scheduled uplink transmission.</w:t>
      </w:r>
      <w:r w:rsidR="007F13F4">
        <w:t xml:space="preserve"> It is beneficial for NR design to reduce delays such as those incurred for scheduling.</w:t>
      </w:r>
    </w:p>
    <w:p w:rsidR="00424DB8" w:rsidRPr="00F63C5D" w:rsidRDefault="00424DB8" w:rsidP="00424DB8">
      <w:pPr>
        <w:pStyle w:val="Proposal"/>
        <w:rPr>
          <w:sz w:val="22"/>
        </w:rPr>
      </w:pPr>
      <w:bookmarkStart w:id="8" w:name="_Toc458153883"/>
      <w:r w:rsidRPr="00F63C5D">
        <w:rPr>
          <w:sz w:val="22"/>
        </w:rPr>
        <w:t>NR physical layer design should</w:t>
      </w:r>
      <w:r w:rsidR="007F13F4">
        <w:rPr>
          <w:sz w:val="22"/>
        </w:rPr>
        <w:t xml:space="preserve"> facilitate reduction of delays related to scheduling which is beneficial for operation in both licensed and unlicensed spectrum</w:t>
      </w:r>
      <w:r w:rsidRPr="00F63C5D">
        <w:rPr>
          <w:sz w:val="22"/>
        </w:rPr>
        <w:t>.</w:t>
      </w:r>
      <w:bookmarkEnd w:id="8"/>
    </w:p>
    <w:p w:rsidR="00424DB8" w:rsidRPr="00F63C5D" w:rsidRDefault="00424DB8" w:rsidP="00424DB8">
      <w:pPr>
        <w:rPr>
          <w:sz w:val="22"/>
        </w:rPr>
      </w:pPr>
    </w:p>
    <w:p w:rsidR="00424DB8" w:rsidRPr="00F63C5D" w:rsidRDefault="00424DB8" w:rsidP="001E19C0">
      <w:pPr>
        <w:pStyle w:val="BodyText"/>
      </w:pPr>
      <w:r w:rsidRPr="00F63C5D">
        <w:t>Network scheduled uplink data transmission should be the baseline also for NR. NR’s uplink MAC needs to achieve lower latency compared to that in LTE which is normally several milliseconds, e.g., the time between uplink grant and uplink transmission is 4 ms for LTE FDD. Also, scheduled uplink transmission should not be subject to repeated subsequent LBTs when operating in unlicensed spectrum, this could be achieved by significant reduction of the scheduling request, grant and uplink transmission delay. The delay impact of network scheduling, L2/L1 processing delay should be studied for uplink data transmission.</w:t>
      </w:r>
    </w:p>
    <w:p w:rsidR="00424DB8" w:rsidRPr="00F63C5D" w:rsidRDefault="00424DB8" w:rsidP="001E19C0">
      <w:pPr>
        <w:pStyle w:val="BodyText"/>
      </w:pPr>
      <w:r w:rsidRPr="00F63C5D">
        <w:t xml:space="preserve">LTE system has explicit feedback channel both for downlink and uplink data transmission, e.g., for downlink transmission, the ACK/NACK could be sent both on PUCCH or PUSCH, for uplink transmission, the ACK/NACK could be sent on PHICH. For LAA-LTE, currently the asynchronous HARQ is </w:t>
      </w:r>
      <w:r w:rsidR="00481B00">
        <w:t>adopted</w:t>
      </w:r>
      <w:r w:rsidRPr="00F63C5D">
        <w:t xml:space="preserve"> meaning that instead of feedback by PHICH,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nsmission may need LBT as well.</w:t>
      </w:r>
    </w:p>
    <w:p w:rsidR="00424DB8" w:rsidRPr="00F63C5D" w:rsidRDefault="00424DB8" w:rsidP="00424DB8">
      <w:pPr>
        <w:pStyle w:val="Proposal"/>
        <w:rPr>
          <w:sz w:val="22"/>
        </w:rPr>
      </w:pPr>
      <w:bookmarkStart w:id="9" w:name="_Toc458153790"/>
      <w:bookmarkStart w:id="10" w:name="_Toc458153884"/>
      <w:bookmarkStart w:id="11" w:name="_Toc458153885"/>
      <w:bookmarkEnd w:id="9"/>
      <w:bookmarkEnd w:id="10"/>
      <w:r w:rsidRPr="00F63C5D">
        <w:rPr>
          <w:sz w:val="22"/>
        </w:rPr>
        <w:t xml:space="preserve">MAC procedure and related control signal design </w:t>
      </w:r>
      <w:r w:rsidR="00B20C4A">
        <w:rPr>
          <w:sz w:val="22"/>
        </w:rPr>
        <w:t xml:space="preserve">for NR </w:t>
      </w:r>
      <w:r w:rsidRPr="00F63C5D">
        <w:rPr>
          <w:sz w:val="22"/>
        </w:rPr>
        <w:t xml:space="preserve">shall </w:t>
      </w:r>
      <w:r w:rsidR="00B20C4A">
        <w:rPr>
          <w:sz w:val="22"/>
        </w:rPr>
        <w:t xml:space="preserve">consider efficient operation </w:t>
      </w:r>
      <w:r w:rsidRPr="00F63C5D">
        <w:rPr>
          <w:sz w:val="22"/>
        </w:rPr>
        <w:t>in unlicensed spectrum.</w:t>
      </w:r>
      <w:bookmarkEnd w:id="11"/>
    </w:p>
    <w:p w:rsidR="00424DB8" w:rsidRPr="00F63C5D" w:rsidRDefault="00424DB8" w:rsidP="00424DB8">
      <w:pPr>
        <w:rPr>
          <w:sz w:val="22"/>
        </w:rPr>
      </w:pPr>
    </w:p>
    <w:p w:rsidR="00424DB8" w:rsidRPr="00F63C5D" w:rsidRDefault="00424DB8" w:rsidP="001E19C0">
      <w:pPr>
        <w:pStyle w:val="BodyText"/>
      </w:pPr>
      <w:r w:rsidRPr="00F63C5D">
        <w:t xml:space="preserve">In order to meet the regulatory requirement for </w:t>
      </w:r>
      <w:r w:rsidR="003027D1">
        <w:t>operating in</w:t>
      </w:r>
      <w:r w:rsidRPr="00F63C5D">
        <w:t xml:space="preserve"> unlicensed spectrum, e.g., occupied channel bandwidth and maximum power spectral density, the interlaced uplink transmission has been specified for LAA-LTE uplink signals with higher transmission powers when needed. For unlicensed operation in NR, multiplexing among users is still needed for small data transmission and each user may be allocated with a part of the bandwidth of one carrier. In order to fulfil the power density requirement and be able to transmit at high power to guarantee the coverage, interlaced frequency resource allocation for UL data transmission should also be considered in NR.</w:t>
      </w:r>
    </w:p>
    <w:p w:rsidR="00424DB8" w:rsidRPr="00F63C5D" w:rsidRDefault="003027D1" w:rsidP="00424DB8">
      <w:pPr>
        <w:pStyle w:val="Proposal"/>
        <w:rPr>
          <w:sz w:val="22"/>
        </w:rPr>
      </w:pPr>
      <w:bookmarkStart w:id="12" w:name="_Toc458153886"/>
      <w:r>
        <w:rPr>
          <w:sz w:val="22"/>
        </w:rPr>
        <w:t>I</w:t>
      </w:r>
      <w:r w:rsidR="00424DB8" w:rsidRPr="00F63C5D">
        <w:rPr>
          <w:sz w:val="22"/>
        </w:rPr>
        <w:t xml:space="preserve">nterlaced resource allocation in UL should be considered </w:t>
      </w:r>
      <w:r>
        <w:rPr>
          <w:sz w:val="22"/>
        </w:rPr>
        <w:t>as an option for NR</w:t>
      </w:r>
      <w:r w:rsidR="00424DB8" w:rsidRPr="00F63C5D">
        <w:rPr>
          <w:sz w:val="22"/>
        </w:rPr>
        <w:t>.</w:t>
      </w:r>
      <w:bookmarkEnd w:id="12"/>
    </w:p>
    <w:p w:rsidR="00424DB8" w:rsidRPr="00F63C5D" w:rsidRDefault="00424DB8" w:rsidP="00424DB8">
      <w:pPr>
        <w:rPr>
          <w:sz w:val="22"/>
        </w:rPr>
      </w:pPr>
    </w:p>
    <w:p w:rsidR="00424DB8" w:rsidRPr="00F63C5D" w:rsidRDefault="00424DB8" w:rsidP="001E19C0">
      <w:pPr>
        <w:pStyle w:val="BodyText"/>
      </w:pPr>
      <w:r w:rsidRPr="00F63C5D">
        <w:t xml:space="preserve">In LTE, uplink sounding reference signal (SRS) is primarily used for channel sounding to allow for frequency-selective scheduling in the uplink. The SRS is introduced as a wider band reference signal, which is typically transmitted in the last SC-FDMA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rsidR="00424DB8" w:rsidRPr="00F63C5D" w:rsidRDefault="00424DB8" w:rsidP="001E19C0">
      <w:pPr>
        <w:pStyle w:val="BodyText"/>
      </w:pPr>
      <w:r w:rsidRPr="00F63C5D">
        <w:t>In DL, CSI measurement and report are still necessary for unlicensed operation of NR, the periodic CSI measurement and report may not be always applicable considering the uncertainty of channel availability for reference signal transmission for channel measurement and the measurement report over unlicensed carrier. The CSI-RS design for CSI measurement and the mechanism for CSI report should be considered as well.</w:t>
      </w:r>
    </w:p>
    <w:p w:rsidR="00424DB8" w:rsidRPr="00F63C5D" w:rsidRDefault="00424DB8" w:rsidP="00424DB8">
      <w:pPr>
        <w:pStyle w:val="Proposal"/>
        <w:rPr>
          <w:sz w:val="22"/>
        </w:rPr>
      </w:pPr>
      <w:bookmarkStart w:id="13" w:name="_Toc458153887"/>
      <w:r w:rsidRPr="00F63C5D">
        <w:rPr>
          <w:sz w:val="22"/>
        </w:rPr>
        <w:lastRenderedPageBreak/>
        <w:t xml:space="preserve">Uplink SRS and downlink CSI-RS design and the related CSI report procedure </w:t>
      </w:r>
      <w:r w:rsidR="00637B75">
        <w:rPr>
          <w:sz w:val="22"/>
        </w:rPr>
        <w:t xml:space="preserve"> for NR should consider efficient operation in unlicensed spectrum.</w:t>
      </w:r>
      <w:bookmarkEnd w:id="13"/>
    </w:p>
    <w:p w:rsidR="00424DB8" w:rsidRDefault="00424DB8" w:rsidP="00424DB8">
      <w:pPr>
        <w:pStyle w:val="Proposal"/>
        <w:numPr>
          <w:ilvl w:val="0"/>
          <w:numId w:val="0"/>
        </w:numPr>
        <w:ind w:left="1304" w:hanging="1304"/>
      </w:pPr>
    </w:p>
    <w:p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4" w:name="_Toc458153812"/>
      <w:r>
        <w:t>Conclusion</w:t>
      </w:r>
      <w:bookmarkEnd w:id="14"/>
    </w:p>
    <w:p w:rsidR="00424DB8" w:rsidRPr="00F63C5D" w:rsidRDefault="00424DB8" w:rsidP="001E19C0">
      <w:pPr>
        <w:pStyle w:val="BodyText"/>
      </w:pPr>
      <w:r w:rsidRPr="00F63C5D">
        <w:t>In this contribution, we discussed the potential NR technology components for unlicensed operation, due to specific characteristics and regulatory requirements. Certain components are considered for unlicensed spectrum that uses LBT as the sharing mechanism.</w:t>
      </w:r>
    </w:p>
    <w:p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Pr="00F63C5D">
          <w:rPr>
            <w:rStyle w:val="Hyperlink"/>
            <w:sz w:val="22"/>
          </w:rPr>
          <w:t>.</w:t>
        </w:r>
      </w:hyperlink>
    </w:p>
    <w:p w:rsidR="00424DB8" w:rsidRPr="00F63C5D" w:rsidRDefault="005E2FC1"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424DB8" w:rsidRPr="00F63C5D">
          <w:rPr>
            <w:rStyle w:val="Hyperlink"/>
            <w:sz w:val="22"/>
          </w:rPr>
          <w:t>.</w:t>
        </w:r>
      </w:hyperlink>
    </w:p>
    <w:p w:rsidR="00424DB8" w:rsidRPr="00F63C5D" w:rsidRDefault="005E2FC1"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 physical layer design should</w:t>
        </w:r>
        <w:r w:rsidR="007F13F4">
          <w:rPr>
            <w:sz w:val="22"/>
          </w:rPr>
          <w:t xml:space="preserve"> facilitate reduction of delays related to scheduling which is beneficial for operation in both licensed and unlicensed spectrum</w:t>
        </w:r>
        <w:r w:rsidR="007F13F4" w:rsidRPr="00F63C5D">
          <w:rPr>
            <w:rStyle w:val="Hyperlink"/>
            <w:sz w:val="22"/>
          </w:rPr>
          <w:t xml:space="preserve"> </w:t>
        </w:r>
        <w:r w:rsidR="00424DB8" w:rsidRPr="00F63C5D">
          <w:rPr>
            <w:rStyle w:val="Hyperlink"/>
            <w:sz w:val="22"/>
          </w:rPr>
          <w:t>.</w:t>
        </w:r>
      </w:hyperlink>
    </w:p>
    <w:p w:rsidR="00424DB8" w:rsidRPr="00F63C5D" w:rsidRDefault="005E2FC1"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 xml:space="preserve">for NR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rsidR="00424DB8" w:rsidRPr="00F63C5D" w:rsidRDefault="005E2FC1"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424DB8" w:rsidRPr="00F63C5D">
          <w:rPr>
            <w:rStyle w:val="Hyperlink"/>
            <w:sz w:val="22"/>
          </w:rPr>
          <w:t>.</w:t>
        </w:r>
      </w:hyperlink>
    </w:p>
    <w:p w:rsidR="00424DB8" w:rsidRPr="00F63C5D" w:rsidRDefault="005E2FC1"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 should consider efficient operation in unlicensed spectrum.</w:t>
        </w:r>
        <w:r w:rsidR="00637B75" w:rsidRPr="00F63C5D">
          <w:rPr>
            <w:rStyle w:val="Hyperlink"/>
            <w:sz w:val="22"/>
          </w:rPr>
          <w:t xml:space="preserve"> </w:t>
        </w:r>
      </w:hyperlink>
    </w:p>
    <w:p w:rsidR="00424DB8" w:rsidRPr="00C77776" w:rsidRDefault="00424DB8" w:rsidP="00424DB8">
      <w:pPr>
        <w:pStyle w:val="TOC1"/>
        <w:rPr>
          <w:iCs/>
        </w:rPr>
      </w:pPr>
      <w:r w:rsidRPr="00F63C5D">
        <w:rPr>
          <w:iCs/>
          <w:sz w:val="22"/>
        </w:rPr>
        <w:fldChar w:fldCharType="end"/>
      </w:r>
    </w:p>
    <w:p w:rsidR="00424DB8" w:rsidRPr="00ED44FC" w:rsidRDefault="00424DB8" w:rsidP="00424DB8">
      <w:pPr>
        <w:pStyle w:val="Reference"/>
        <w:keepNext/>
        <w:keepLines/>
        <w:numPr>
          <w:ilvl w:val="0"/>
          <w:numId w:val="0"/>
        </w:numPr>
        <w:ind w:left="567" w:hanging="567"/>
        <w:rPr>
          <w:lang w:val="en-US"/>
        </w:rPr>
      </w:pPr>
    </w:p>
    <w:p w:rsidR="00424DB8" w:rsidRPr="00D00AE7" w:rsidRDefault="00424DB8" w:rsidP="00424DB8"/>
    <w:p w:rsidR="00022DEC" w:rsidRPr="00424DB8" w:rsidRDefault="00022DEC" w:rsidP="00424DB8">
      <w:bookmarkStart w:id="15" w:name="_GoBack"/>
      <w:bookmarkEnd w:id="15"/>
    </w:p>
    <w:sectPr w:rsidR="00022DEC" w:rsidRPr="00424DB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FC1" w:rsidRDefault="005E2FC1">
      <w:r>
        <w:separator/>
      </w:r>
    </w:p>
  </w:endnote>
  <w:endnote w:type="continuationSeparator" w:id="0">
    <w:p w:rsidR="005E2FC1" w:rsidRDefault="005E2FC1">
      <w:r>
        <w:continuationSeparator/>
      </w:r>
    </w:p>
  </w:endnote>
  <w:endnote w:type="continuationNotice" w:id="1">
    <w:p w:rsidR="005E2FC1" w:rsidRDefault="005E2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76D52">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6D52">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FC1" w:rsidRDefault="005E2FC1">
      <w:r>
        <w:separator/>
      </w:r>
    </w:p>
  </w:footnote>
  <w:footnote w:type="continuationSeparator" w:id="0">
    <w:p w:rsidR="005E2FC1" w:rsidRDefault="005E2FC1">
      <w:r>
        <w:continuationSeparator/>
      </w:r>
    </w:p>
  </w:footnote>
  <w:footnote w:type="continuationNotice" w:id="1">
    <w:p w:rsidR="005E2FC1" w:rsidRDefault="005E2F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14B33"/>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7E2EF-F430-46C0-8B8D-F6610B8B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14</cp:revision>
  <dcterms:created xsi:type="dcterms:W3CDTF">2016-09-30T10:14:00Z</dcterms:created>
  <dcterms:modified xsi:type="dcterms:W3CDTF">2016-11-05T00:53:00Z</dcterms:modified>
</cp:coreProperties>
</file>