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ADD20" w14:textId="7172E08E" w:rsidR="00533D4E" w:rsidRPr="00446F9D" w:rsidRDefault="00533D4E" w:rsidP="00533D4E">
      <w:pPr>
        <w:pStyle w:val="Header"/>
        <w:tabs>
          <w:tab w:val="clear" w:pos="4536"/>
        </w:tabs>
        <w:rPr>
          <w:i/>
        </w:rPr>
      </w:pPr>
      <w:r w:rsidRPr="00446F9D">
        <w:t>TSG-RAN WG1 #</w:t>
      </w:r>
      <w:r>
        <w:t>8</w:t>
      </w:r>
      <w:r w:rsidR="00241E0F">
        <w:t>7</w:t>
      </w:r>
      <w:r w:rsidRPr="00446F9D">
        <w:tab/>
      </w:r>
      <w:r w:rsidR="00DC3B64">
        <w:t>R1-1612773</w:t>
      </w:r>
    </w:p>
    <w:p w14:paraId="36F219B3" w14:textId="5D4FC65D" w:rsidR="00533D4E" w:rsidRPr="000833FA" w:rsidRDefault="00241E0F" w:rsidP="00533D4E">
      <w:pPr>
        <w:pStyle w:val="Header"/>
        <w:rPr>
          <w:color w:val="000000"/>
        </w:rPr>
      </w:pPr>
      <w:r>
        <w:t>Reno</w:t>
      </w:r>
      <w:r w:rsidR="00533D4E">
        <w:t>,</w:t>
      </w:r>
      <w:r>
        <w:t xml:space="preserve"> USA</w:t>
      </w:r>
      <w:r w:rsidR="00533D4E">
        <w:t>,</w:t>
      </w:r>
      <w:r>
        <w:t xml:space="preserve"> 14</w:t>
      </w:r>
      <w:r w:rsidRPr="00241E0F">
        <w:rPr>
          <w:vertAlign w:val="superscript"/>
        </w:rPr>
        <w:t>th</w:t>
      </w:r>
      <w:r>
        <w:t xml:space="preserve"> – 18</w:t>
      </w:r>
      <w:r w:rsidRPr="00241E0F">
        <w:rPr>
          <w:vertAlign w:val="superscript"/>
        </w:rPr>
        <w:t>th</w:t>
      </w:r>
      <w:r>
        <w:t xml:space="preserve"> November</w:t>
      </w:r>
      <w:r w:rsidR="00533D4E">
        <w:t xml:space="preserve"> 2016</w:t>
      </w:r>
    </w:p>
    <w:p w14:paraId="13491EB1" w14:textId="77777777" w:rsidR="00A85E54" w:rsidRPr="000833FA" w:rsidRDefault="00A85E54" w:rsidP="00A85E54">
      <w:pPr>
        <w:pStyle w:val="Header"/>
      </w:pPr>
    </w:p>
    <w:p w14:paraId="772B3A13"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505FD992" w14:textId="52C0B80A" w:rsidR="00FE5799" w:rsidRPr="004145F6" w:rsidRDefault="00FE5799" w:rsidP="00FE5799">
      <w:pPr>
        <w:pStyle w:val="Header"/>
        <w:tabs>
          <w:tab w:val="clear" w:pos="4536"/>
          <w:tab w:val="left" w:pos="1800"/>
        </w:tabs>
      </w:pPr>
      <w:r w:rsidRPr="0003368D">
        <w:t>Title:</w:t>
      </w:r>
      <w:bookmarkStart w:id="0" w:name="Title"/>
      <w:bookmarkEnd w:id="0"/>
      <w:r w:rsidRPr="0003368D">
        <w:tab/>
      </w:r>
      <w:r w:rsidR="00037C51" w:rsidRPr="004145F6">
        <w:t xml:space="preserve">On </w:t>
      </w:r>
      <w:r w:rsidR="00241E0F">
        <w:t>the Design of Dynamic</w:t>
      </w:r>
      <w:r w:rsidR="00D26287" w:rsidRPr="004145F6">
        <w:t xml:space="preserve"> TDD</w:t>
      </w:r>
    </w:p>
    <w:p w14:paraId="082A9AD2" w14:textId="5C445F97" w:rsidR="00FE5799" w:rsidRPr="004145F6" w:rsidRDefault="00FE5799" w:rsidP="00FE5799">
      <w:pPr>
        <w:pStyle w:val="Header"/>
        <w:tabs>
          <w:tab w:val="left" w:pos="1800"/>
        </w:tabs>
      </w:pPr>
      <w:r w:rsidRPr="004145F6">
        <w:t>Agenda Item:</w:t>
      </w:r>
      <w:bookmarkStart w:id="1" w:name="Source"/>
      <w:bookmarkEnd w:id="1"/>
      <w:r w:rsidRPr="004145F6">
        <w:tab/>
      </w:r>
      <w:r w:rsidR="00241E0F">
        <w:t>7.1.6.2</w:t>
      </w:r>
    </w:p>
    <w:p w14:paraId="65822987" w14:textId="77777777" w:rsidR="00FE5799" w:rsidRPr="0003368D" w:rsidRDefault="00FE5799" w:rsidP="00FE5799">
      <w:pPr>
        <w:pStyle w:val="Header"/>
        <w:tabs>
          <w:tab w:val="left" w:pos="1800"/>
        </w:tabs>
      </w:pPr>
      <w:r w:rsidRPr="004145F6">
        <w:t>Document for:</w:t>
      </w:r>
      <w:r w:rsidRPr="0003368D">
        <w:tab/>
      </w:r>
      <w:bookmarkStart w:id="2" w:name="DocumentFor"/>
      <w:bookmarkEnd w:id="2"/>
      <w:r w:rsidRPr="0003368D">
        <w:t xml:space="preserve">Discussion </w:t>
      </w:r>
      <w:r>
        <w:t>and Decision</w:t>
      </w:r>
    </w:p>
    <w:p w14:paraId="4D800592" w14:textId="77777777" w:rsidR="00FE5799" w:rsidRPr="002100D2" w:rsidRDefault="00FE5799" w:rsidP="00FE5799">
      <w:pPr>
        <w:pBdr>
          <w:bottom w:val="single" w:sz="4" w:space="1" w:color="auto"/>
        </w:pBdr>
        <w:tabs>
          <w:tab w:val="left" w:pos="2552"/>
        </w:tabs>
      </w:pPr>
    </w:p>
    <w:p w14:paraId="43629099" w14:textId="77777777" w:rsidR="00F8152C" w:rsidRDefault="00F8152C" w:rsidP="00F8152C">
      <w:pPr>
        <w:pStyle w:val="Heading1"/>
        <w:tabs>
          <w:tab w:val="clear" w:pos="4536"/>
          <w:tab w:val="num" w:pos="567"/>
        </w:tabs>
        <w:spacing w:before="180"/>
        <w:ind w:left="562" w:hanging="562"/>
      </w:pPr>
      <w:r>
        <w:t>Introduction</w:t>
      </w:r>
    </w:p>
    <w:p w14:paraId="37522043" w14:textId="79C81FE2" w:rsidR="00F8152C" w:rsidRDefault="00F8152C" w:rsidP="00F8152C">
      <w:pPr>
        <w:pStyle w:val="BodyText"/>
      </w:pPr>
      <w:r>
        <w:t xml:space="preserve">Spectrum allocations are either paired or unpaired where the former typically is exploited using FDD and the latter using TDD. </w:t>
      </w:r>
      <w:r w:rsidR="00ED7182">
        <w:t>The higher up in frequency, the likelier that the spectrum allocation is unpaired. Consequently,</w:t>
      </w:r>
      <w:r>
        <w:t xml:space="preserve"> TDD is even more important</w:t>
      </w:r>
      <w:r w:rsidR="00ED7182">
        <w:t xml:space="preserve"> for NR compared to previous </w:t>
      </w:r>
      <w:r>
        <w:t>generations, in particular for high frequencies and small-cell deployments.</w:t>
      </w:r>
    </w:p>
    <w:p w14:paraId="57582F14" w14:textId="247A1F0A" w:rsidR="00410E71" w:rsidRDefault="00410E71" w:rsidP="00F8152C">
      <w:pPr>
        <w:pStyle w:val="BodyText"/>
      </w:pPr>
      <w:r>
        <w:t>At RAN1#86, the following was agreed for NR: “</w:t>
      </w:r>
      <w:r w:rsidRPr="00410E71">
        <w:rPr>
          <w:i/>
          <w:lang w:eastAsia="ja-JP"/>
        </w:rPr>
        <w:t>It should allow TDD operation on an unpaired spectrum where the transmission direction of most time resources can be dynamically changing</w:t>
      </w:r>
      <w:r>
        <w:t>”. Furthermore, as a complement, it was agreed to “</w:t>
      </w:r>
      <w:r w:rsidRPr="00410E71">
        <w:rPr>
          <w:i/>
          <w:lang w:eastAsia="ja-JP"/>
        </w:rPr>
        <w:t xml:space="preserve">NR supports </w:t>
      </w:r>
      <w:r w:rsidRPr="00410E71">
        <w:rPr>
          <w:rFonts w:hint="eastAsia"/>
          <w:i/>
          <w:lang w:eastAsia="ja-JP"/>
        </w:rPr>
        <w:t xml:space="preserve">at least </w:t>
      </w:r>
      <w:r w:rsidRPr="00410E71">
        <w:rPr>
          <w:i/>
          <w:lang w:eastAsia="ja-JP"/>
        </w:rPr>
        <w:t>semi-statically assigned DL/UL transmission direction</w:t>
      </w:r>
      <w:r w:rsidRPr="00410E71">
        <w:rPr>
          <w:rFonts w:hint="eastAsia"/>
          <w:i/>
          <w:lang w:eastAsia="ja-JP"/>
        </w:rPr>
        <w:t xml:space="preserve"> as </w:t>
      </w:r>
      <w:proofErr w:type="spellStart"/>
      <w:r w:rsidRPr="00410E71">
        <w:rPr>
          <w:rFonts w:hint="eastAsia"/>
          <w:i/>
          <w:lang w:eastAsia="ja-JP"/>
        </w:rPr>
        <w:t>gNB</w:t>
      </w:r>
      <w:proofErr w:type="spellEnd"/>
      <w:r w:rsidRPr="00410E71">
        <w:rPr>
          <w:rFonts w:hint="eastAsia"/>
          <w:i/>
          <w:lang w:eastAsia="ja-JP"/>
        </w:rPr>
        <w:t xml:space="preserve"> operation</w:t>
      </w:r>
      <w:r>
        <w:t xml:space="preserve">”. </w:t>
      </w:r>
    </w:p>
    <w:p w14:paraId="64AC8CA5" w14:textId="77777777" w:rsidR="00F8152C" w:rsidRDefault="00F8152C" w:rsidP="00F8152C">
      <w:pPr>
        <w:pStyle w:val="Heading1"/>
        <w:tabs>
          <w:tab w:val="clear" w:pos="4536"/>
          <w:tab w:val="num" w:pos="567"/>
        </w:tabs>
        <w:ind w:left="567"/>
      </w:pPr>
      <w:r>
        <w:t>Dynamic TDD</w:t>
      </w:r>
    </w:p>
    <w:p w14:paraId="4A9C7BC5" w14:textId="77777777" w:rsidR="00F8152C" w:rsidRDefault="00F8152C" w:rsidP="00F8152C">
      <w:pPr>
        <w:pStyle w:val="BodyText"/>
      </w:pPr>
      <w:r>
        <w:t>In LTE, Frame Structure</w:t>
      </w:r>
      <w:r w:rsidR="00885518">
        <w:t xml:space="preserve"> type</w:t>
      </w:r>
      <w:r>
        <w:t xml:space="preserve"> 2 is designed with a (more or less) fixed uplink-downlink allocation that is not changed over time. This is a </w:t>
      </w:r>
      <w:r w:rsidR="00885518">
        <w:t>reasonable</w:t>
      </w:r>
      <w:r>
        <w:t xml:space="preserve"> choice for wide-area macro deployments where BS-to-BS interference is a problem. However, with an increased focus on small-cell deployments, the number of active users per cell may be small and the traffic variations larger than in a large cell. Some of the problematic interference scenarios in wide-area TDD are also less pronounced in local-area deployments. To better exploit the traffic variations, </w:t>
      </w:r>
      <w:proofErr w:type="spellStart"/>
      <w:r>
        <w:t>eIMTA</w:t>
      </w:r>
      <w:proofErr w:type="spellEnd"/>
      <w:r>
        <w:t xml:space="preserve"> was introduced to LTE. In short, the LTE design started with static TDD and later took steps in the direction of a more dynamic assignment of uplink/downlink resources.</w:t>
      </w:r>
    </w:p>
    <w:p w14:paraId="704508A2" w14:textId="381DBD48" w:rsidR="00F8152C" w:rsidRDefault="00F8152C" w:rsidP="00F8152C">
      <w:pPr>
        <w:pStyle w:val="BodyText"/>
      </w:pPr>
      <w:r>
        <w:t xml:space="preserve">For </w:t>
      </w:r>
      <w:r w:rsidR="00885518">
        <w:t>NR</w:t>
      </w:r>
      <w:r>
        <w:t xml:space="preserve">, TDD should obviously be supported. However, unlike LTE, the basis for the design should be </w:t>
      </w:r>
      <w:r>
        <w:rPr>
          <w:i/>
        </w:rPr>
        <w:t>dynamic TDD</w:t>
      </w:r>
      <w:r>
        <w:t xml:space="preserve"> where the parts of a </w:t>
      </w:r>
      <w:r w:rsidR="00AE0AF3">
        <w:t>slot</w:t>
      </w:r>
      <w:r>
        <w:t xml:space="preserve"> carrying data (or the whole </w:t>
      </w:r>
      <w:r w:rsidR="00AE0AF3">
        <w:t>slot</w:t>
      </w:r>
      <w:r>
        <w:t xml:space="preserve">) should be assignable to either uplink or downlink on a </w:t>
      </w:r>
      <w:r w:rsidRPr="00F8152C">
        <w:rPr>
          <w:i/>
        </w:rPr>
        <w:t>dynamic</w:t>
      </w:r>
      <w:r>
        <w:t xml:space="preserve"> basis under the control of the scheduler</w:t>
      </w:r>
      <w:r w:rsidR="00434901">
        <w:t xml:space="preserve"> as illustrated in </w:t>
      </w:r>
      <w:r w:rsidR="00434901">
        <w:fldChar w:fldCharType="begin"/>
      </w:r>
      <w:r w:rsidR="00434901">
        <w:instrText xml:space="preserve"> REF _Ref458431108 \h </w:instrText>
      </w:r>
      <w:r w:rsidR="00434901">
        <w:fldChar w:fldCharType="separate"/>
      </w:r>
      <w:r w:rsidR="00434901">
        <w:t xml:space="preserve">Figure </w:t>
      </w:r>
      <w:r w:rsidR="00434901">
        <w:rPr>
          <w:noProof/>
        </w:rPr>
        <w:t>1</w:t>
      </w:r>
      <w:r w:rsidR="00434901">
        <w:fldChar w:fldCharType="end"/>
      </w:r>
      <w:r>
        <w:t xml:space="preserve">. </w:t>
      </w:r>
      <w:r w:rsidR="00885518">
        <w:t xml:space="preserve">This allows better exploitation of the traffic dynamics in small-cell deployments. </w:t>
      </w:r>
      <w:r>
        <w:t>Operation in unlicensed spectrum also requires a dynamic TDD scheme; having a fixed uplink-downlink allocation is clearly inferior in this case.</w:t>
      </w:r>
      <w:r w:rsidR="00AE0AF3">
        <w:t xml:space="preserve"> The improvement in the system performance when the static TDD operation is changed to dynamic operations can be observed for at least Indoor deployments as clearly demonstrated based on the system level performance evaluations presented in our companion contributions </w:t>
      </w:r>
      <w:r w:rsidR="00241E0F">
        <w:fldChar w:fldCharType="begin"/>
      </w:r>
      <w:r w:rsidR="00241E0F">
        <w:instrText xml:space="preserve"> REF _Ref466065640 \n \h </w:instrText>
      </w:r>
      <w:r w:rsidR="00241E0F">
        <w:fldChar w:fldCharType="separate"/>
      </w:r>
      <w:r w:rsidR="00241E0F">
        <w:t>[2]</w:t>
      </w:r>
      <w:r w:rsidR="00241E0F">
        <w:fldChar w:fldCharType="end"/>
      </w:r>
      <w:r w:rsidR="00241E0F">
        <w:fldChar w:fldCharType="begin"/>
      </w:r>
      <w:r w:rsidR="00241E0F">
        <w:instrText xml:space="preserve"> REF _Ref466065643 \n \h </w:instrText>
      </w:r>
      <w:r w:rsidR="00241E0F">
        <w:fldChar w:fldCharType="separate"/>
      </w:r>
      <w:r w:rsidR="00241E0F">
        <w:t>[3]</w:t>
      </w:r>
      <w:r w:rsidR="00241E0F">
        <w:fldChar w:fldCharType="end"/>
      </w:r>
      <w:r w:rsidR="00AE0AF3">
        <w:t>.</w:t>
      </w:r>
    </w:p>
    <w:p w14:paraId="6138A010" w14:textId="77777777" w:rsidR="00410E71" w:rsidRDefault="00885518" w:rsidP="00885518">
      <w:pPr>
        <w:pStyle w:val="BodyText"/>
      </w:pPr>
      <w:r>
        <w:t>Dynamic signaling of the transmission direction does not require any specific means. The UE simply follows the scheduling assignments and grants received from the scheduler. If a downlink assignment is received for a certain time interval</w:t>
      </w:r>
      <w:r w:rsidR="00410E71">
        <w:t xml:space="preserve"> (e.g. a slot)</w:t>
      </w:r>
      <w:r>
        <w:t xml:space="preserve">, the UE receives and processes the downlink data. Similarly, if an uplink grant is received, instructing the UE to transmit in a certain time interval, the UE does so. Indicating the transmission direction on a frame basis, as is the case for </w:t>
      </w:r>
      <w:proofErr w:type="spellStart"/>
      <w:r>
        <w:t>eIMTA</w:t>
      </w:r>
      <w:proofErr w:type="spellEnd"/>
      <w:r>
        <w:t xml:space="preserve">, </w:t>
      </w:r>
    </w:p>
    <w:p w14:paraId="79146C29" w14:textId="77777777" w:rsidR="00410E71" w:rsidRDefault="00885518" w:rsidP="00410E71">
      <w:pPr>
        <w:pStyle w:val="BodyText"/>
        <w:numPr>
          <w:ilvl w:val="0"/>
          <w:numId w:val="13"/>
        </w:numPr>
      </w:pPr>
      <w:r>
        <w:t xml:space="preserve">results in a slower adaptation to traffic variations, </w:t>
      </w:r>
    </w:p>
    <w:p w14:paraId="01A98970" w14:textId="77777777" w:rsidR="00410E71" w:rsidRDefault="00885518" w:rsidP="00410E71">
      <w:pPr>
        <w:pStyle w:val="BodyText"/>
        <w:numPr>
          <w:ilvl w:val="0"/>
          <w:numId w:val="13"/>
        </w:numPr>
      </w:pPr>
      <w:r>
        <w:t xml:space="preserve">is inferior to a fully dynamic scheme, and </w:t>
      </w:r>
    </w:p>
    <w:p w14:paraId="2369276A" w14:textId="51562A14" w:rsidR="00885518" w:rsidRDefault="00885518" w:rsidP="00410E71">
      <w:pPr>
        <w:pStyle w:val="BodyText"/>
        <w:numPr>
          <w:ilvl w:val="0"/>
          <w:numId w:val="13"/>
        </w:numPr>
      </w:pPr>
      <w:r>
        <w:t>not a suitable</w:t>
      </w:r>
      <w:r w:rsidR="00410E71">
        <w:t xml:space="preserve"> choice for unlicensed spectrum.</w:t>
      </w:r>
    </w:p>
    <w:p w14:paraId="71991B8D" w14:textId="3FF1E274" w:rsidR="00410E71" w:rsidRDefault="00410E71" w:rsidP="00410E71">
      <w:pPr>
        <w:pStyle w:val="BodyText"/>
      </w:pPr>
      <w:r>
        <w:t>Thus, it is important to already in the first release of NR support a fully dynamic scheme in order not to restrict future compatibility in later releases.</w:t>
      </w:r>
    </w:p>
    <w:p w14:paraId="41BF2F61" w14:textId="178E8D1F" w:rsidR="00410E71" w:rsidRDefault="00F8152C" w:rsidP="00F8152C">
      <w:pPr>
        <w:pStyle w:val="BodyText"/>
      </w:pPr>
      <w:r>
        <w:t>Clearly, dynamic assignment of the transmission direction is not relevant in all deployments, but in those cases the scheduling flexibility can be restricted as part of the implementation</w:t>
      </w:r>
      <w:r w:rsidR="00533D4E">
        <w:t>, possibly aided with various X2-like coordination messages</w:t>
      </w:r>
      <w:r>
        <w:t xml:space="preserve">. </w:t>
      </w:r>
      <w:r w:rsidR="00410E71">
        <w:t>One example hereof is a macro TDD network with above-rooftop antennas where the inter-cell interference can be significant. This is also one of the scenarios where the complementary statement “</w:t>
      </w:r>
      <w:r w:rsidR="00410E71" w:rsidRPr="00410E71">
        <w:rPr>
          <w:i/>
          <w:lang w:eastAsia="ja-JP"/>
        </w:rPr>
        <w:t xml:space="preserve">NR supports </w:t>
      </w:r>
      <w:r w:rsidR="00410E71" w:rsidRPr="00410E71">
        <w:rPr>
          <w:rFonts w:hint="eastAsia"/>
          <w:i/>
          <w:lang w:eastAsia="ja-JP"/>
        </w:rPr>
        <w:t xml:space="preserve">at least </w:t>
      </w:r>
      <w:r w:rsidR="00410E71" w:rsidRPr="00410E71">
        <w:rPr>
          <w:i/>
          <w:lang w:eastAsia="ja-JP"/>
        </w:rPr>
        <w:t>semi-statically assigned DL/UL transmission direction</w:t>
      </w:r>
      <w:r w:rsidR="00410E71" w:rsidRPr="00410E71">
        <w:rPr>
          <w:rFonts w:hint="eastAsia"/>
          <w:i/>
          <w:lang w:eastAsia="ja-JP"/>
        </w:rPr>
        <w:t xml:space="preserve"> as </w:t>
      </w:r>
      <w:proofErr w:type="spellStart"/>
      <w:r w:rsidR="00410E71" w:rsidRPr="00410E71">
        <w:rPr>
          <w:rFonts w:hint="eastAsia"/>
          <w:i/>
          <w:lang w:eastAsia="ja-JP"/>
        </w:rPr>
        <w:t>gNB</w:t>
      </w:r>
      <w:proofErr w:type="spellEnd"/>
      <w:r w:rsidR="00410E71" w:rsidRPr="00410E71">
        <w:rPr>
          <w:rFonts w:hint="eastAsia"/>
          <w:i/>
          <w:lang w:eastAsia="ja-JP"/>
        </w:rPr>
        <w:t xml:space="preserve"> operation</w:t>
      </w:r>
      <w:r w:rsidR="00410E71">
        <w:t>”</w:t>
      </w:r>
      <w:r w:rsidR="00533D4E">
        <w:t xml:space="preserve"> makes sense. </w:t>
      </w:r>
      <w:r w:rsidR="00410E71">
        <w:t xml:space="preserve">On the other hand, in many </w:t>
      </w:r>
      <w:r w:rsidR="00533D4E">
        <w:t xml:space="preserve">high-carrier frequency deployments, and </w:t>
      </w:r>
      <w:r w:rsidR="00410E71">
        <w:t xml:space="preserve">indoor </w:t>
      </w:r>
      <w:r w:rsidR="00533D4E">
        <w:t xml:space="preserve">and hot-spot </w:t>
      </w:r>
      <w:r w:rsidR="00410E71">
        <w:t>scenarios with below-rooftop antennas the isolation is sufficient to allow for dynamic TDD operation.</w:t>
      </w:r>
      <w:r w:rsidR="00533D4E">
        <w:t xml:space="preserve"> Operation in unlicensed spectrum is another example where there is no coordination of the interference between nodes and a dynamic scheme is suitable.</w:t>
      </w:r>
    </w:p>
    <w:p w14:paraId="1419CB07" w14:textId="6DEC9C12" w:rsidR="00F8152C" w:rsidRPr="00241E0F" w:rsidRDefault="00885518" w:rsidP="00F8152C">
      <w:pPr>
        <w:pStyle w:val="BodyText"/>
        <w:rPr>
          <w:b/>
        </w:rPr>
      </w:pPr>
      <w:r w:rsidRPr="00241E0F">
        <w:rPr>
          <w:b/>
        </w:rPr>
        <w:t xml:space="preserve"> </w:t>
      </w:r>
    </w:p>
    <w:p w14:paraId="298E30C0" w14:textId="77777777" w:rsidR="0076283C" w:rsidRDefault="0076283C" w:rsidP="0076283C">
      <w:pPr>
        <w:pStyle w:val="BodyText"/>
      </w:pPr>
    </w:p>
    <w:p w14:paraId="3C8E83E4" w14:textId="3958CFFB" w:rsidR="00434901" w:rsidRDefault="007B02B5" w:rsidP="00241E0F">
      <w:pPr>
        <w:pStyle w:val="BodyText"/>
        <w:keepNext/>
        <w:jc w:val="center"/>
      </w:pPr>
      <w:r w:rsidRPr="007B02B5">
        <w:rPr>
          <w:noProof/>
        </w:rPr>
        <w:drawing>
          <wp:inline distT="0" distB="0" distL="0" distR="0" wp14:anchorId="01F49950" wp14:editId="2091CB79">
            <wp:extent cx="4029075" cy="178117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9075" cy="1781175"/>
                    </a:xfrm>
                    <a:prstGeom prst="rect">
                      <a:avLst/>
                    </a:prstGeom>
                    <a:noFill/>
                    <a:ln>
                      <a:noFill/>
                    </a:ln>
                  </pic:spPr>
                </pic:pic>
              </a:graphicData>
            </a:graphic>
          </wp:inline>
        </w:drawing>
      </w:r>
    </w:p>
    <w:p w14:paraId="42668C15" w14:textId="1F2FA497" w:rsidR="00885518" w:rsidRDefault="00434901" w:rsidP="00241E0F">
      <w:pPr>
        <w:pStyle w:val="Caption"/>
        <w:jc w:val="center"/>
      </w:pPr>
      <w:bookmarkStart w:id="3" w:name="_Ref458431108"/>
      <w:r>
        <w:t xml:space="preserve">Figure </w:t>
      </w:r>
      <w:r>
        <w:fldChar w:fldCharType="begin"/>
      </w:r>
      <w:r>
        <w:instrText xml:space="preserve"> SEQ Figure \* ARABIC </w:instrText>
      </w:r>
      <w:r>
        <w:fldChar w:fldCharType="separate"/>
      </w:r>
      <w:r>
        <w:rPr>
          <w:noProof/>
        </w:rPr>
        <w:t>1</w:t>
      </w:r>
      <w:r>
        <w:fldChar w:fldCharType="end"/>
      </w:r>
      <w:bookmarkEnd w:id="3"/>
      <w:r>
        <w:t>: Dynamic TDD.</w:t>
      </w:r>
    </w:p>
    <w:p w14:paraId="7318DBB1" w14:textId="77777777" w:rsidR="00F8152C" w:rsidRDefault="00F8152C" w:rsidP="00F8152C">
      <w:pPr>
        <w:pStyle w:val="Heading1"/>
        <w:tabs>
          <w:tab w:val="clear" w:pos="4536"/>
          <w:tab w:val="num" w:pos="567"/>
        </w:tabs>
        <w:ind w:left="567"/>
      </w:pPr>
      <w:r>
        <w:t>Conclusion</w:t>
      </w:r>
    </w:p>
    <w:p w14:paraId="1BB0FBE1" w14:textId="77777777" w:rsidR="00885518" w:rsidRPr="00885518" w:rsidRDefault="00F8152C" w:rsidP="00885518">
      <w:pPr>
        <w:pStyle w:val="BodyText"/>
        <w:numPr>
          <w:ilvl w:val="0"/>
          <w:numId w:val="12"/>
        </w:numPr>
      </w:pPr>
      <w:r w:rsidRPr="00885518">
        <w:t xml:space="preserve">TDD operation should be based on </w:t>
      </w:r>
      <w:r w:rsidRPr="00885518">
        <w:rPr>
          <w:i/>
        </w:rPr>
        <w:t>dynamic TDD</w:t>
      </w:r>
    </w:p>
    <w:p w14:paraId="6FBBB3D6" w14:textId="22007189" w:rsidR="00F8152C" w:rsidRDefault="00F8152C" w:rsidP="00885518">
      <w:pPr>
        <w:pStyle w:val="BodyText"/>
        <w:numPr>
          <w:ilvl w:val="1"/>
          <w:numId w:val="12"/>
        </w:numPr>
      </w:pPr>
      <w:r w:rsidRPr="00885518">
        <w:t xml:space="preserve">the parts of a </w:t>
      </w:r>
      <w:r w:rsidR="00410E71">
        <w:t>slot</w:t>
      </w:r>
      <w:r w:rsidRPr="00885518">
        <w:t xml:space="preserve"> carrying data can be dynamically assigned to uplink or downlink as part of the </w:t>
      </w:r>
      <w:r w:rsidR="00885518">
        <w:t>dynamic scheduling decision</w:t>
      </w:r>
      <w:r w:rsidR="004145F6">
        <w:t>s</w:t>
      </w:r>
    </w:p>
    <w:p w14:paraId="06104673" w14:textId="5D92FA96" w:rsidR="00410E71" w:rsidRDefault="00410E71" w:rsidP="00885518">
      <w:pPr>
        <w:pStyle w:val="BodyText"/>
        <w:numPr>
          <w:ilvl w:val="1"/>
          <w:numId w:val="12"/>
        </w:numPr>
      </w:pPr>
      <w:r>
        <w:t>the transmission direction can be changed on a per-slot basis</w:t>
      </w:r>
    </w:p>
    <w:p w14:paraId="2D4FED9D" w14:textId="52C8AA03" w:rsidR="00410E71" w:rsidRDefault="00885518" w:rsidP="00410E71">
      <w:pPr>
        <w:pStyle w:val="BodyText"/>
        <w:numPr>
          <w:ilvl w:val="1"/>
          <w:numId w:val="12"/>
        </w:numPr>
      </w:pPr>
      <w:r>
        <w:t>as a baseline the UE follows the scheduling grants/scheduling assignments provided as part of the DCI and no additional signaling is needed</w:t>
      </w:r>
    </w:p>
    <w:p w14:paraId="772F276D" w14:textId="777BF769" w:rsidR="00533D4E" w:rsidRDefault="00533D4E" w:rsidP="00533D4E">
      <w:pPr>
        <w:pStyle w:val="BodyText"/>
        <w:numPr>
          <w:ilvl w:val="0"/>
          <w:numId w:val="12"/>
        </w:numPr>
      </w:pPr>
      <w:r>
        <w:t>Dynamic TDD needs to be part of the first NR release in order not to limit forward compatibility and support for unlicensed spectrum</w:t>
      </w:r>
    </w:p>
    <w:p w14:paraId="0515B3AB" w14:textId="77777777" w:rsidR="00885518" w:rsidRDefault="00885518" w:rsidP="00885518">
      <w:pPr>
        <w:pStyle w:val="Heading1"/>
        <w:spacing w:before="180"/>
        <w:ind w:left="562" w:hanging="562"/>
      </w:pPr>
      <w:r>
        <w:t>References</w:t>
      </w:r>
    </w:p>
    <w:p w14:paraId="2C9A5C06" w14:textId="6614582B" w:rsidR="00885518" w:rsidRPr="00241E0F" w:rsidRDefault="00885518" w:rsidP="00885518">
      <w:pPr>
        <w:numPr>
          <w:ilvl w:val="0"/>
          <w:numId w:val="2"/>
        </w:numPr>
        <w:jc w:val="both"/>
        <w:rPr>
          <w:szCs w:val="20"/>
          <w:lang w:val="it-IT"/>
        </w:rPr>
      </w:pPr>
      <w:bookmarkStart w:id="4" w:name="_Ref445818173"/>
      <w:bookmarkStart w:id="5" w:name="_Ref449604093"/>
      <w:r>
        <w:t>R1-</w:t>
      </w:r>
      <w:r w:rsidR="004145F6">
        <w:t>167047</w:t>
      </w:r>
      <w:r>
        <w:t>,</w:t>
      </w:r>
      <w:r w:rsidR="00241E0F">
        <w:t xml:space="preserve"> </w:t>
      </w:r>
      <w:bookmarkEnd w:id="4"/>
      <w:r>
        <w:t>“</w:t>
      </w:r>
      <w:r w:rsidRPr="00885518">
        <w:t>On smallest schedulable unit</w:t>
      </w:r>
      <w:r>
        <w:t>”, Ericsson</w:t>
      </w:r>
      <w:bookmarkEnd w:id="5"/>
    </w:p>
    <w:p w14:paraId="48D6C126" w14:textId="77777777" w:rsidR="007F68F3" w:rsidRDefault="00241E0F" w:rsidP="007F68F3">
      <w:pPr>
        <w:pStyle w:val="Reference"/>
        <w:numPr>
          <w:ilvl w:val="0"/>
          <w:numId w:val="2"/>
        </w:numPr>
        <w:rPr>
          <w:sz w:val="20"/>
        </w:rPr>
      </w:pPr>
      <w:bookmarkStart w:id="6" w:name="_Ref466065640"/>
      <w:r w:rsidRPr="00241E0F">
        <w:rPr>
          <w:sz w:val="20"/>
        </w:rPr>
        <w:t>R1-1612770,</w:t>
      </w:r>
      <w:r w:rsidRPr="00241E0F">
        <w:rPr>
          <w:sz w:val="20"/>
        </w:rPr>
        <w:tab/>
      </w:r>
      <w:r>
        <w:rPr>
          <w:sz w:val="20"/>
        </w:rPr>
        <w:t>“</w:t>
      </w:r>
      <w:r w:rsidRPr="00241E0F">
        <w:rPr>
          <w:sz w:val="20"/>
        </w:rPr>
        <w:t>Performance of Dynamic TDD for 4 GHz</w:t>
      </w:r>
      <w:r>
        <w:rPr>
          <w:sz w:val="20"/>
        </w:rPr>
        <w:t>”</w:t>
      </w:r>
      <w:r w:rsidRPr="00241E0F">
        <w:rPr>
          <w:sz w:val="20"/>
        </w:rPr>
        <w:t>, Ericsson</w:t>
      </w:r>
      <w:bookmarkStart w:id="7" w:name="_Ref466065643"/>
      <w:bookmarkEnd w:id="6"/>
    </w:p>
    <w:p w14:paraId="60B32F33" w14:textId="34FF7FCE" w:rsidR="00241E0F" w:rsidRPr="007F68F3" w:rsidRDefault="00241E0F" w:rsidP="007F68F3">
      <w:pPr>
        <w:pStyle w:val="Reference"/>
        <w:numPr>
          <w:ilvl w:val="0"/>
          <w:numId w:val="2"/>
        </w:numPr>
        <w:rPr>
          <w:sz w:val="20"/>
        </w:rPr>
      </w:pPr>
      <w:bookmarkStart w:id="8" w:name="_GoBack"/>
      <w:bookmarkEnd w:id="8"/>
      <w:r w:rsidRPr="007F68F3">
        <w:rPr>
          <w:sz w:val="20"/>
        </w:rPr>
        <w:t>R1-1612771,</w:t>
      </w:r>
      <w:r w:rsidRPr="007F68F3">
        <w:rPr>
          <w:sz w:val="20"/>
        </w:rPr>
        <w:tab/>
        <w:t>“Performance of Dynamic TDD for 30 GHz”, Ericsson</w:t>
      </w:r>
      <w:bookmarkEnd w:id="7"/>
    </w:p>
    <w:p w14:paraId="38C90ECC" w14:textId="77777777" w:rsidR="00F8152C" w:rsidRPr="00885518" w:rsidRDefault="00F8152C" w:rsidP="00F8152C">
      <w:pPr>
        <w:pStyle w:val="BodyText"/>
        <w:rPr>
          <w:b/>
          <w:lang w:val="it-IT"/>
        </w:rPr>
      </w:pPr>
    </w:p>
    <w:sectPr w:rsidR="00F8152C" w:rsidRPr="0088551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1AB52" w14:textId="77777777" w:rsidR="000D7BB5" w:rsidRDefault="000D7BB5">
      <w:r>
        <w:separator/>
      </w:r>
    </w:p>
  </w:endnote>
  <w:endnote w:type="continuationSeparator" w:id="0">
    <w:p w14:paraId="34366B88" w14:textId="77777777" w:rsidR="000D7BB5" w:rsidRDefault="000D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83826" w14:textId="77777777" w:rsidR="00290099" w:rsidRDefault="002900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996BC" w14:textId="77777777" w:rsidR="00290099" w:rsidRDefault="002900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8DDAB" w14:textId="77777777" w:rsidR="00290099" w:rsidRDefault="002900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F8F92" w14:textId="77777777" w:rsidR="000D7BB5" w:rsidRDefault="000D7BB5">
      <w:r>
        <w:separator/>
      </w:r>
    </w:p>
  </w:footnote>
  <w:footnote w:type="continuationSeparator" w:id="0">
    <w:p w14:paraId="0D625E29" w14:textId="77777777" w:rsidR="000D7BB5" w:rsidRDefault="000D7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1E939" w14:textId="77777777" w:rsidR="00290099" w:rsidRDefault="002900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0F54F" w14:textId="77777777" w:rsidR="004D4F57" w:rsidRDefault="000D7BB5" w:rsidP="00A61E6C">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033FB" w14:textId="77777777" w:rsidR="00290099" w:rsidRDefault="002900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F07DC"/>
    <w:multiLevelType w:val="hybridMultilevel"/>
    <w:tmpl w:val="477817B0"/>
    <w:lvl w:ilvl="0" w:tplc="2C32E7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5723DC6"/>
    <w:multiLevelType w:val="hybridMultilevel"/>
    <w:tmpl w:val="F25C47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F0F0514"/>
    <w:multiLevelType w:val="hybridMultilevel"/>
    <w:tmpl w:val="9D487942"/>
    <w:lvl w:ilvl="0" w:tplc="FDE6EFCA">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9EF25F7"/>
    <w:multiLevelType w:val="hybridMultilevel"/>
    <w:tmpl w:val="52ECA7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F00CFE"/>
    <w:multiLevelType w:val="hybridMultilevel"/>
    <w:tmpl w:val="5772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6036A4"/>
    <w:multiLevelType w:val="hybridMultilevel"/>
    <w:tmpl w:val="EE168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907D3F"/>
    <w:multiLevelType w:val="hybridMultilevel"/>
    <w:tmpl w:val="5E80C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6907192"/>
    <w:multiLevelType w:val="hybridMultilevel"/>
    <w:tmpl w:val="664CE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5"/>
  </w:num>
  <w:num w:numId="3">
    <w:abstractNumId w:val="2"/>
  </w:num>
  <w:num w:numId="4">
    <w:abstractNumId w:val="7"/>
  </w:num>
  <w:num w:numId="5">
    <w:abstractNumId w:val="4"/>
  </w:num>
  <w:num w:numId="6">
    <w:abstractNumId w:val="1"/>
  </w:num>
  <w:num w:numId="7">
    <w:abstractNumId w:val="14"/>
  </w:num>
  <w:num w:numId="8">
    <w:abstractNumId w:val="15"/>
  </w:num>
  <w:num w:numId="9">
    <w:abstractNumId w:val="13"/>
  </w:num>
  <w:num w:numId="10">
    <w:abstractNumId w:val="12"/>
  </w:num>
  <w:num w:numId="11">
    <w:abstractNumId w:val="6"/>
  </w:num>
  <w:num w:numId="12">
    <w:abstractNumId w:val="8"/>
  </w:num>
  <w:num w:numId="13">
    <w:abstractNumId w:val="11"/>
  </w:num>
  <w:num w:numId="14">
    <w:abstractNumId w:val="10"/>
  </w:num>
  <w:num w:numId="15">
    <w:abstractNumId w:val="0"/>
  </w:num>
  <w:num w:numId="16">
    <w:abstractNumId w:val="3"/>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55CE2"/>
    <w:rsid w:val="00073377"/>
    <w:rsid w:val="00095971"/>
    <w:rsid w:val="000A258F"/>
    <w:rsid w:val="000B437D"/>
    <w:rsid w:val="000D7BB5"/>
    <w:rsid w:val="000F4AF3"/>
    <w:rsid w:val="00112E18"/>
    <w:rsid w:val="00114B6A"/>
    <w:rsid w:val="0012154B"/>
    <w:rsid w:val="00141448"/>
    <w:rsid w:val="00175D32"/>
    <w:rsid w:val="0017779E"/>
    <w:rsid w:val="00195FDC"/>
    <w:rsid w:val="001F4E91"/>
    <w:rsid w:val="0021013F"/>
    <w:rsid w:val="00241E0F"/>
    <w:rsid w:val="00290099"/>
    <w:rsid w:val="00330CAA"/>
    <w:rsid w:val="00377B9E"/>
    <w:rsid w:val="003875A3"/>
    <w:rsid w:val="003D24B3"/>
    <w:rsid w:val="00410E71"/>
    <w:rsid w:val="004145F6"/>
    <w:rsid w:val="00422F7B"/>
    <w:rsid w:val="00434901"/>
    <w:rsid w:val="00463305"/>
    <w:rsid w:val="004B57FD"/>
    <w:rsid w:val="004C6604"/>
    <w:rsid w:val="004F3A03"/>
    <w:rsid w:val="00505D01"/>
    <w:rsid w:val="00533D4E"/>
    <w:rsid w:val="0054011B"/>
    <w:rsid w:val="0055264E"/>
    <w:rsid w:val="0058278C"/>
    <w:rsid w:val="005C439D"/>
    <w:rsid w:val="005E7C40"/>
    <w:rsid w:val="005F28E5"/>
    <w:rsid w:val="0061336B"/>
    <w:rsid w:val="006A286A"/>
    <w:rsid w:val="006B427E"/>
    <w:rsid w:val="00730F85"/>
    <w:rsid w:val="0075384C"/>
    <w:rsid w:val="0076283C"/>
    <w:rsid w:val="007A01C0"/>
    <w:rsid w:val="007A7B94"/>
    <w:rsid w:val="007B02B5"/>
    <w:rsid w:val="007F68F3"/>
    <w:rsid w:val="00834DE7"/>
    <w:rsid w:val="00835FF4"/>
    <w:rsid w:val="00885518"/>
    <w:rsid w:val="00886EDA"/>
    <w:rsid w:val="008B23D4"/>
    <w:rsid w:val="009071AA"/>
    <w:rsid w:val="00976FA0"/>
    <w:rsid w:val="009A6BB8"/>
    <w:rsid w:val="009B2E48"/>
    <w:rsid w:val="00A47015"/>
    <w:rsid w:val="00A56C16"/>
    <w:rsid w:val="00A81AA1"/>
    <w:rsid w:val="00A85E54"/>
    <w:rsid w:val="00AA13EF"/>
    <w:rsid w:val="00AE0AF3"/>
    <w:rsid w:val="00B368D9"/>
    <w:rsid w:val="00B43BA0"/>
    <w:rsid w:val="00B82692"/>
    <w:rsid w:val="00B96B6C"/>
    <w:rsid w:val="00BA2CDD"/>
    <w:rsid w:val="00BA6E8E"/>
    <w:rsid w:val="00BA76BC"/>
    <w:rsid w:val="00BA7827"/>
    <w:rsid w:val="00BE297B"/>
    <w:rsid w:val="00C11DBF"/>
    <w:rsid w:val="00C1560A"/>
    <w:rsid w:val="00C301FB"/>
    <w:rsid w:val="00C326A6"/>
    <w:rsid w:val="00C61496"/>
    <w:rsid w:val="00C75368"/>
    <w:rsid w:val="00C93774"/>
    <w:rsid w:val="00CA6DE0"/>
    <w:rsid w:val="00CE28B2"/>
    <w:rsid w:val="00CF2225"/>
    <w:rsid w:val="00CF67BE"/>
    <w:rsid w:val="00D02349"/>
    <w:rsid w:val="00D03119"/>
    <w:rsid w:val="00D04257"/>
    <w:rsid w:val="00D26287"/>
    <w:rsid w:val="00DA110D"/>
    <w:rsid w:val="00DB4258"/>
    <w:rsid w:val="00DC3B64"/>
    <w:rsid w:val="00DE3421"/>
    <w:rsid w:val="00E52743"/>
    <w:rsid w:val="00E63D88"/>
    <w:rsid w:val="00EC6CA5"/>
    <w:rsid w:val="00ED7182"/>
    <w:rsid w:val="00F05138"/>
    <w:rsid w:val="00F12FF2"/>
    <w:rsid w:val="00F23A08"/>
    <w:rsid w:val="00F2784A"/>
    <w:rsid w:val="00F37D49"/>
    <w:rsid w:val="00F621B3"/>
    <w:rsid w:val="00F8152C"/>
    <w:rsid w:val="00F95B01"/>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6FD51"/>
  <w15:docId w15:val="{B48597F9-67E3-4646-B652-9585F6B7E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paragraph" w:customStyle="1" w:styleId="Reference">
    <w:name w:val="Reference"/>
    <w:basedOn w:val="Normal"/>
    <w:rsid w:val="00241E0F"/>
    <w:pPr>
      <w:numPr>
        <w:numId w:val="17"/>
      </w:numPr>
      <w:tabs>
        <w:tab w:val="left" w:pos="1701"/>
      </w:tabs>
      <w:spacing w:after="120"/>
    </w:pPr>
    <w:rPr>
      <w:rFonts w:eastAsia="MS Mincho"/>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ED45B-4798-416B-A23F-586D53916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Ericsson 1</cp:lastModifiedBy>
  <cp:revision>2</cp:revision>
  <dcterms:created xsi:type="dcterms:W3CDTF">2016-11-05T02:29:00Z</dcterms:created>
  <dcterms:modified xsi:type="dcterms:W3CDTF">2016-11-05T02:29:00Z</dcterms:modified>
</cp:coreProperties>
</file>