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46749C2"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575E09">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FE69CF" w:rsidRPr="00961A61">
        <w:rPr>
          <w:rFonts w:ascii="Arial" w:hAnsi="Arial" w:cs="Arial"/>
          <w:b/>
          <w:sz w:val="24"/>
          <w:szCs w:val="24"/>
        </w:rPr>
        <w:t>1</w:t>
      </w:r>
      <w:r w:rsidR="00FE69CF">
        <w:rPr>
          <w:rFonts w:ascii="Arial" w:hAnsi="Arial" w:cs="Arial"/>
          <w:b/>
          <w:sz w:val="24"/>
          <w:szCs w:val="24"/>
        </w:rPr>
        <w:t>612063</w:t>
      </w:r>
    </w:p>
    <w:p w14:paraId="43B7F879" w14:textId="311A507E" w:rsidR="00D1303E" w:rsidRPr="00FD021C" w:rsidRDefault="00F15CF3" w:rsidP="00D1303E">
      <w:pPr>
        <w:tabs>
          <w:tab w:val="right" w:pos="9630"/>
        </w:tabs>
        <w:spacing w:after="0"/>
        <w:jc w:val="both"/>
        <w:rPr>
          <w:rFonts w:ascii="Arial" w:hAnsi="Arial" w:cs="Arial"/>
          <w:b/>
          <w:sz w:val="24"/>
          <w:szCs w:val="24"/>
        </w:rPr>
      </w:pPr>
      <w:r>
        <w:rPr>
          <w:rFonts w:ascii="Arial" w:hAnsi="Arial" w:cs="Arial"/>
          <w:b/>
          <w:sz w:val="24"/>
          <w:szCs w:val="24"/>
        </w:rPr>
        <w:t>1</w:t>
      </w:r>
      <w:r w:rsidR="00575E09">
        <w:rPr>
          <w:rFonts w:ascii="Arial" w:hAnsi="Arial" w:cs="Arial"/>
          <w:b/>
          <w:sz w:val="24"/>
          <w:szCs w:val="24"/>
        </w:rPr>
        <w:t>4</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1</w:t>
      </w:r>
      <w:r w:rsidR="00575E09">
        <w:rPr>
          <w:rFonts w:ascii="Arial" w:hAnsi="Arial" w:cs="Arial"/>
          <w:b/>
          <w:sz w:val="24"/>
          <w:szCs w:val="24"/>
        </w:rPr>
        <w:t>8</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575E09">
        <w:rPr>
          <w:rFonts w:ascii="Arial" w:hAnsi="Arial" w:cs="Arial"/>
          <w:b/>
          <w:sz w:val="24"/>
          <w:szCs w:val="24"/>
        </w:rPr>
        <w:t>November</w:t>
      </w:r>
      <w:r w:rsidR="00CA6BDF">
        <w:rPr>
          <w:rFonts w:ascii="Arial" w:hAnsi="Arial" w:cs="Arial"/>
          <w:b/>
          <w:sz w:val="24"/>
          <w:szCs w:val="24"/>
        </w:rPr>
        <w:t xml:space="preserve"> 2016</w:t>
      </w:r>
    </w:p>
    <w:p w14:paraId="43B7F87A" w14:textId="558CE6CB" w:rsidR="00D1303E" w:rsidRPr="00FD021C" w:rsidRDefault="00575E09" w:rsidP="00D1303E">
      <w:pPr>
        <w:spacing w:after="0"/>
        <w:jc w:val="both"/>
        <w:rPr>
          <w:rFonts w:ascii="Arial" w:hAnsi="Arial" w:cs="Arial"/>
          <w:b/>
          <w:sz w:val="24"/>
          <w:szCs w:val="24"/>
        </w:rPr>
      </w:pPr>
      <w:r>
        <w:rPr>
          <w:rFonts w:ascii="Arial" w:hAnsi="Arial" w:cs="Arial"/>
          <w:b/>
          <w:sz w:val="24"/>
          <w:szCs w:val="24"/>
        </w:rPr>
        <w:t>Reno, Nevada, USA</w:t>
      </w:r>
    </w:p>
    <w:p w14:paraId="43B7F87B" w14:textId="77777777" w:rsidR="0068226B" w:rsidRPr="000A64D8" w:rsidRDefault="0068226B" w:rsidP="00480B03">
      <w:pPr>
        <w:pStyle w:val="Footer"/>
        <w:jc w:val="both"/>
        <w:rPr>
          <w:noProof w:val="0"/>
        </w:rPr>
      </w:pPr>
    </w:p>
    <w:p w14:paraId="43B7F87C" w14:textId="3985871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E69CF">
        <w:rPr>
          <w:rFonts w:ascii="Arial" w:hAnsi="Arial"/>
          <w:sz w:val="24"/>
        </w:rPr>
        <w:t>7.1.4.1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1DF0286" w:rsidR="00C10599" w:rsidRPr="002B48E2"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B48E2">
        <w:rPr>
          <w:rFonts w:ascii="Arial" w:hAnsi="Arial"/>
          <w:sz w:val="24"/>
          <w:szCs w:val="24"/>
        </w:rPr>
        <w:t>Single-part/Multi-part PDCCH</w:t>
      </w:r>
      <w:bookmarkStart w:id="1" w:name="_GoBack"/>
      <w:bookmarkEnd w:id="1"/>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ADE699D" w14:textId="31D4C931" w:rsidR="0044173B" w:rsidRDefault="00636709" w:rsidP="004503F9">
      <w:pPr>
        <w:jc w:val="both"/>
        <w:rPr>
          <w:szCs w:val="22"/>
        </w:rPr>
      </w:pPr>
      <w:r>
        <w:rPr>
          <w:szCs w:val="22"/>
        </w:rPr>
        <w:t>This contribution</w:t>
      </w:r>
      <w:r w:rsidR="00AB30CA">
        <w:rPr>
          <w:szCs w:val="22"/>
        </w:rPr>
        <w:t xml:space="preserve"> </w:t>
      </w:r>
      <w:r w:rsidR="002915A3">
        <w:rPr>
          <w:szCs w:val="22"/>
        </w:rPr>
        <w:t>discusses the number of control symbols for a given slot (TTI)</w:t>
      </w:r>
      <w:r w:rsidR="009B5BF9">
        <w:rPr>
          <w:szCs w:val="22"/>
        </w:rPr>
        <w:t xml:space="preserve"> and the structure of PDCCH with single-part/multi-parts continuing from [1].</w:t>
      </w:r>
    </w:p>
    <w:p w14:paraId="1BB9AC22" w14:textId="77777777" w:rsidR="002915A3" w:rsidRDefault="002915A3" w:rsidP="004503F9">
      <w:pPr>
        <w:jc w:val="both"/>
        <w:rPr>
          <w:szCs w:val="22"/>
        </w:rPr>
      </w:pPr>
    </w:p>
    <w:p w14:paraId="0B3BE98D" w14:textId="29E4E9CD" w:rsidR="0044173B" w:rsidRDefault="009B5BF9" w:rsidP="0044173B">
      <w:pPr>
        <w:pStyle w:val="Heading1"/>
      </w:pPr>
      <w:r>
        <w:t>Number of Control Symbols</w:t>
      </w:r>
    </w:p>
    <w:p w14:paraId="6B093AEE" w14:textId="77777777" w:rsidR="00FD60A1" w:rsidRDefault="00FD60A1" w:rsidP="002915A3">
      <w:r>
        <w:t>One of big open issues in NR control channel design is the number of control symbols. The related questions could be:</w:t>
      </w:r>
    </w:p>
    <w:p w14:paraId="50F067D1" w14:textId="724FF92B" w:rsidR="00FD60A1" w:rsidRPr="00FE69CF" w:rsidRDefault="00FD60A1" w:rsidP="00FD60A1">
      <w:pPr>
        <w:pStyle w:val="ListParagraph"/>
        <w:numPr>
          <w:ilvl w:val="0"/>
          <w:numId w:val="33"/>
        </w:numPr>
        <w:rPr>
          <w:rFonts w:ascii="Times New Roman" w:hAnsi="Times New Roman"/>
          <w:sz w:val="20"/>
        </w:rPr>
      </w:pPr>
      <w:r w:rsidRPr="00FE69CF">
        <w:rPr>
          <w:rFonts w:ascii="Times New Roman" w:hAnsi="Times New Roman"/>
          <w:sz w:val="20"/>
        </w:rPr>
        <w:t>How many control symbols are needed?</w:t>
      </w:r>
    </w:p>
    <w:p w14:paraId="7F08F4E3" w14:textId="0116DD9D" w:rsidR="00FD60A1" w:rsidRPr="00FE69CF" w:rsidRDefault="00FD60A1" w:rsidP="00FD60A1">
      <w:pPr>
        <w:pStyle w:val="ListParagraph"/>
        <w:numPr>
          <w:ilvl w:val="0"/>
          <w:numId w:val="33"/>
        </w:numPr>
        <w:rPr>
          <w:rFonts w:ascii="Times New Roman" w:hAnsi="Times New Roman"/>
          <w:sz w:val="20"/>
        </w:rPr>
      </w:pPr>
      <w:r w:rsidRPr="00FE69CF">
        <w:rPr>
          <w:rFonts w:ascii="Times New Roman" w:hAnsi="Times New Roman"/>
          <w:sz w:val="20"/>
        </w:rPr>
        <w:t xml:space="preserve">Will the number of control symbols </w:t>
      </w:r>
      <w:r w:rsidR="00522C10" w:rsidRPr="00FE69CF">
        <w:rPr>
          <w:rFonts w:ascii="Times New Roman" w:hAnsi="Times New Roman"/>
          <w:sz w:val="20"/>
        </w:rPr>
        <w:t xml:space="preserve">be </w:t>
      </w:r>
      <w:r w:rsidRPr="00FE69CF">
        <w:rPr>
          <w:rFonts w:ascii="Times New Roman" w:hAnsi="Times New Roman"/>
          <w:sz w:val="20"/>
        </w:rPr>
        <w:t>the same or different for different numerology and system bandwidth?</w:t>
      </w:r>
    </w:p>
    <w:p w14:paraId="2BDC6C4B" w14:textId="42334885" w:rsidR="00FD60A1" w:rsidRPr="00FE69CF" w:rsidRDefault="00FD60A1" w:rsidP="00FD60A1">
      <w:pPr>
        <w:pStyle w:val="ListParagraph"/>
        <w:numPr>
          <w:ilvl w:val="0"/>
          <w:numId w:val="33"/>
        </w:numPr>
        <w:rPr>
          <w:rFonts w:ascii="Times New Roman" w:hAnsi="Times New Roman"/>
          <w:sz w:val="20"/>
        </w:rPr>
      </w:pPr>
      <w:r w:rsidRPr="00FE69CF">
        <w:rPr>
          <w:rFonts w:ascii="Times New Roman" w:hAnsi="Times New Roman"/>
          <w:sz w:val="20"/>
        </w:rPr>
        <w:t>If different, can the number of symbols be dynamic, semi-static or fixed?</w:t>
      </w:r>
    </w:p>
    <w:p w14:paraId="0A6C84B3" w14:textId="77777777" w:rsidR="00421EED" w:rsidRDefault="00421EED" w:rsidP="00446B49"/>
    <w:p w14:paraId="6C491C8B" w14:textId="0F27EFBA" w:rsidR="002915A3" w:rsidRDefault="00FD60A1" w:rsidP="00446B49">
      <w:pPr>
        <w:rPr>
          <w:szCs w:val="22"/>
        </w:rPr>
      </w:pPr>
      <w:r>
        <w:t>The control channel capacity a</w:t>
      </w:r>
      <w:r w:rsidR="002915A3">
        <w:t>ssuming 30 kHz subcarri</w:t>
      </w:r>
      <w:r>
        <w:t>er spacing was shown in [1] relative to LTE 10 MHz with 2 control symbols with 2 port CRS.</w:t>
      </w:r>
      <w:r w:rsidR="00C51D3D">
        <w:t xml:space="preserve"> Necessary number of control symbols would be dependent on the system BW, numerology, slot length and gNB scheduler implementation. For example, the deployment with higher system BW may need less number of control symbols. Also the system with shorter slot can multiplex UEs in different slots</w:t>
      </w:r>
      <w:r w:rsidR="00446B49">
        <w:t>. Given that multiple variations in NR system is expected in terms of system BW and numerology, it may not be easy to set a fixed number of control symbols across different deployment scenarios. On the other hand, we do not foresee the need to allow dynamic configuration of control symbols as in LTE (via PCFICH). It is expected that the number of control symbols can be quite static per deployment</w:t>
      </w:r>
      <w:r w:rsidR="00522C10">
        <w:t>, and some techniques such as off-loading the control to the PDSCH region can be used to relax the control capacity requirement</w:t>
      </w:r>
      <w:r w:rsidR="00446B49">
        <w:t xml:space="preserve">. </w:t>
      </w:r>
      <w:r w:rsidR="002915A3">
        <w:rPr>
          <w:szCs w:val="22"/>
        </w:rPr>
        <w:t xml:space="preserve">In addition, </w:t>
      </w:r>
      <w:r w:rsidR="00446B49">
        <w:rPr>
          <w:szCs w:val="22"/>
        </w:rPr>
        <w:t>considering</w:t>
      </w:r>
      <w:r w:rsidR="002915A3">
        <w:rPr>
          <w:szCs w:val="22"/>
        </w:rPr>
        <w:t xml:space="preserve"> very tight processing timeline</w:t>
      </w:r>
      <w:r w:rsidR="00446B49">
        <w:rPr>
          <w:szCs w:val="22"/>
        </w:rPr>
        <w:t xml:space="preserve"> in</w:t>
      </w:r>
      <w:r w:rsidR="002915A3">
        <w:rPr>
          <w:szCs w:val="22"/>
        </w:rPr>
        <w:t xml:space="preserve"> NR, </w:t>
      </w:r>
      <w:r w:rsidR="00446B49">
        <w:rPr>
          <w:szCs w:val="22"/>
        </w:rPr>
        <w:t>it is not desirable to have</w:t>
      </w:r>
      <w:r w:rsidR="002915A3">
        <w:rPr>
          <w:szCs w:val="22"/>
        </w:rPr>
        <w:t xml:space="preserve"> dynamically configurable</w:t>
      </w:r>
      <w:r w:rsidR="00446B49">
        <w:rPr>
          <w:szCs w:val="22"/>
        </w:rPr>
        <w:t xml:space="preserve"> number of control symbols every slot</w:t>
      </w:r>
      <w:r w:rsidR="002915A3">
        <w:rPr>
          <w:szCs w:val="22"/>
        </w:rPr>
        <w:t>.</w:t>
      </w:r>
      <w:r w:rsidR="00446B49">
        <w:rPr>
          <w:szCs w:val="22"/>
        </w:rPr>
        <w:t xml:space="preserve"> Thus, the following proposals are made.</w:t>
      </w:r>
    </w:p>
    <w:p w14:paraId="5005B225" w14:textId="04AC778E" w:rsidR="00446B49" w:rsidRDefault="00446B49" w:rsidP="00446B49">
      <w:r>
        <w:rPr>
          <w:b/>
          <w:u w:val="single"/>
        </w:rPr>
        <w:t>Proposal</w:t>
      </w:r>
      <w:r w:rsidRPr="00392F4D">
        <w:rPr>
          <w:b/>
          <w:u w:val="single"/>
        </w:rPr>
        <w:t xml:space="preserve"> </w:t>
      </w:r>
      <w:r>
        <w:rPr>
          <w:b/>
          <w:u w:val="single"/>
        </w:rPr>
        <w:t>1</w:t>
      </w:r>
      <w:r w:rsidRPr="00392F4D">
        <w:rPr>
          <w:b/>
          <w:u w:val="single"/>
        </w:rPr>
        <w:t>:</w:t>
      </w:r>
      <w:r>
        <w:t xml:space="preserve"> Do not consider dynamically configurable number of control symbols.</w:t>
      </w:r>
    </w:p>
    <w:p w14:paraId="4BD9020C" w14:textId="2E7B3E8B" w:rsidR="002915A3" w:rsidRDefault="002915A3" w:rsidP="002915A3">
      <w:r>
        <w:rPr>
          <w:b/>
          <w:u w:val="single"/>
        </w:rPr>
        <w:t>Proposal</w:t>
      </w:r>
      <w:r w:rsidRPr="00392F4D">
        <w:rPr>
          <w:b/>
          <w:u w:val="single"/>
        </w:rPr>
        <w:t xml:space="preserve"> </w:t>
      </w:r>
      <w:r w:rsidR="00446B49">
        <w:rPr>
          <w:b/>
          <w:u w:val="single"/>
        </w:rPr>
        <w:t>2</w:t>
      </w:r>
      <w:r w:rsidRPr="00392F4D">
        <w:rPr>
          <w:b/>
          <w:u w:val="single"/>
        </w:rPr>
        <w:t>:</w:t>
      </w:r>
      <w:r w:rsidRPr="00392F4D">
        <w:t xml:space="preserve"> </w:t>
      </w:r>
      <w:r w:rsidR="00446B49">
        <w:t>Allow</w:t>
      </w:r>
      <w:r>
        <w:t xml:space="preserve"> </w:t>
      </w:r>
      <w:r w:rsidR="00446B49">
        <w:t xml:space="preserve">up to </w:t>
      </w:r>
      <w:r>
        <w:t>2 symbol</w:t>
      </w:r>
      <w:r w:rsidR="00446B49">
        <w:t>s</w:t>
      </w:r>
      <w:r>
        <w:t xml:space="preserve"> </w:t>
      </w:r>
      <w:r w:rsidR="00446B49">
        <w:t xml:space="preserve">in </w:t>
      </w:r>
      <w:r>
        <w:t>DL control region.</w:t>
      </w:r>
      <w:r w:rsidR="00446B49">
        <w:t xml:space="preserve"> The number of control symbol can be semi-statically configurable</w:t>
      </w:r>
      <w:r w:rsidR="002A6454">
        <w:t xml:space="preserve"> or specified per system BW and numerology</w:t>
      </w:r>
      <w:r w:rsidR="00446B49">
        <w:t>.</w:t>
      </w:r>
    </w:p>
    <w:p w14:paraId="30525FD8" w14:textId="77777777" w:rsidR="002A6454" w:rsidRDefault="002A6454" w:rsidP="002915A3"/>
    <w:p w14:paraId="7A3A2DAA" w14:textId="11F90DD3" w:rsidR="002B48E2" w:rsidRDefault="009B5BF9" w:rsidP="009B5BF9">
      <w:pPr>
        <w:pStyle w:val="Heading1"/>
      </w:pPr>
      <w:r>
        <w:t>Single-part/</w:t>
      </w:r>
      <w:r w:rsidR="002B48E2">
        <w:t>Multi-part PDCCH</w:t>
      </w:r>
    </w:p>
    <w:p w14:paraId="24F6CFAA" w14:textId="067A8F54" w:rsidR="002B48E2" w:rsidRDefault="002B48E2" w:rsidP="002B48E2">
      <w:r>
        <w:t>This contribution assumes the slot structure shown in [</w:t>
      </w:r>
      <w:r w:rsidR="005211FC">
        <w:t>2</w:t>
      </w:r>
      <w:r>
        <w:t>], i.e., control region in the beginning of the slot followed by the data region for UE to receive or transmit data. It is proposed that the RS for PDCCH is transmitted on the 1</w:t>
      </w:r>
      <w:r w:rsidRPr="00D35F8E">
        <w:rPr>
          <w:vertAlign w:val="superscript"/>
        </w:rPr>
        <w:t>st</w:t>
      </w:r>
      <w:r>
        <w:t xml:space="preserve"> symbol in DL control region to expedite the processing of channel estimation before processing PDCCH.</w:t>
      </w:r>
    </w:p>
    <w:p w14:paraId="54D27AB4" w14:textId="06B1E5D9" w:rsidR="002B48E2" w:rsidRPr="00421EED" w:rsidRDefault="002B48E2" w:rsidP="00421EED">
      <w:r>
        <w:t xml:space="preserve">Potentially certain DCI (PDSCH scheduling/PUSCH grant) can be split into two parts, i.e., carried on different PDCCH symbols especially to help eNB timeline for single interlace transmission. Each part can be decoded separately but the entire </w:t>
      </w:r>
      <w:r>
        <w:lastRenderedPageBreak/>
        <w:t>DCI information will be retrieved together to pass pruning for DCI.</w:t>
      </w:r>
      <w:r w:rsidR="003646D8">
        <w:t xml:space="preserve"> </w:t>
      </w:r>
      <w:r w:rsidRPr="00421EED">
        <w:t>Two parts can contain different information for PDSCH scheduling/PUSCH grant such as:</w:t>
      </w:r>
    </w:p>
    <w:p w14:paraId="727E66A1" w14:textId="3821664E" w:rsidR="00421EED" w:rsidRPr="00421EED" w:rsidRDefault="002B48E2" w:rsidP="00421EED">
      <w:pPr>
        <w:pStyle w:val="BodyText"/>
        <w:numPr>
          <w:ilvl w:val="0"/>
          <w:numId w:val="30"/>
        </w:numPr>
        <w:rPr>
          <w:rFonts w:ascii="Times New Roman" w:hAnsi="Times New Roman"/>
          <w:szCs w:val="20"/>
        </w:rPr>
      </w:pPr>
      <w:r w:rsidRPr="00421EED">
        <w:rPr>
          <w:rFonts w:ascii="Times New Roman" w:hAnsi="Times New Roman"/>
          <w:szCs w:val="20"/>
        </w:rPr>
        <w:t>1st part</w:t>
      </w:r>
      <w:r w:rsidR="00421EED" w:rsidRPr="00421EED">
        <w:rPr>
          <w:rFonts w:ascii="Times New Roman" w:hAnsi="Times New Roman"/>
          <w:szCs w:val="20"/>
        </w:rPr>
        <w:t>:</w:t>
      </w:r>
      <w:r w:rsidR="00421EED">
        <w:rPr>
          <w:rFonts w:ascii="Times New Roman" w:hAnsi="Times New Roman"/>
          <w:szCs w:val="20"/>
        </w:rPr>
        <w:t xml:space="preserve"> </w:t>
      </w:r>
      <w:r w:rsidRPr="00421EED">
        <w:rPr>
          <w:rFonts w:ascii="Times New Roman" w:hAnsi="Times New Roman"/>
          <w:szCs w:val="20"/>
        </w:rPr>
        <w:t>Processing-time-critical information: PDSCH/PUSCH allocation, rank information</w:t>
      </w:r>
      <w:r w:rsidR="00565A93" w:rsidRPr="00421EED">
        <w:rPr>
          <w:rFonts w:ascii="Times New Roman" w:hAnsi="Times New Roman"/>
          <w:szCs w:val="20"/>
        </w:rPr>
        <w:t>, and  modulation order</w:t>
      </w:r>
    </w:p>
    <w:p w14:paraId="19875F2C" w14:textId="58F694A8" w:rsidR="008A606D" w:rsidRPr="00421EED" w:rsidRDefault="002B48E2" w:rsidP="00421EED">
      <w:pPr>
        <w:pStyle w:val="BodyText"/>
        <w:numPr>
          <w:ilvl w:val="0"/>
          <w:numId w:val="30"/>
        </w:numPr>
        <w:rPr>
          <w:rFonts w:ascii="Times New Roman" w:hAnsi="Times New Roman"/>
          <w:szCs w:val="20"/>
        </w:rPr>
      </w:pPr>
      <w:r w:rsidRPr="00421EED">
        <w:rPr>
          <w:rFonts w:ascii="Times New Roman" w:hAnsi="Times New Roman"/>
          <w:szCs w:val="20"/>
        </w:rPr>
        <w:t>2nd part</w:t>
      </w:r>
      <w:r w:rsidR="00421EED" w:rsidRPr="00421EED">
        <w:rPr>
          <w:rFonts w:ascii="Times New Roman" w:hAnsi="Times New Roman"/>
          <w:szCs w:val="20"/>
        </w:rPr>
        <w:t xml:space="preserve">: </w:t>
      </w:r>
      <w:r w:rsidRPr="00421EED">
        <w:rPr>
          <w:rFonts w:ascii="Times New Roman" w:hAnsi="Times New Roman"/>
          <w:szCs w:val="20"/>
        </w:rPr>
        <w:t>Data-processing-dependent information: NDI/RV/MCS</w:t>
      </w:r>
    </w:p>
    <w:p w14:paraId="2BE32EF5" w14:textId="77777777" w:rsidR="002B48E2" w:rsidRPr="00421EED" w:rsidRDefault="002B48E2" w:rsidP="00421EED">
      <w:pPr>
        <w:jc w:val="both"/>
      </w:pPr>
      <w:r w:rsidRPr="00421EED">
        <w:t>Multi-part DCI transmission can have the following options.</w:t>
      </w:r>
    </w:p>
    <w:p w14:paraId="3B3610B3" w14:textId="77777777" w:rsidR="00421EED" w:rsidRPr="00421EED" w:rsidRDefault="002B48E2" w:rsidP="00421EED">
      <w:pPr>
        <w:pStyle w:val="BodyText"/>
        <w:numPr>
          <w:ilvl w:val="0"/>
          <w:numId w:val="30"/>
        </w:numPr>
      </w:pPr>
      <w:r w:rsidRPr="00BF0862">
        <w:rPr>
          <w:rFonts w:ascii="Times New Roman" w:hAnsi="Times New Roman"/>
          <w:szCs w:val="20"/>
        </w:rPr>
        <w:t>1</w:t>
      </w:r>
      <w:r w:rsidRPr="00BF0862">
        <w:rPr>
          <w:rFonts w:ascii="Times New Roman" w:hAnsi="Times New Roman"/>
          <w:szCs w:val="20"/>
          <w:vertAlign w:val="superscript"/>
        </w:rPr>
        <w:t>st</w:t>
      </w:r>
      <w:r w:rsidRPr="00BF0862">
        <w:rPr>
          <w:rFonts w:ascii="Times New Roman" w:hAnsi="Times New Roman"/>
          <w:szCs w:val="20"/>
        </w:rPr>
        <w:t xml:space="preserve"> part is transmitted on the 1</w:t>
      </w:r>
      <w:r w:rsidRPr="00BF0862">
        <w:rPr>
          <w:rFonts w:ascii="Times New Roman" w:hAnsi="Times New Roman"/>
          <w:szCs w:val="20"/>
          <w:vertAlign w:val="superscript"/>
        </w:rPr>
        <w:t>st</w:t>
      </w:r>
      <w:r w:rsidRPr="00BF0862">
        <w:rPr>
          <w:rFonts w:ascii="Times New Roman" w:hAnsi="Times New Roman"/>
          <w:szCs w:val="20"/>
        </w:rPr>
        <w:t xml:space="preserve"> symbol in </w:t>
      </w:r>
      <w:r>
        <w:rPr>
          <w:rFonts w:ascii="Times New Roman" w:hAnsi="Times New Roman"/>
          <w:szCs w:val="20"/>
        </w:rPr>
        <w:t xml:space="preserve">DL </w:t>
      </w:r>
      <w:r w:rsidRPr="00BF0862">
        <w:rPr>
          <w:rFonts w:ascii="Times New Roman" w:hAnsi="Times New Roman"/>
          <w:szCs w:val="20"/>
        </w:rPr>
        <w:t xml:space="preserve">control </w:t>
      </w:r>
      <w:r>
        <w:rPr>
          <w:rFonts w:ascii="Times New Roman" w:hAnsi="Times New Roman"/>
          <w:szCs w:val="20"/>
        </w:rPr>
        <w:t>region</w:t>
      </w:r>
      <w:r w:rsidRPr="00BF0862">
        <w:rPr>
          <w:rFonts w:ascii="Times New Roman" w:hAnsi="Times New Roman"/>
          <w:szCs w:val="20"/>
        </w:rPr>
        <w:t xml:space="preserve"> and 2</w:t>
      </w:r>
      <w:r w:rsidRPr="00BF0862">
        <w:rPr>
          <w:rFonts w:ascii="Times New Roman" w:hAnsi="Times New Roman"/>
          <w:szCs w:val="20"/>
          <w:vertAlign w:val="superscript"/>
        </w:rPr>
        <w:t>nd</w:t>
      </w:r>
      <w:r w:rsidRPr="00BF0862">
        <w:rPr>
          <w:rFonts w:ascii="Times New Roman" w:hAnsi="Times New Roman"/>
          <w:szCs w:val="20"/>
        </w:rPr>
        <w:t xml:space="preserve"> part is transmitted on the 2</w:t>
      </w:r>
      <w:r w:rsidRPr="00BF0862">
        <w:rPr>
          <w:rFonts w:ascii="Times New Roman" w:hAnsi="Times New Roman"/>
          <w:szCs w:val="20"/>
          <w:vertAlign w:val="superscript"/>
        </w:rPr>
        <w:t>nd</w:t>
      </w:r>
      <w:r w:rsidRPr="00BF0862">
        <w:rPr>
          <w:rFonts w:ascii="Times New Roman" w:hAnsi="Times New Roman"/>
          <w:szCs w:val="20"/>
        </w:rPr>
        <w:t xml:space="preserve"> symbol in </w:t>
      </w:r>
      <w:r>
        <w:rPr>
          <w:rFonts w:ascii="Times New Roman" w:hAnsi="Times New Roman"/>
          <w:szCs w:val="20"/>
        </w:rPr>
        <w:t xml:space="preserve">DL </w:t>
      </w:r>
      <w:r w:rsidRPr="00BF0862">
        <w:rPr>
          <w:rFonts w:ascii="Times New Roman" w:hAnsi="Times New Roman"/>
          <w:szCs w:val="20"/>
        </w:rPr>
        <w:t xml:space="preserve">control </w:t>
      </w:r>
      <w:r>
        <w:rPr>
          <w:rFonts w:ascii="Times New Roman" w:hAnsi="Times New Roman"/>
          <w:szCs w:val="20"/>
        </w:rPr>
        <w:t>region</w:t>
      </w:r>
      <w:r w:rsidRPr="00BF0862">
        <w:rPr>
          <w:rFonts w:ascii="Times New Roman" w:hAnsi="Times New Roman"/>
          <w:szCs w:val="20"/>
        </w:rPr>
        <w:t>.</w:t>
      </w:r>
    </w:p>
    <w:p w14:paraId="2DC45ED8" w14:textId="159E93E6" w:rsidR="00421EED" w:rsidRDefault="00421EED" w:rsidP="00421EED">
      <w:pPr>
        <w:pStyle w:val="BodyText"/>
        <w:numPr>
          <w:ilvl w:val="1"/>
          <w:numId w:val="30"/>
        </w:numPr>
      </w:pPr>
      <w:r>
        <w:t>The location of the second part control depends on what kind of control subband is being used. For UE/PDCCH specific control subband, if the DMRS is front-loaded, it may make sense the second part control is located in the same PRB in the first part control, to share the DMRS. For common controls subband, there can be more flexibility for the locations of the second part control, and some search space based approach can be used.</w:t>
      </w:r>
    </w:p>
    <w:p w14:paraId="1A5A683B" w14:textId="24FD6CEB" w:rsidR="00421EED" w:rsidRDefault="002B48E2" w:rsidP="00421EED">
      <w:pPr>
        <w:pStyle w:val="BodyText"/>
        <w:numPr>
          <w:ilvl w:val="0"/>
          <w:numId w:val="30"/>
        </w:numPr>
        <w:rPr>
          <w:rFonts w:ascii="Times New Roman" w:hAnsi="Times New Roman"/>
          <w:szCs w:val="20"/>
        </w:rPr>
      </w:pPr>
      <w:r w:rsidRPr="00421EED">
        <w:rPr>
          <w:rFonts w:ascii="Times New Roman" w:hAnsi="Times New Roman"/>
          <w:szCs w:val="20"/>
        </w:rPr>
        <w:t>1st part is transmitted on the 1st symbol in DL control region and 2nd part is transmitted in the data region for DL centric slot.</w:t>
      </w:r>
    </w:p>
    <w:p w14:paraId="23F12AEE" w14:textId="7608A8ED" w:rsidR="00421EED" w:rsidRPr="00421EED" w:rsidRDefault="00421EED" w:rsidP="00421EED">
      <w:pPr>
        <w:pStyle w:val="BodyText"/>
        <w:numPr>
          <w:ilvl w:val="1"/>
          <w:numId w:val="30"/>
        </w:numPr>
      </w:pPr>
      <w:r w:rsidRPr="00421EED">
        <w:t>The RA in the first part control will indicate where PDSCH is located, and some default rules will be needed to identify the REs carry the second part control.</w:t>
      </w:r>
    </w:p>
    <w:p w14:paraId="233D0A40" w14:textId="77777777" w:rsidR="002B48E2" w:rsidRPr="00BF0862" w:rsidRDefault="002B48E2" w:rsidP="003646D8">
      <w:pPr>
        <w:jc w:val="both"/>
      </w:pPr>
      <w:r w:rsidRPr="00BF0862">
        <w:t>DCIs other than PDSCH</w:t>
      </w:r>
      <w:r>
        <w:t xml:space="preserve"> scheduling</w:t>
      </w:r>
      <w:r w:rsidRPr="00BF0862">
        <w:t xml:space="preserve">/PUSCH </w:t>
      </w:r>
      <w:r>
        <w:t>grant</w:t>
      </w:r>
      <w:r w:rsidRPr="00BF0862">
        <w:t xml:space="preserve"> are single part and could be associated with either the 1</w:t>
      </w:r>
      <w:r w:rsidRPr="00F017CE">
        <w:rPr>
          <w:vertAlign w:val="superscript"/>
        </w:rPr>
        <w:t>st</w:t>
      </w:r>
      <w:r w:rsidRPr="00BF0862">
        <w:t xml:space="preserve"> or 2</w:t>
      </w:r>
      <w:r w:rsidRPr="00F017CE">
        <w:rPr>
          <w:vertAlign w:val="superscript"/>
        </w:rPr>
        <w:t>nd</w:t>
      </w:r>
      <w:r w:rsidRPr="00BF0862">
        <w:t xml:space="preserve"> symbol in </w:t>
      </w:r>
      <w:r>
        <w:t xml:space="preserve">DL </w:t>
      </w:r>
      <w:r w:rsidRPr="00BF0862">
        <w:t xml:space="preserve">control </w:t>
      </w:r>
      <w:r>
        <w:t>region</w:t>
      </w:r>
    </w:p>
    <w:p w14:paraId="77BF05E6" w14:textId="77777777" w:rsidR="002B48E2" w:rsidRPr="00BF0862" w:rsidRDefault="002B48E2" w:rsidP="003646D8">
      <w:pPr>
        <w:numPr>
          <w:ilvl w:val="0"/>
          <w:numId w:val="31"/>
        </w:numPr>
        <w:jc w:val="both"/>
      </w:pPr>
      <w:r w:rsidRPr="00BF0862">
        <w:t>1</w:t>
      </w:r>
      <w:r w:rsidRPr="00BF0862">
        <w:rPr>
          <w:vertAlign w:val="superscript"/>
        </w:rPr>
        <w:t>st</w:t>
      </w:r>
      <w:r w:rsidRPr="00BF0862">
        <w:t xml:space="preserve"> symbol PDCCH carries time-critical control:</w:t>
      </w:r>
    </w:p>
    <w:p w14:paraId="765241C9" w14:textId="77777777" w:rsidR="002B48E2" w:rsidRPr="00BF0862" w:rsidRDefault="002B48E2" w:rsidP="003646D8">
      <w:pPr>
        <w:numPr>
          <w:ilvl w:val="1"/>
          <w:numId w:val="31"/>
        </w:numPr>
        <w:jc w:val="both"/>
      </w:pPr>
      <w:r w:rsidRPr="00BF0862">
        <w:t>e.g. DL assignment for self-contained DL centric slot (2 or more interlaces)</w:t>
      </w:r>
    </w:p>
    <w:p w14:paraId="4CB2B853" w14:textId="77777777" w:rsidR="002B48E2" w:rsidRPr="00BF0862" w:rsidRDefault="002B48E2" w:rsidP="003646D8">
      <w:pPr>
        <w:numPr>
          <w:ilvl w:val="0"/>
          <w:numId w:val="31"/>
        </w:numPr>
        <w:jc w:val="both"/>
      </w:pPr>
      <w:r w:rsidRPr="00BF0862">
        <w:t>2</w:t>
      </w:r>
      <w:r w:rsidRPr="00BF0862">
        <w:rPr>
          <w:vertAlign w:val="superscript"/>
        </w:rPr>
        <w:t>nd</w:t>
      </w:r>
      <w:r w:rsidRPr="00BF0862">
        <w:t xml:space="preserve"> symbol PDCCH carries non-time critical control:</w:t>
      </w:r>
    </w:p>
    <w:p w14:paraId="7F562F2D" w14:textId="77777777" w:rsidR="002B48E2" w:rsidRPr="00BF0862" w:rsidRDefault="002B48E2" w:rsidP="003646D8">
      <w:pPr>
        <w:numPr>
          <w:ilvl w:val="1"/>
          <w:numId w:val="31"/>
        </w:numPr>
        <w:jc w:val="both"/>
      </w:pPr>
      <w:r w:rsidRPr="00BF0862">
        <w:t xml:space="preserve">E.g. DCI for UL burst in DL centric slot </w:t>
      </w:r>
      <w:r w:rsidRPr="00BF0862">
        <w:sym w:font="Wingdings" w:char="F0DF"/>
      </w:r>
      <w:r w:rsidRPr="00BF0862">
        <w:t xml:space="preserve"> still has much of the time budget for processing</w:t>
      </w:r>
    </w:p>
    <w:p w14:paraId="285CC830" w14:textId="77777777" w:rsidR="002B48E2" w:rsidRPr="00BF0862" w:rsidRDefault="002B48E2" w:rsidP="003646D8">
      <w:pPr>
        <w:numPr>
          <w:ilvl w:val="1"/>
          <w:numId w:val="31"/>
        </w:numPr>
        <w:jc w:val="both"/>
      </w:pPr>
      <w:r w:rsidRPr="00BF0862">
        <w:t xml:space="preserve">DCI for subsequent slots </w:t>
      </w:r>
      <w:r w:rsidRPr="00BF0862">
        <w:sym w:font="Wingdings" w:char="F0DF"/>
      </w:r>
      <w:r w:rsidRPr="00BF0862">
        <w:t xml:space="preserve"> E.g. prescheduling info, control applying to next slot</w:t>
      </w:r>
    </w:p>
    <w:p w14:paraId="0A789037" w14:textId="12107C4F" w:rsidR="002B48E2" w:rsidRDefault="002B48E2" w:rsidP="002B48E2">
      <w:pPr>
        <w:jc w:val="both"/>
        <w:rPr>
          <w:szCs w:val="22"/>
        </w:rPr>
      </w:pPr>
      <w:r>
        <w:rPr>
          <w:szCs w:val="22"/>
        </w:rPr>
        <w:t xml:space="preserve">Note that multi-part PDCCH </w:t>
      </w:r>
      <w:r w:rsidR="00306E7D">
        <w:rPr>
          <w:szCs w:val="22"/>
        </w:rPr>
        <w:t>assumes</w:t>
      </w:r>
      <w:r>
        <w:rPr>
          <w:szCs w:val="22"/>
        </w:rPr>
        <w:t xml:space="preserve"> independent coding every symbol. Multi-part PDCCH comes at the expense of less efficient coding overhead. Thus, the trade-off between performance loss and PDCCH scheduling flexibility needs to be taken into account.</w:t>
      </w:r>
    </w:p>
    <w:p w14:paraId="15DBB918" w14:textId="74CE1C86" w:rsidR="00306E7D" w:rsidRDefault="00306E7D" w:rsidP="002B48E2">
      <w:pPr>
        <w:jc w:val="both"/>
      </w:pPr>
      <w:r>
        <w:t>We consider multi-part DCI as an improvement option to single part DCI, and in some scenarios, necessary. The main benefits are in the areas of gNB/UE side processing timeline improvement and control payload offloading. However, in some use cases, when we do not have the above mentioned limitations, single-part</w:t>
      </w:r>
      <w:r w:rsidR="008A606D">
        <w:t xml:space="preserve"> DCI may have other benefits such as efficient coding and resource utilization especially considering that there are more available resources for control in the 2</w:t>
      </w:r>
      <w:r w:rsidR="008A606D" w:rsidRPr="008A606D">
        <w:rPr>
          <w:vertAlign w:val="superscript"/>
        </w:rPr>
        <w:t>nd</w:t>
      </w:r>
      <w:r w:rsidR="008A606D">
        <w:t xml:space="preserve"> symbol</w:t>
      </w:r>
      <w:r>
        <w:t>. One example is when there are multiple HARQ processes and the gNB does not have a tight turn-around time requirement to generate the DCI.</w:t>
      </w:r>
      <w:r w:rsidR="008A606D">
        <w:t xml:space="preserve"> In this case, the single-part DCI can be adopted.</w:t>
      </w:r>
    </w:p>
    <w:p w14:paraId="35355B23" w14:textId="583A5797" w:rsidR="008A606D" w:rsidRDefault="008A606D" w:rsidP="008A606D">
      <w:pPr>
        <w:pStyle w:val="BodyText"/>
      </w:pPr>
      <w:r>
        <w:t>One use case to support quick gNB DL scheduling turn-around with multi-part DCI is following: In slot 0, gNB receives PUCCH from UE contains A/N for a previous PDSCH. In slot 1, gNB wants to schedule the UE again. In this example, if we use single step control channel, gNB needs to make the decision on DCI contents before the control channel is transmitted, which will be very hard. If we have two-step control channel, the gNB can use the first step in the first control OFDM symbol to indicate the necessary demodulation related information to the UE, such as RA, rank, modulation order, etc, without deciding on the content of the transmission. In the second step of the control channel, which will be decided later, the gNB finishes decoding of the A/N in PUCCH and decides the transmission is a retransmission or a new transmission. The second step control channel will carry HARQ related information of the grant.</w:t>
      </w:r>
    </w:p>
    <w:p w14:paraId="5AF62B73" w14:textId="1BFDAB2D" w:rsidR="008A606D" w:rsidRDefault="008A606D" w:rsidP="008A606D">
      <w:pPr>
        <w:pStyle w:val="BodyText"/>
      </w:pPr>
      <w:r>
        <w:t>Another use case to support control information transmission offloading is following: The control resources are shared by multiple UEs. The two-step control channel can help to save control resources. For example, for DL grant transmission, the gNB can use a first part control channel to indicate to the UE the demodulation related parameters, such as RA, rank and modulation. The second part of the control information can be delayed to the PDSCH region within the RA to allow more efficient delivery. This helps to reduce control overhead. Note this does not apply to UL grant, as there is no PDSCH region. But if we apply this two-step control for PDSCH grant, we can save the control resource for UL grant transmission.</w:t>
      </w:r>
    </w:p>
    <w:p w14:paraId="658EE007" w14:textId="30EDBD89" w:rsidR="008A606D" w:rsidRPr="00290D22" w:rsidRDefault="008A606D" w:rsidP="008A606D">
      <w:pPr>
        <w:jc w:val="both"/>
        <w:rPr>
          <w:szCs w:val="22"/>
        </w:rPr>
      </w:pPr>
      <w:r>
        <w:lastRenderedPageBreak/>
        <w:t>Another use case for multi-part DCI is for DCL length management. In the current LTE system, UE needs to monitor different DCI length for each decoding candidate, which translate to more blind decoding. One approach to reduce the number of blind decodings is to split the longer DCI to multiple shorter DCI components, with all component DCIs have the same length.</w:t>
      </w:r>
    </w:p>
    <w:p w14:paraId="4E4138FD" w14:textId="797851C0" w:rsidR="002B48E2" w:rsidRDefault="002B48E2" w:rsidP="002B48E2">
      <w:r>
        <w:rPr>
          <w:b/>
          <w:u w:val="single"/>
        </w:rPr>
        <w:t>Proposal</w:t>
      </w:r>
      <w:r w:rsidRPr="00392F4D">
        <w:rPr>
          <w:b/>
          <w:u w:val="single"/>
        </w:rPr>
        <w:t xml:space="preserve"> </w:t>
      </w:r>
      <w:r w:rsidR="005211FC">
        <w:rPr>
          <w:b/>
          <w:u w:val="single"/>
        </w:rPr>
        <w:t>3</w:t>
      </w:r>
      <w:r w:rsidRPr="00392F4D">
        <w:rPr>
          <w:b/>
          <w:u w:val="single"/>
        </w:rPr>
        <w:t>:</w:t>
      </w:r>
      <w:r w:rsidRPr="00392F4D">
        <w:t xml:space="preserve"> </w:t>
      </w:r>
      <w:r>
        <w:t>RS for PDCCH is transmitted on the 1</w:t>
      </w:r>
      <w:r w:rsidRPr="00D35F8E">
        <w:rPr>
          <w:vertAlign w:val="superscript"/>
        </w:rPr>
        <w:t>st</w:t>
      </w:r>
      <w:r>
        <w:t xml:space="preserve"> symbol in DL control region in each slot.</w:t>
      </w:r>
    </w:p>
    <w:p w14:paraId="373425CA" w14:textId="52D2E431" w:rsidR="002B48E2" w:rsidRDefault="002B48E2" w:rsidP="002B48E2">
      <w:r>
        <w:rPr>
          <w:b/>
          <w:u w:val="single"/>
        </w:rPr>
        <w:t>Proposal</w:t>
      </w:r>
      <w:r w:rsidRPr="00392F4D">
        <w:rPr>
          <w:b/>
          <w:u w:val="single"/>
        </w:rPr>
        <w:t xml:space="preserve"> </w:t>
      </w:r>
      <w:r w:rsidR="00306E7D">
        <w:rPr>
          <w:b/>
          <w:u w:val="single"/>
        </w:rPr>
        <w:t>4</w:t>
      </w:r>
      <w:r w:rsidRPr="00392F4D">
        <w:rPr>
          <w:b/>
          <w:u w:val="single"/>
        </w:rPr>
        <w:t>:</w:t>
      </w:r>
      <w:r w:rsidRPr="00392F4D">
        <w:t xml:space="preserve"> </w:t>
      </w:r>
      <w:r>
        <w:t xml:space="preserve">Consider </w:t>
      </w:r>
      <w:r w:rsidR="008A606D">
        <w:t>both single-part/</w:t>
      </w:r>
      <w:r w:rsidR="0009569B">
        <w:t>multi-part PDCCH structure.</w:t>
      </w:r>
    </w:p>
    <w:p w14:paraId="495C1736" w14:textId="60407CD9" w:rsidR="0009569B" w:rsidRDefault="0009569B" w:rsidP="0009569B">
      <w:r>
        <w:rPr>
          <w:b/>
          <w:u w:val="single"/>
        </w:rPr>
        <w:t>Proposal</w:t>
      </w:r>
      <w:r w:rsidRPr="00392F4D">
        <w:rPr>
          <w:b/>
          <w:u w:val="single"/>
        </w:rPr>
        <w:t xml:space="preserve"> </w:t>
      </w:r>
      <w:r>
        <w:rPr>
          <w:b/>
          <w:u w:val="single"/>
        </w:rPr>
        <w:t>5</w:t>
      </w:r>
      <w:r w:rsidRPr="00392F4D">
        <w:rPr>
          <w:b/>
          <w:u w:val="single"/>
        </w:rPr>
        <w:t>:</w:t>
      </w:r>
      <w:r w:rsidRPr="00392F4D">
        <w:t xml:space="preserve"> </w:t>
      </w:r>
      <w:r>
        <w:t>Consider the following multi-part PDCCH structure.</w:t>
      </w:r>
    </w:p>
    <w:p w14:paraId="26CC1F26" w14:textId="77777777" w:rsidR="0009569B" w:rsidRPr="00BF0862" w:rsidRDefault="0009569B" w:rsidP="0009569B">
      <w:pPr>
        <w:pStyle w:val="ListParagraph"/>
        <w:numPr>
          <w:ilvl w:val="0"/>
          <w:numId w:val="30"/>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part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part is transmitted on the 2</w:t>
      </w:r>
      <w:r w:rsidRPr="00BF0862">
        <w:rPr>
          <w:rFonts w:ascii="Times New Roman" w:hAnsi="Times New Roman"/>
          <w:sz w:val="20"/>
          <w:szCs w:val="20"/>
          <w:vertAlign w:val="superscript"/>
        </w:rPr>
        <w:t>nd</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w:t>
      </w:r>
    </w:p>
    <w:p w14:paraId="7FD3BC0F" w14:textId="77777777" w:rsidR="0009569B" w:rsidRPr="00BF0862" w:rsidRDefault="0009569B" w:rsidP="0009569B">
      <w:pPr>
        <w:pStyle w:val="ListParagraph"/>
        <w:numPr>
          <w:ilvl w:val="0"/>
          <w:numId w:val="30"/>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part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part is transmitted in </w:t>
      </w:r>
      <w:r>
        <w:rPr>
          <w:rFonts w:ascii="Times New Roman" w:hAnsi="Times New Roman"/>
          <w:sz w:val="20"/>
          <w:szCs w:val="20"/>
        </w:rPr>
        <w:t>the data region</w:t>
      </w:r>
      <w:r w:rsidRPr="00BF0862">
        <w:rPr>
          <w:rFonts w:ascii="Times New Roman" w:hAnsi="Times New Roman"/>
          <w:sz w:val="20"/>
          <w:szCs w:val="20"/>
        </w:rPr>
        <w:t xml:space="preserve"> for DL centric slot.</w:t>
      </w:r>
    </w:p>
    <w:p w14:paraId="3E293906" w14:textId="7DDB5D4E" w:rsidR="0029660E" w:rsidRDefault="0029660E" w:rsidP="00BC4D50"/>
    <w:p w14:paraId="56D28D4B" w14:textId="26018A49" w:rsidR="00067CA8" w:rsidRPr="00226FE2" w:rsidRDefault="004503F9" w:rsidP="00067CA8">
      <w:pPr>
        <w:pStyle w:val="Heading1"/>
        <w:rPr>
          <w:lang w:eastAsia="zh-CN"/>
        </w:rPr>
      </w:pPr>
      <w:r>
        <w:rPr>
          <w:lang w:eastAsia="zh-CN"/>
        </w:rPr>
        <w:t>Conclusions</w:t>
      </w:r>
    </w:p>
    <w:p w14:paraId="26CD4445" w14:textId="4AD57C22" w:rsidR="0009569B" w:rsidRDefault="0009569B" w:rsidP="0009569B">
      <w:pPr>
        <w:jc w:val="both"/>
        <w:rPr>
          <w:szCs w:val="22"/>
        </w:rPr>
      </w:pPr>
      <w:r>
        <w:rPr>
          <w:szCs w:val="22"/>
        </w:rPr>
        <w:t>This contribution has discussed the number of control symbols for a given slot (TTI) and the structure of PDCCH with single-part/multi-parts in detail. The following proposals have been made:</w:t>
      </w:r>
    </w:p>
    <w:p w14:paraId="2790D4CE" w14:textId="77777777" w:rsidR="005211FC" w:rsidRDefault="005211FC" w:rsidP="005211FC">
      <w:r>
        <w:rPr>
          <w:b/>
          <w:u w:val="single"/>
        </w:rPr>
        <w:t>Proposal</w:t>
      </w:r>
      <w:r w:rsidRPr="00392F4D">
        <w:rPr>
          <w:b/>
          <w:u w:val="single"/>
        </w:rPr>
        <w:t xml:space="preserve"> </w:t>
      </w:r>
      <w:r>
        <w:rPr>
          <w:b/>
          <w:u w:val="single"/>
        </w:rPr>
        <w:t>1</w:t>
      </w:r>
      <w:r w:rsidRPr="00392F4D">
        <w:rPr>
          <w:b/>
          <w:u w:val="single"/>
        </w:rPr>
        <w:t>:</w:t>
      </w:r>
      <w:r>
        <w:t xml:space="preserve"> Do not consider dynamically configurable number of control symbols.</w:t>
      </w:r>
    </w:p>
    <w:p w14:paraId="7A409B8E" w14:textId="77777777" w:rsidR="005211FC" w:rsidRDefault="005211FC" w:rsidP="005211FC">
      <w:r>
        <w:rPr>
          <w:b/>
          <w:u w:val="single"/>
        </w:rPr>
        <w:t>Proposal</w:t>
      </w:r>
      <w:r w:rsidRPr="00392F4D">
        <w:rPr>
          <w:b/>
          <w:u w:val="single"/>
        </w:rPr>
        <w:t xml:space="preserve"> </w:t>
      </w:r>
      <w:r>
        <w:rPr>
          <w:b/>
          <w:u w:val="single"/>
        </w:rPr>
        <w:t>2</w:t>
      </w:r>
      <w:r w:rsidRPr="00392F4D">
        <w:rPr>
          <w:b/>
          <w:u w:val="single"/>
        </w:rPr>
        <w:t>:</w:t>
      </w:r>
      <w:r w:rsidRPr="00392F4D">
        <w:t xml:space="preserve"> </w:t>
      </w:r>
      <w:r>
        <w:t>Allow up to 2 symbols in DL control region. The number of control symbol can be semi-statically configurable or specified per system BW and numerology.</w:t>
      </w:r>
    </w:p>
    <w:p w14:paraId="778B9AC0" w14:textId="77777777" w:rsidR="0009569B" w:rsidRDefault="0009569B" w:rsidP="0009569B">
      <w:r>
        <w:rPr>
          <w:b/>
          <w:u w:val="single"/>
        </w:rPr>
        <w:t>Proposal</w:t>
      </w:r>
      <w:r w:rsidRPr="00392F4D">
        <w:rPr>
          <w:b/>
          <w:u w:val="single"/>
        </w:rPr>
        <w:t xml:space="preserve"> </w:t>
      </w:r>
      <w:r>
        <w:rPr>
          <w:b/>
          <w:u w:val="single"/>
        </w:rPr>
        <w:t>3</w:t>
      </w:r>
      <w:r w:rsidRPr="00392F4D">
        <w:rPr>
          <w:b/>
          <w:u w:val="single"/>
        </w:rPr>
        <w:t>:</w:t>
      </w:r>
      <w:r w:rsidRPr="00392F4D">
        <w:t xml:space="preserve"> </w:t>
      </w:r>
      <w:r>
        <w:t>RS for PDCCH is transmitted on the 1</w:t>
      </w:r>
      <w:r w:rsidRPr="00D35F8E">
        <w:rPr>
          <w:vertAlign w:val="superscript"/>
        </w:rPr>
        <w:t>st</w:t>
      </w:r>
      <w:r>
        <w:t xml:space="preserve"> symbol in DL control region in each slot.</w:t>
      </w:r>
    </w:p>
    <w:p w14:paraId="41BCA0BA" w14:textId="77777777" w:rsidR="0009569B" w:rsidRDefault="0009569B" w:rsidP="0009569B">
      <w:r>
        <w:rPr>
          <w:b/>
          <w:u w:val="single"/>
        </w:rPr>
        <w:t>Proposal</w:t>
      </w:r>
      <w:r w:rsidRPr="00392F4D">
        <w:rPr>
          <w:b/>
          <w:u w:val="single"/>
        </w:rPr>
        <w:t xml:space="preserve"> </w:t>
      </w:r>
      <w:r>
        <w:rPr>
          <w:b/>
          <w:u w:val="single"/>
        </w:rPr>
        <w:t>4</w:t>
      </w:r>
      <w:r w:rsidRPr="00392F4D">
        <w:rPr>
          <w:b/>
          <w:u w:val="single"/>
        </w:rPr>
        <w:t>:</w:t>
      </w:r>
      <w:r w:rsidRPr="00392F4D">
        <w:t xml:space="preserve"> </w:t>
      </w:r>
      <w:r>
        <w:t>Consider both single-part/multi-part PDCCH structure.</w:t>
      </w:r>
    </w:p>
    <w:p w14:paraId="7C6EC57A" w14:textId="77777777" w:rsidR="0009569B" w:rsidRDefault="0009569B" w:rsidP="0009569B">
      <w:r>
        <w:rPr>
          <w:b/>
          <w:u w:val="single"/>
        </w:rPr>
        <w:t>Proposal</w:t>
      </w:r>
      <w:r w:rsidRPr="00392F4D">
        <w:rPr>
          <w:b/>
          <w:u w:val="single"/>
        </w:rPr>
        <w:t xml:space="preserve"> </w:t>
      </w:r>
      <w:r>
        <w:rPr>
          <w:b/>
          <w:u w:val="single"/>
        </w:rPr>
        <w:t>5</w:t>
      </w:r>
      <w:r w:rsidRPr="00392F4D">
        <w:rPr>
          <w:b/>
          <w:u w:val="single"/>
        </w:rPr>
        <w:t>:</w:t>
      </w:r>
      <w:r w:rsidRPr="00392F4D">
        <w:t xml:space="preserve"> </w:t>
      </w:r>
      <w:r>
        <w:t>Consider the following multi-part PDCCH structure.</w:t>
      </w:r>
    </w:p>
    <w:p w14:paraId="409AC538" w14:textId="77777777" w:rsidR="0009569B" w:rsidRPr="00BF0862" w:rsidRDefault="0009569B" w:rsidP="0009569B">
      <w:pPr>
        <w:pStyle w:val="ListParagraph"/>
        <w:numPr>
          <w:ilvl w:val="0"/>
          <w:numId w:val="30"/>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part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part is transmitted on the 2</w:t>
      </w:r>
      <w:r w:rsidRPr="00BF0862">
        <w:rPr>
          <w:rFonts w:ascii="Times New Roman" w:hAnsi="Times New Roman"/>
          <w:sz w:val="20"/>
          <w:szCs w:val="20"/>
          <w:vertAlign w:val="superscript"/>
        </w:rPr>
        <w:t>nd</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w:t>
      </w:r>
    </w:p>
    <w:p w14:paraId="0C8CBE67" w14:textId="77777777" w:rsidR="0009569B" w:rsidRDefault="0009569B" w:rsidP="0009569B">
      <w:pPr>
        <w:pStyle w:val="ListParagraph"/>
        <w:numPr>
          <w:ilvl w:val="0"/>
          <w:numId w:val="30"/>
        </w:numPr>
        <w:jc w:val="both"/>
        <w:rPr>
          <w:rFonts w:ascii="Times New Roman" w:hAnsi="Times New Roman"/>
          <w:sz w:val="20"/>
          <w:szCs w:val="20"/>
        </w:rPr>
      </w:pPr>
      <w:r w:rsidRPr="00BF0862">
        <w:rPr>
          <w:rFonts w:ascii="Times New Roman" w:hAnsi="Times New Roman"/>
          <w:sz w:val="20"/>
          <w:szCs w:val="20"/>
        </w:rPr>
        <w:t>1</w:t>
      </w:r>
      <w:r w:rsidRPr="00BF0862">
        <w:rPr>
          <w:rFonts w:ascii="Times New Roman" w:hAnsi="Times New Roman"/>
          <w:sz w:val="20"/>
          <w:szCs w:val="20"/>
          <w:vertAlign w:val="superscript"/>
        </w:rPr>
        <w:t>st</w:t>
      </w:r>
      <w:r w:rsidRPr="00BF0862">
        <w:rPr>
          <w:rFonts w:ascii="Times New Roman" w:hAnsi="Times New Roman"/>
          <w:sz w:val="20"/>
          <w:szCs w:val="20"/>
        </w:rPr>
        <w:t xml:space="preserve"> part is transmitted on the 1</w:t>
      </w:r>
      <w:r w:rsidRPr="00BF0862">
        <w:rPr>
          <w:rFonts w:ascii="Times New Roman" w:hAnsi="Times New Roman"/>
          <w:sz w:val="20"/>
          <w:szCs w:val="20"/>
          <w:vertAlign w:val="superscript"/>
        </w:rPr>
        <w:t>st</w:t>
      </w:r>
      <w:r w:rsidRPr="00BF0862">
        <w:rPr>
          <w:rFonts w:ascii="Times New Roman" w:hAnsi="Times New Roman"/>
          <w:sz w:val="20"/>
          <w:szCs w:val="20"/>
        </w:rPr>
        <w:t xml:space="preserve"> symbol in </w:t>
      </w:r>
      <w:r>
        <w:rPr>
          <w:rFonts w:ascii="Times New Roman" w:hAnsi="Times New Roman"/>
          <w:sz w:val="20"/>
          <w:szCs w:val="20"/>
        </w:rPr>
        <w:t xml:space="preserve">DL </w:t>
      </w:r>
      <w:r w:rsidRPr="00BF0862">
        <w:rPr>
          <w:rFonts w:ascii="Times New Roman" w:hAnsi="Times New Roman"/>
          <w:sz w:val="20"/>
          <w:szCs w:val="20"/>
        </w:rPr>
        <w:t xml:space="preserve">control </w:t>
      </w:r>
      <w:r>
        <w:rPr>
          <w:rFonts w:ascii="Times New Roman" w:hAnsi="Times New Roman"/>
          <w:sz w:val="20"/>
          <w:szCs w:val="20"/>
        </w:rPr>
        <w:t>region</w:t>
      </w:r>
      <w:r w:rsidRPr="00BF0862">
        <w:rPr>
          <w:rFonts w:ascii="Times New Roman" w:hAnsi="Times New Roman"/>
          <w:sz w:val="20"/>
          <w:szCs w:val="20"/>
        </w:rPr>
        <w:t xml:space="preserve"> and 2</w:t>
      </w:r>
      <w:r w:rsidRPr="00BF0862">
        <w:rPr>
          <w:rFonts w:ascii="Times New Roman" w:hAnsi="Times New Roman"/>
          <w:sz w:val="20"/>
          <w:szCs w:val="20"/>
          <w:vertAlign w:val="superscript"/>
        </w:rPr>
        <w:t>nd</w:t>
      </w:r>
      <w:r w:rsidRPr="00BF0862">
        <w:rPr>
          <w:rFonts w:ascii="Times New Roman" w:hAnsi="Times New Roman"/>
          <w:sz w:val="20"/>
          <w:szCs w:val="20"/>
        </w:rPr>
        <w:t xml:space="preserve"> part is transmitted in </w:t>
      </w:r>
      <w:r>
        <w:rPr>
          <w:rFonts w:ascii="Times New Roman" w:hAnsi="Times New Roman"/>
          <w:sz w:val="20"/>
          <w:szCs w:val="20"/>
        </w:rPr>
        <w:t>the data region</w:t>
      </w:r>
      <w:r w:rsidRPr="00BF0862">
        <w:rPr>
          <w:rFonts w:ascii="Times New Roman" w:hAnsi="Times New Roman"/>
          <w:sz w:val="20"/>
          <w:szCs w:val="20"/>
        </w:rPr>
        <w:t xml:space="preserve"> for DL centric slot.</w:t>
      </w:r>
    </w:p>
    <w:p w14:paraId="7B0800BC" w14:textId="77777777" w:rsidR="0009569B" w:rsidRPr="0009569B" w:rsidRDefault="0009569B" w:rsidP="0009569B">
      <w:pPr>
        <w:jc w:val="both"/>
      </w:pPr>
    </w:p>
    <w:p w14:paraId="43B7F896" w14:textId="5D50D665" w:rsidR="00E523F3" w:rsidRPr="000A64D8" w:rsidRDefault="00E523F3" w:rsidP="00E523F3">
      <w:pPr>
        <w:pStyle w:val="Heading1"/>
        <w:rPr>
          <w:lang w:val="en-US"/>
        </w:rPr>
      </w:pPr>
      <w:r w:rsidRPr="000A64D8">
        <w:rPr>
          <w:lang w:val="en-US"/>
        </w:rPr>
        <w:t>References</w:t>
      </w:r>
    </w:p>
    <w:p w14:paraId="70F21215" w14:textId="6E47300C" w:rsidR="00804B56" w:rsidRDefault="00AB30CA" w:rsidP="000D0F78">
      <w:pPr>
        <w:numPr>
          <w:ilvl w:val="0"/>
          <w:numId w:val="2"/>
        </w:numPr>
        <w:spacing w:before="100" w:beforeAutospacing="1" w:after="100" w:afterAutospacing="1"/>
        <w:rPr>
          <w:szCs w:val="22"/>
        </w:rPr>
      </w:pPr>
      <w:r>
        <w:rPr>
          <w:szCs w:val="22"/>
        </w:rPr>
        <w:t>R1-1610177, “DL control channels overview”, Qualcomm Incorporated, RAN1#86b</w:t>
      </w:r>
    </w:p>
    <w:p w14:paraId="57A6D633" w14:textId="18515E28" w:rsidR="005211FC" w:rsidRPr="0009569B" w:rsidRDefault="005211FC" w:rsidP="00503813">
      <w:pPr>
        <w:numPr>
          <w:ilvl w:val="0"/>
          <w:numId w:val="2"/>
        </w:numPr>
        <w:spacing w:before="100" w:beforeAutospacing="1" w:after="100" w:afterAutospacing="1"/>
        <w:rPr>
          <w:szCs w:val="22"/>
        </w:rPr>
      </w:pPr>
      <w:r w:rsidRPr="0009569B">
        <w:rPr>
          <w:szCs w:val="22"/>
        </w:rPr>
        <w:t>R1-166361, “Control interval and scheduling interval”, RAN1#86, Qualcomm Incorporated</w:t>
      </w:r>
    </w:p>
    <w:sectPr w:rsidR="005211FC" w:rsidRPr="0009569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C8108" w14:textId="77777777" w:rsidR="003019BC" w:rsidRDefault="003019BC">
      <w:r>
        <w:separator/>
      </w:r>
    </w:p>
  </w:endnote>
  <w:endnote w:type="continuationSeparator" w:id="0">
    <w:p w14:paraId="3F9DD9E2" w14:textId="77777777" w:rsidR="003019BC" w:rsidRDefault="003019BC">
      <w:r>
        <w:continuationSeparator/>
      </w:r>
    </w:p>
  </w:endnote>
  <w:endnote w:type="continuationNotice" w:id="1">
    <w:p w14:paraId="4BFF3C2A" w14:textId="77777777" w:rsidR="003019BC" w:rsidRDefault="00301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6258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258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4CFCC" w14:textId="77777777" w:rsidR="003019BC" w:rsidRDefault="003019BC">
      <w:r>
        <w:separator/>
      </w:r>
    </w:p>
  </w:footnote>
  <w:footnote w:type="continuationSeparator" w:id="0">
    <w:p w14:paraId="429EEEAE" w14:textId="77777777" w:rsidR="003019BC" w:rsidRDefault="003019BC">
      <w:r>
        <w:continuationSeparator/>
      </w:r>
    </w:p>
  </w:footnote>
  <w:footnote w:type="continuationNotice" w:id="1">
    <w:p w14:paraId="75C5DC8E" w14:textId="77777777" w:rsidR="003019BC" w:rsidRDefault="003019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F0B88"/>
    <w:multiLevelType w:val="hybridMultilevel"/>
    <w:tmpl w:val="6B484BF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CB6CCC"/>
    <w:multiLevelType w:val="hybridMultilevel"/>
    <w:tmpl w:val="54B62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46AFF"/>
    <w:multiLevelType w:val="hybridMultilevel"/>
    <w:tmpl w:val="78F8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57C1F"/>
    <w:multiLevelType w:val="hybridMultilevel"/>
    <w:tmpl w:val="F39082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63C5C"/>
    <w:multiLevelType w:val="hybridMultilevel"/>
    <w:tmpl w:val="A10EF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531C0"/>
    <w:multiLevelType w:val="hybridMultilevel"/>
    <w:tmpl w:val="7F06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20"/>
  </w:num>
  <w:num w:numId="5">
    <w:abstractNumId w:val="4"/>
  </w:num>
  <w:num w:numId="6">
    <w:abstractNumId w:val="7"/>
  </w:num>
  <w:num w:numId="7">
    <w:abstractNumId w:val="9"/>
  </w:num>
  <w:num w:numId="8">
    <w:abstractNumId w:val="1"/>
  </w:num>
  <w:num w:numId="9">
    <w:abstractNumId w:val="34"/>
    <w:lvlOverride w:ilvl="0">
      <w:startOverride w:val="1"/>
    </w:lvlOverride>
  </w:num>
  <w:num w:numId="10">
    <w:abstractNumId w:val="22"/>
  </w:num>
  <w:num w:numId="11">
    <w:abstractNumId w:val="27"/>
  </w:num>
  <w:num w:numId="12">
    <w:abstractNumId w:val="28"/>
  </w:num>
  <w:num w:numId="13">
    <w:abstractNumId w:val="13"/>
  </w:num>
  <w:num w:numId="14">
    <w:abstractNumId w:val="26"/>
  </w:num>
  <w:num w:numId="15">
    <w:abstractNumId w:val="6"/>
  </w:num>
  <w:num w:numId="16">
    <w:abstractNumId w:val="19"/>
  </w:num>
  <w:num w:numId="17">
    <w:abstractNumId w:val="11"/>
  </w:num>
  <w:num w:numId="18">
    <w:abstractNumId w:val="31"/>
  </w:num>
  <w:num w:numId="19">
    <w:abstractNumId w:val="35"/>
  </w:num>
  <w:num w:numId="20">
    <w:abstractNumId w:val="10"/>
  </w:num>
  <w:num w:numId="21">
    <w:abstractNumId w:val="30"/>
  </w:num>
  <w:num w:numId="22">
    <w:abstractNumId w:val="2"/>
  </w:num>
  <w:num w:numId="23">
    <w:abstractNumId w:val="12"/>
  </w:num>
  <w:num w:numId="24">
    <w:abstractNumId w:val="8"/>
  </w:num>
  <w:num w:numId="25">
    <w:abstractNumId w:val="5"/>
  </w:num>
  <w:num w:numId="26">
    <w:abstractNumId w:val="24"/>
  </w:num>
  <w:num w:numId="27">
    <w:abstractNumId w:val="29"/>
  </w:num>
  <w:num w:numId="28">
    <w:abstractNumId w:val="21"/>
  </w:num>
  <w:num w:numId="29">
    <w:abstractNumId w:val="32"/>
  </w:num>
  <w:num w:numId="30">
    <w:abstractNumId w:val="14"/>
  </w:num>
  <w:num w:numId="31">
    <w:abstractNumId w:val="25"/>
  </w:num>
  <w:num w:numId="32">
    <w:abstractNumId w:val="17"/>
  </w:num>
  <w:num w:numId="33">
    <w:abstractNumId w:val="16"/>
  </w:num>
  <w:num w:numId="34">
    <w:abstractNumId w:val="23"/>
  </w:num>
  <w:num w:numId="35">
    <w:abstractNumId w:val="33"/>
  </w:num>
  <w:num w:numId="3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9B"/>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A3"/>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54"/>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8E2"/>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9BC"/>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7D"/>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46D8"/>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06"/>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1EED"/>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6B49"/>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842"/>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A97"/>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1FC"/>
    <w:rsid w:val="00521294"/>
    <w:rsid w:val="00521D65"/>
    <w:rsid w:val="005221A4"/>
    <w:rsid w:val="00522C10"/>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5A93"/>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709"/>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EEA"/>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1C"/>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06D"/>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6A8"/>
    <w:rsid w:val="00933D61"/>
    <w:rsid w:val="00933DE4"/>
    <w:rsid w:val="00934044"/>
    <w:rsid w:val="00934FFD"/>
    <w:rsid w:val="009359C0"/>
    <w:rsid w:val="00935B52"/>
    <w:rsid w:val="009360F7"/>
    <w:rsid w:val="0093634D"/>
    <w:rsid w:val="00936D07"/>
    <w:rsid w:val="009370A6"/>
    <w:rsid w:val="009373C5"/>
    <w:rsid w:val="009375F4"/>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5BF9"/>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CA"/>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D3D"/>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EE3"/>
    <w:rsid w:val="00D57F0A"/>
    <w:rsid w:val="00D60207"/>
    <w:rsid w:val="00D6041F"/>
    <w:rsid w:val="00D60BCB"/>
    <w:rsid w:val="00D60C1A"/>
    <w:rsid w:val="00D60CB2"/>
    <w:rsid w:val="00D60DD4"/>
    <w:rsid w:val="00D610FA"/>
    <w:rsid w:val="00D61697"/>
    <w:rsid w:val="00D62243"/>
    <w:rsid w:val="00D6258D"/>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851"/>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7CE"/>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0A1"/>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9CF"/>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HR33RHYHUWRF-4-557</_dlc_DocId>
    <_dlc_DocIdUrl xmlns="c06861ca-3f08-4d07-bff7-bb15bac121f4">
      <Url>https://projects.qualcomm.com/sites/pentari/_layouts/15/DocIdRedir.aspx?ID=HR33RHYHUWRF-4-557</Url>
      <Description>HR33RHYHUWRF-4-557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F0C6C6B1-29E7-4CB0-8DB5-DA668F85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8991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Heechoon Lee</cp:lastModifiedBy>
  <cp:revision>3</cp:revision>
  <cp:lastPrinted>2014-11-07T05:38:00Z</cp:lastPrinted>
  <dcterms:created xsi:type="dcterms:W3CDTF">2016-11-05T05:37:00Z</dcterms:created>
  <dcterms:modified xsi:type="dcterms:W3CDTF">2016-11-05T05:38:00Z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d61e779a-ab6d-4d3f-b973-76560b697a3a</vt:lpwstr>
  </property>
  <property fmtid="{D5CDD505-2E9C-101B-9397-08002B2CF9AE}" pid="4" name="_AdHocReviewCycleID">
    <vt:i4>956850530</vt:i4>
  </property>
  <property fmtid="{D5CDD505-2E9C-101B-9397-08002B2CF9AE}" pid="5" name="_NewReviewCycle">
    <vt:lpwstr/>
  </property>
  <property fmtid="{D5CDD505-2E9C-101B-9397-08002B2CF9AE}" pid="6" name="_EmailSubject">
    <vt:lpwstr>Control channel contributions for RAN1#87</vt:lpwstr>
  </property>
  <property fmtid="{D5CDD505-2E9C-101B-9397-08002B2CF9AE}" pid="7" name="_AuthorEmail">
    <vt:lpwstr>jingsun@qti.qualcomm.com</vt:lpwstr>
  </property>
  <property fmtid="{D5CDD505-2E9C-101B-9397-08002B2CF9AE}" pid="8" name="_AuthorEmailDisplayName">
    <vt:lpwstr>Sun, Jing</vt:lpwstr>
  </property>
  <property fmtid="{D5CDD505-2E9C-101B-9397-08002B2CF9AE}" pid="9" name="_ReviewingToolsShownOnce">
    <vt:lpwstr/>
  </property>
</Properties>
</file>