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3B4F21CA"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D54D4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AB329E" w:rsidRPr="00AB329E">
        <w:rPr>
          <w:rFonts w:ascii="Arial" w:hAnsi="Arial" w:cs="Arial"/>
          <w:b/>
          <w:sz w:val="24"/>
          <w:szCs w:val="24"/>
        </w:rPr>
        <w:t>R1-1612053</w:t>
      </w:r>
    </w:p>
    <w:p w14:paraId="3DB44C9C" w14:textId="481ECCE9"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w:t>
      </w:r>
      <w:r w:rsidR="00D54D49">
        <w:rPr>
          <w:rFonts w:ascii="Arial" w:hAnsi="Arial" w:cs="Arial"/>
          <w:b/>
          <w:sz w:val="24"/>
          <w:szCs w:val="24"/>
        </w:rPr>
        <w:t>4</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w:t>
      </w:r>
      <w:r w:rsidR="00D54D49">
        <w:rPr>
          <w:rFonts w:ascii="Arial" w:hAnsi="Arial" w:cs="Arial"/>
          <w:b/>
          <w:sz w:val="24"/>
          <w:szCs w:val="24"/>
        </w:rPr>
        <w:t>8</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sidR="00D54D49">
        <w:rPr>
          <w:rFonts w:ascii="Arial" w:hAnsi="Arial" w:cs="Arial"/>
          <w:b/>
          <w:sz w:val="24"/>
          <w:szCs w:val="24"/>
        </w:rPr>
        <w:t>November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19CBABA9" w:rsidR="00D42D5D" w:rsidRPr="000A64D8" w:rsidRDefault="00D54D49" w:rsidP="00D42D5D">
      <w:pPr>
        <w:spacing w:after="0"/>
        <w:rPr>
          <w:rFonts w:ascii="Arial" w:hAnsi="Arial" w:cs="Arial"/>
          <w:b/>
          <w:sz w:val="24"/>
          <w:szCs w:val="24"/>
        </w:rPr>
      </w:pPr>
      <w:r>
        <w:rPr>
          <w:rFonts w:ascii="Arial" w:hAnsi="Arial" w:cs="Arial"/>
          <w:b/>
          <w:sz w:val="24"/>
          <w:szCs w:val="24"/>
        </w:rPr>
        <w:t xml:space="preserve">Reno, </w:t>
      </w:r>
      <w:r w:rsidR="00A35B6F">
        <w:rPr>
          <w:rFonts w:ascii="Arial" w:hAnsi="Arial" w:cs="Arial"/>
          <w:b/>
          <w:sz w:val="24"/>
          <w:szCs w:val="24"/>
        </w:rPr>
        <w:t>Nevada</w:t>
      </w:r>
      <w:r>
        <w:rPr>
          <w:rFonts w:ascii="Arial" w:hAnsi="Arial" w:cs="Arial"/>
          <w:b/>
          <w:sz w:val="24"/>
          <w:szCs w:val="24"/>
        </w:rPr>
        <w:t>, USA</w:t>
      </w:r>
    </w:p>
    <w:p w14:paraId="171BD919" w14:textId="77777777" w:rsidR="0068226B" w:rsidRPr="000A64D8" w:rsidRDefault="0068226B" w:rsidP="00480B03">
      <w:pPr>
        <w:pStyle w:val="Footer"/>
        <w:jc w:val="both"/>
        <w:rPr>
          <w:noProof w:val="0"/>
        </w:rPr>
      </w:pPr>
    </w:p>
    <w:p w14:paraId="22644A68" w14:textId="5CB3C7F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54D49">
        <w:rPr>
          <w:rFonts w:ascii="Arial" w:hAnsi="Arial"/>
          <w:sz w:val="24"/>
        </w:rPr>
        <w:t>7</w:t>
      </w:r>
      <w:r w:rsidR="00B214D2">
        <w:rPr>
          <w:rFonts w:ascii="Arial" w:hAnsi="Arial"/>
          <w:sz w:val="24"/>
        </w:rPr>
        <w:t>.1.</w:t>
      </w:r>
      <w:r w:rsidR="00D54D49">
        <w:rPr>
          <w:rFonts w:ascii="Arial" w:hAnsi="Arial"/>
          <w:sz w:val="24"/>
        </w:rPr>
        <w:t>3</w:t>
      </w:r>
      <w:r w:rsidR="004204CB">
        <w:rPr>
          <w:rFonts w:ascii="Arial" w:hAnsi="Arial"/>
          <w:sz w:val="24"/>
        </w:rPr>
        <w:t>.</w:t>
      </w:r>
      <w:r w:rsidR="005051D9">
        <w:rPr>
          <w:rFonts w:ascii="Arial" w:hAnsi="Arial"/>
          <w:sz w:val="24"/>
        </w:rPr>
        <w:t>2</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07C24623"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GoBack"/>
      <w:r w:rsidR="00DE0F28" w:rsidRPr="00EE4DE7">
        <w:rPr>
          <w:rFonts w:ascii="Arial" w:hAnsi="Arial"/>
          <w:sz w:val="24"/>
        </w:rPr>
        <w:t>Views on Quasi Co-Located Antenna Ports</w:t>
      </w:r>
      <w:bookmarkEnd w:id="1"/>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6BFC9A20" w14:textId="36624E2F" w:rsidR="002D0391" w:rsidRDefault="002D0391" w:rsidP="002D0391">
      <w:pPr>
        <w:spacing w:before="120"/>
        <w:jc w:val="both"/>
        <w:rPr>
          <w:lang w:val="en-GB"/>
        </w:rPr>
      </w:pPr>
      <w:r>
        <w:rPr>
          <w:lang w:val="en-GB"/>
        </w:rPr>
        <w:t>In RAN1#8</w:t>
      </w:r>
      <w:r w:rsidR="009B2F54">
        <w:rPr>
          <w:lang w:val="en-GB"/>
        </w:rPr>
        <w:t>6bis</w:t>
      </w:r>
      <w:r>
        <w:rPr>
          <w:lang w:val="en-GB"/>
        </w:rPr>
        <w:t xml:space="preserve">, </w:t>
      </w:r>
      <w:r w:rsidR="00040E6C">
        <w:rPr>
          <w:lang w:val="en-GB"/>
        </w:rPr>
        <w:t>two</w:t>
      </w:r>
      <w:r>
        <w:rPr>
          <w:lang w:val="en-GB"/>
        </w:rPr>
        <w:t xml:space="preserve"> WF</w:t>
      </w:r>
      <w:r w:rsidR="00040E6C">
        <w:rPr>
          <w:lang w:val="en-GB"/>
        </w:rPr>
        <w:t>s</w:t>
      </w:r>
      <w:r>
        <w:rPr>
          <w:lang w:val="en-GB"/>
        </w:rPr>
        <w:t xml:space="preserve"> on the antenna ports QCL in NR [</w:t>
      </w:r>
      <w:r w:rsidR="001C3538">
        <w:rPr>
          <w:lang w:val="en-GB"/>
        </w:rPr>
        <w:t>1-</w:t>
      </w:r>
      <w:r>
        <w:rPr>
          <w:lang w:val="en-GB"/>
        </w:rPr>
        <w:t>2] w</w:t>
      </w:r>
      <w:r w:rsidR="00040E6C">
        <w:rPr>
          <w:lang w:val="en-GB"/>
        </w:rPr>
        <w:t xml:space="preserve">ere discussed.  </w:t>
      </w:r>
      <w:r w:rsidR="007851C1">
        <w:rPr>
          <w:lang w:val="en-GB"/>
        </w:rPr>
        <w:t>The agreements are as follows</w:t>
      </w:r>
      <w:r w:rsidR="00040E6C">
        <w:rPr>
          <w:lang w:val="en-GB"/>
        </w:rPr>
        <w:t xml:space="preserve"> [</w:t>
      </w:r>
      <w:r w:rsidR="005F3D49">
        <w:rPr>
          <w:lang w:val="en-GB"/>
        </w:rPr>
        <w:t>3</w:t>
      </w:r>
      <w:r w:rsidR="00040E6C">
        <w:rPr>
          <w:lang w:val="en-GB"/>
        </w:rPr>
        <w:t>]</w:t>
      </w:r>
      <w:r w:rsidR="007851C1">
        <w:rPr>
          <w:lang w:val="en-GB"/>
        </w:rPr>
        <w:t>.</w:t>
      </w:r>
    </w:p>
    <w:p w14:paraId="580B31FD" w14:textId="77777777" w:rsidR="00040E6C" w:rsidRPr="00040E6C" w:rsidRDefault="00040E6C" w:rsidP="00040E6C">
      <w:pPr>
        <w:numPr>
          <w:ilvl w:val="0"/>
          <w:numId w:val="9"/>
        </w:numPr>
        <w:overflowPunct/>
        <w:autoSpaceDE/>
        <w:autoSpaceDN/>
        <w:adjustRightInd/>
        <w:spacing w:after="0"/>
        <w:textAlignment w:val="auto"/>
        <w:rPr>
          <w:i/>
        </w:rPr>
      </w:pPr>
      <w:r w:rsidRPr="00040E6C">
        <w:rPr>
          <w:i/>
        </w:rPr>
        <w:t>QCL framework in NR is extended with new spatial QCL parameter(s) to support UE side beamforming/receiving procedure</w:t>
      </w:r>
    </w:p>
    <w:p w14:paraId="4089AE6C"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FFS details (e.g., receive angle of arrival, transmit angle of departure, spatial correlation of receiver antennas, Rx/</w:t>
      </w:r>
      <w:proofErr w:type="spellStart"/>
      <w:r w:rsidRPr="00040E6C">
        <w:rPr>
          <w:i/>
        </w:rPr>
        <w:t>Tx</w:t>
      </w:r>
      <w:proofErr w:type="spellEnd"/>
      <w:r w:rsidRPr="00040E6C">
        <w:rPr>
          <w:i/>
        </w:rPr>
        <w:t xml:space="preserve"> beamforming, etc.)</w:t>
      </w:r>
    </w:p>
    <w:p w14:paraId="7CF53435" w14:textId="77777777" w:rsidR="00040E6C" w:rsidRPr="00040E6C" w:rsidRDefault="00040E6C" w:rsidP="00040E6C">
      <w:pPr>
        <w:numPr>
          <w:ilvl w:val="0"/>
          <w:numId w:val="9"/>
        </w:numPr>
        <w:overflowPunct/>
        <w:autoSpaceDE/>
        <w:autoSpaceDN/>
        <w:adjustRightInd/>
        <w:spacing w:after="0"/>
        <w:textAlignment w:val="auto"/>
        <w:rPr>
          <w:i/>
        </w:rPr>
      </w:pPr>
      <w:r w:rsidRPr="00040E6C">
        <w:rPr>
          <w:i/>
        </w:rPr>
        <w:t>For DM-RS antenna ports, NR supports:</w:t>
      </w:r>
    </w:p>
    <w:p w14:paraId="65E0C053"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All ports are QCL-</w:t>
      </w:r>
      <w:proofErr w:type="spellStart"/>
      <w:r w:rsidRPr="00040E6C">
        <w:rPr>
          <w:i/>
        </w:rPr>
        <w:t>ed</w:t>
      </w:r>
      <w:proofErr w:type="spellEnd"/>
    </w:p>
    <w:p w14:paraId="7A3F1FB8"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Not all ports are QCL-</w:t>
      </w:r>
      <w:proofErr w:type="spellStart"/>
      <w:r w:rsidRPr="00040E6C">
        <w:rPr>
          <w:i/>
        </w:rPr>
        <w:t>ed</w:t>
      </w:r>
      <w:proofErr w:type="spellEnd"/>
    </w:p>
    <w:p w14:paraId="62B0C170" w14:textId="77777777" w:rsidR="00040E6C" w:rsidRPr="00040E6C" w:rsidRDefault="00040E6C" w:rsidP="00040E6C">
      <w:pPr>
        <w:numPr>
          <w:ilvl w:val="2"/>
          <w:numId w:val="9"/>
        </w:numPr>
        <w:overflowPunct/>
        <w:autoSpaceDE/>
        <w:autoSpaceDN/>
        <w:adjustRightInd/>
        <w:spacing w:after="0"/>
        <w:textAlignment w:val="auto"/>
        <w:rPr>
          <w:i/>
        </w:rPr>
      </w:pPr>
      <w:r w:rsidRPr="00040E6C">
        <w:rPr>
          <w:i/>
        </w:rPr>
        <w:t>FFS on details</w:t>
      </w:r>
    </w:p>
    <w:p w14:paraId="31F9DF99" w14:textId="77777777" w:rsidR="00040E6C" w:rsidRPr="00040E6C" w:rsidRDefault="00040E6C" w:rsidP="00040E6C">
      <w:pPr>
        <w:numPr>
          <w:ilvl w:val="0"/>
          <w:numId w:val="9"/>
        </w:numPr>
        <w:overflowPunct/>
        <w:autoSpaceDE/>
        <w:autoSpaceDN/>
        <w:adjustRightInd/>
        <w:spacing w:after="0"/>
        <w:textAlignment w:val="auto"/>
        <w:rPr>
          <w:i/>
        </w:rPr>
      </w:pPr>
      <w:r w:rsidRPr="00040E6C">
        <w:rPr>
          <w:i/>
        </w:rPr>
        <w:t>FFS, e.g.:</w:t>
      </w:r>
    </w:p>
    <w:p w14:paraId="5A03B85D"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QCL between antenna ports transmitted on different CCs</w:t>
      </w:r>
    </w:p>
    <w:p w14:paraId="5BC4A213"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QCL between CSI-RS antenna ports within one CSI-RS resource</w:t>
      </w:r>
    </w:p>
    <w:p w14:paraId="218A8806" w14:textId="77777777" w:rsidR="00040E6C" w:rsidRPr="00040E6C" w:rsidRDefault="00040E6C" w:rsidP="00040E6C">
      <w:pPr>
        <w:numPr>
          <w:ilvl w:val="2"/>
          <w:numId w:val="9"/>
        </w:numPr>
        <w:overflowPunct/>
        <w:autoSpaceDE/>
        <w:autoSpaceDN/>
        <w:adjustRightInd/>
        <w:spacing w:after="0"/>
        <w:textAlignment w:val="auto"/>
        <w:rPr>
          <w:i/>
        </w:rPr>
      </w:pPr>
      <w:r w:rsidRPr="00040E6C">
        <w:rPr>
          <w:i/>
        </w:rPr>
        <w:t>All ports are QCL-</w:t>
      </w:r>
      <w:proofErr w:type="spellStart"/>
      <w:r w:rsidRPr="00040E6C">
        <w:rPr>
          <w:i/>
        </w:rPr>
        <w:t>ed</w:t>
      </w:r>
      <w:proofErr w:type="spellEnd"/>
    </w:p>
    <w:p w14:paraId="5A910ED7" w14:textId="77777777" w:rsidR="00040E6C" w:rsidRPr="00040E6C" w:rsidRDefault="00040E6C" w:rsidP="00040E6C">
      <w:pPr>
        <w:numPr>
          <w:ilvl w:val="2"/>
          <w:numId w:val="9"/>
        </w:numPr>
        <w:overflowPunct/>
        <w:autoSpaceDE/>
        <w:autoSpaceDN/>
        <w:adjustRightInd/>
        <w:spacing w:after="0"/>
        <w:textAlignment w:val="auto"/>
        <w:rPr>
          <w:i/>
        </w:rPr>
      </w:pPr>
      <w:r w:rsidRPr="00040E6C">
        <w:rPr>
          <w:i/>
        </w:rPr>
        <w:t>Not all ports are QCL-</w:t>
      </w:r>
      <w:proofErr w:type="spellStart"/>
      <w:r w:rsidRPr="00040E6C">
        <w:rPr>
          <w:i/>
        </w:rPr>
        <w:t>ed</w:t>
      </w:r>
      <w:proofErr w:type="spellEnd"/>
    </w:p>
    <w:p w14:paraId="09F344F2"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QCL between CSI-RS antenna ports within two or more CSI-RS resources</w:t>
      </w:r>
    </w:p>
    <w:p w14:paraId="54A8AE89" w14:textId="77777777" w:rsidR="00040E6C" w:rsidRPr="00040E6C" w:rsidRDefault="00040E6C" w:rsidP="00040E6C">
      <w:pPr>
        <w:numPr>
          <w:ilvl w:val="2"/>
          <w:numId w:val="9"/>
        </w:numPr>
        <w:overflowPunct/>
        <w:autoSpaceDE/>
        <w:autoSpaceDN/>
        <w:adjustRightInd/>
        <w:spacing w:after="0"/>
        <w:textAlignment w:val="auto"/>
        <w:rPr>
          <w:i/>
        </w:rPr>
      </w:pPr>
      <w:r w:rsidRPr="00040E6C">
        <w:rPr>
          <w:i/>
        </w:rPr>
        <w:t>All ports are QCL-</w:t>
      </w:r>
      <w:proofErr w:type="spellStart"/>
      <w:r w:rsidRPr="00040E6C">
        <w:rPr>
          <w:i/>
        </w:rPr>
        <w:t>ed</w:t>
      </w:r>
      <w:proofErr w:type="spellEnd"/>
    </w:p>
    <w:p w14:paraId="663CA791" w14:textId="77777777" w:rsidR="00040E6C" w:rsidRPr="00040E6C" w:rsidRDefault="00040E6C" w:rsidP="00040E6C">
      <w:pPr>
        <w:numPr>
          <w:ilvl w:val="2"/>
          <w:numId w:val="9"/>
        </w:numPr>
        <w:overflowPunct/>
        <w:autoSpaceDE/>
        <w:autoSpaceDN/>
        <w:adjustRightInd/>
        <w:spacing w:after="0"/>
        <w:textAlignment w:val="auto"/>
        <w:rPr>
          <w:i/>
        </w:rPr>
      </w:pPr>
      <w:r w:rsidRPr="00040E6C">
        <w:rPr>
          <w:i/>
        </w:rPr>
        <w:t>Not all ports are QCL-</w:t>
      </w:r>
      <w:proofErr w:type="spellStart"/>
      <w:r w:rsidRPr="00040E6C">
        <w:rPr>
          <w:i/>
        </w:rPr>
        <w:t>ed</w:t>
      </w:r>
      <w:proofErr w:type="spellEnd"/>
    </w:p>
    <w:p w14:paraId="3FF551CC" w14:textId="77777777" w:rsidR="00040E6C" w:rsidRPr="00040E6C" w:rsidRDefault="00040E6C" w:rsidP="00040E6C">
      <w:pPr>
        <w:numPr>
          <w:ilvl w:val="1"/>
          <w:numId w:val="9"/>
        </w:numPr>
        <w:overflowPunct/>
        <w:autoSpaceDE/>
        <w:autoSpaceDN/>
        <w:adjustRightInd/>
        <w:spacing w:after="0"/>
        <w:textAlignment w:val="auto"/>
        <w:rPr>
          <w:i/>
        </w:rPr>
      </w:pPr>
      <w:r w:rsidRPr="00040E6C">
        <w:rPr>
          <w:i/>
        </w:rPr>
        <w:t xml:space="preserve">QCL of a DM-RS antenna port with </w:t>
      </w:r>
      <w:r w:rsidRPr="00040E6C">
        <w:rPr>
          <w:rFonts w:hint="eastAsia"/>
          <w:i/>
        </w:rPr>
        <w:t xml:space="preserve">other </w:t>
      </w:r>
      <w:r w:rsidRPr="00040E6C">
        <w:rPr>
          <w:i/>
        </w:rPr>
        <w:t xml:space="preserve">RS </w:t>
      </w:r>
      <w:r w:rsidRPr="00040E6C">
        <w:rPr>
          <w:rFonts w:hint="eastAsia"/>
          <w:i/>
        </w:rPr>
        <w:t>types</w:t>
      </w:r>
    </w:p>
    <w:p w14:paraId="414FDD12" w14:textId="77777777" w:rsidR="00040E6C" w:rsidRDefault="00040E6C" w:rsidP="00040E6C">
      <w:pPr>
        <w:numPr>
          <w:ilvl w:val="1"/>
          <w:numId w:val="9"/>
        </w:numPr>
        <w:overflowPunct/>
        <w:autoSpaceDE/>
        <w:autoSpaceDN/>
        <w:adjustRightInd/>
        <w:spacing w:after="0"/>
        <w:textAlignment w:val="auto"/>
        <w:rPr>
          <w:i/>
        </w:rPr>
      </w:pPr>
      <w:r w:rsidRPr="00040E6C">
        <w:rPr>
          <w:i/>
        </w:rPr>
        <w:t>QCL considering channel reciprocity</w:t>
      </w:r>
    </w:p>
    <w:p w14:paraId="6240B313" w14:textId="77777777" w:rsidR="006A3365" w:rsidRPr="00040E6C" w:rsidRDefault="006A3365" w:rsidP="006A3365">
      <w:pPr>
        <w:overflowPunct/>
        <w:autoSpaceDE/>
        <w:autoSpaceDN/>
        <w:adjustRightInd/>
        <w:spacing w:after="0"/>
        <w:ind w:left="1440"/>
        <w:textAlignment w:val="auto"/>
        <w:rPr>
          <w:i/>
        </w:rPr>
      </w:pPr>
    </w:p>
    <w:p w14:paraId="4EEA8E41" w14:textId="77777777" w:rsidR="00DA336B" w:rsidRPr="00DA336B" w:rsidRDefault="00DA336B" w:rsidP="00DA336B">
      <w:pPr>
        <w:numPr>
          <w:ilvl w:val="0"/>
          <w:numId w:val="10"/>
        </w:numPr>
        <w:overflowPunct/>
        <w:autoSpaceDE/>
        <w:autoSpaceDN/>
        <w:adjustRightInd/>
        <w:spacing w:after="0"/>
        <w:textAlignment w:val="auto"/>
        <w:rPr>
          <w:i/>
        </w:rPr>
      </w:pPr>
      <w:r w:rsidRPr="00DA336B">
        <w:rPr>
          <w:i/>
        </w:rPr>
        <w:t>Flexible configuration/indication of the QCL assumption should be studied in NR:</w:t>
      </w:r>
    </w:p>
    <w:p w14:paraId="17602763" w14:textId="77777777" w:rsidR="00DA336B" w:rsidRPr="00DA336B" w:rsidRDefault="00DA336B" w:rsidP="00DA336B">
      <w:pPr>
        <w:numPr>
          <w:ilvl w:val="1"/>
          <w:numId w:val="9"/>
        </w:numPr>
        <w:overflowPunct/>
        <w:autoSpaceDE/>
        <w:autoSpaceDN/>
        <w:adjustRightInd/>
        <w:spacing w:after="0"/>
        <w:textAlignment w:val="auto"/>
        <w:rPr>
          <w:i/>
        </w:rPr>
      </w:pPr>
      <w:r w:rsidRPr="00DA336B">
        <w:rPr>
          <w:i/>
        </w:rPr>
        <w:t xml:space="preserve">Possible grouping  of the QCL parameters should be studied: </w:t>
      </w:r>
    </w:p>
    <w:p w14:paraId="5ED3B749" w14:textId="77777777" w:rsidR="00DA336B" w:rsidRPr="00DA336B" w:rsidRDefault="00DA336B" w:rsidP="00DA336B">
      <w:pPr>
        <w:numPr>
          <w:ilvl w:val="2"/>
          <w:numId w:val="10"/>
        </w:numPr>
        <w:overflowPunct/>
        <w:autoSpaceDE/>
        <w:autoSpaceDN/>
        <w:adjustRightInd/>
        <w:spacing w:after="0"/>
        <w:textAlignment w:val="auto"/>
        <w:rPr>
          <w:i/>
        </w:rPr>
      </w:pPr>
      <w:r w:rsidRPr="00DA336B">
        <w:rPr>
          <w:i/>
        </w:rPr>
        <w:t>e.g., average gain, average delay</w:t>
      </w:r>
    </w:p>
    <w:p w14:paraId="7B2B5FCE" w14:textId="77777777" w:rsidR="00DA336B" w:rsidRPr="00DA336B" w:rsidRDefault="00DA336B" w:rsidP="00DA336B">
      <w:pPr>
        <w:numPr>
          <w:ilvl w:val="2"/>
          <w:numId w:val="10"/>
        </w:numPr>
        <w:overflowPunct/>
        <w:autoSpaceDE/>
        <w:autoSpaceDN/>
        <w:adjustRightInd/>
        <w:spacing w:after="0"/>
        <w:textAlignment w:val="auto"/>
        <w:rPr>
          <w:i/>
        </w:rPr>
      </w:pPr>
      <w:r w:rsidRPr="00DA336B">
        <w:rPr>
          <w:i/>
        </w:rPr>
        <w:t>e.g., angle of arrival/ departure, delay spread, Doppler spread</w:t>
      </w:r>
    </w:p>
    <w:p w14:paraId="7060D896" w14:textId="767FD50B" w:rsidR="002D0391" w:rsidRPr="00A9499A" w:rsidRDefault="002D0391" w:rsidP="002D0391">
      <w:pPr>
        <w:spacing w:before="120"/>
        <w:jc w:val="both"/>
      </w:pPr>
      <w:r>
        <w:t xml:space="preserve">In </w:t>
      </w:r>
      <w:r w:rsidR="007A2A45">
        <w:t>this contribution,</w:t>
      </w:r>
      <w:r w:rsidR="00D347E1">
        <w:t xml:space="preserve"> we discuss the extension of QCL parameters</w:t>
      </w:r>
      <w:r>
        <w:t xml:space="preserve"> in NR</w:t>
      </w:r>
      <w:r w:rsidR="002E36B8">
        <w:t xml:space="preserve"> to support UE side beamforming/receiving procedures</w:t>
      </w:r>
      <w:r>
        <w:t>.</w:t>
      </w:r>
    </w:p>
    <w:p w14:paraId="60F03440" w14:textId="650382E9" w:rsidR="00E3066B" w:rsidRDefault="00E3066B" w:rsidP="00E3066B">
      <w:pPr>
        <w:pStyle w:val="Heading1"/>
        <w:jc w:val="both"/>
      </w:pPr>
      <w:r>
        <w:t>Discussion</w:t>
      </w:r>
    </w:p>
    <w:p w14:paraId="38E8D2EB" w14:textId="394EF8C4" w:rsidR="00B22D36" w:rsidRDefault="00B22D36" w:rsidP="00B22D36">
      <w:r>
        <w:rPr>
          <w:lang w:val="en-GB"/>
        </w:rPr>
        <w:t xml:space="preserve">In LTE, the concept of quasi-co-location (QCL) with respect to antenna ports was introduced in Rel-11 to support multi-point transmission.  It is defined in LTE that </w:t>
      </w:r>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r w:rsidR="00C12C57">
        <w:t>A</w:t>
      </w:r>
      <w:r>
        <w:t xml:space="preserve"> UE </w:t>
      </w:r>
      <w:r w:rsidR="00C12C57">
        <w:t>c</w:t>
      </w:r>
      <w:r>
        <w:t xml:space="preserve">an be configured with antenna port QCL assumptions via higher-layer signaling.  The assumption indicates that if the radio channels corresponding to two different antenna ports can be assumed to have similar large-scale properties, which can be used by the UE receiver, for example, in tuning parameters for channel estimation.  </w:t>
      </w:r>
    </w:p>
    <w:p w14:paraId="40D75182" w14:textId="77777777" w:rsidR="00EB59F4" w:rsidRDefault="00B22D36" w:rsidP="00B22D36">
      <w:r>
        <w:t>In NR MIMO, up to 256 antennas may be supported.  Using beamformed antenna ports can significantly reduce the RS overhead a</w:t>
      </w:r>
      <w:r w:rsidR="00B85337">
        <w:t xml:space="preserve">nd UE measurement overhead.  An </w:t>
      </w:r>
      <w:r>
        <w:t>antenna port may thus be formed by a large number of antenna elements and results in a much narrower beam than the DMRS ports in LTE.  It is well know that beamforming will change some large-</w:t>
      </w:r>
      <w:r>
        <w:lastRenderedPageBreak/>
        <w:t>scale properties of the channel, e.g., the delay spread and even the Doppler spread, etc.  This raises a questions that whether the antenna ports associated with different beamformed RS from the same TRP can still be assumed co-located?  The answer to this question is apparently no, at least for the aforementioned parameters.</w:t>
      </w:r>
      <w:r w:rsidR="00612667">
        <w:t xml:space="preserve">  </w:t>
      </w:r>
      <w:r>
        <w:t xml:space="preserve">In order to capture the impact of beamformed antenna ports on QCL, the large-scale properties of the channel may further include angular domain parameters.  </w:t>
      </w:r>
    </w:p>
    <w:p w14:paraId="2763077E" w14:textId="6C6D114F" w:rsidR="00EB59F4" w:rsidRPr="00EB59F4" w:rsidRDefault="00EB59F4" w:rsidP="00EB59F4">
      <w:pPr>
        <w:rPr>
          <w:b/>
          <w:i/>
        </w:rPr>
      </w:pPr>
      <w:r w:rsidRPr="00EB59F4">
        <w:rPr>
          <w:b/>
          <w:i/>
        </w:rPr>
        <w:t>Observation 1: The definition of QCL shall consider the impact of transmit beamforming.</w:t>
      </w:r>
    </w:p>
    <w:p w14:paraId="098DA55B" w14:textId="2ABF9C8A" w:rsidR="00B22D36" w:rsidRDefault="00B22D36" w:rsidP="00B22D36">
      <w:r>
        <w:t>Essentially, the channels on antenna ports associated with different beams tend to have their own mean azimuth of departure (</w:t>
      </w:r>
      <w:proofErr w:type="spellStart"/>
      <w:r>
        <w:t>AoD</w:t>
      </w:r>
      <w:proofErr w:type="spellEnd"/>
      <w:r>
        <w:t>), mean zenith of departure (</w:t>
      </w:r>
      <w:proofErr w:type="spellStart"/>
      <w:r>
        <w:t>ZoD</w:t>
      </w:r>
      <w:proofErr w:type="spellEnd"/>
      <w:r>
        <w:t xml:space="preserve">), azimuth spread of </w:t>
      </w:r>
      <w:proofErr w:type="spellStart"/>
      <w:r>
        <w:t>depature</w:t>
      </w:r>
      <w:proofErr w:type="spellEnd"/>
      <w:r>
        <w:t xml:space="preserve"> (ASD), and zenith spread of </w:t>
      </w:r>
      <w:proofErr w:type="spellStart"/>
      <w:r>
        <w:t>depature</w:t>
      </w:r>
      <w:proofErr w:type="spellEnd"/>
      <w:r>
        <w:t xml:space="preserve"> (ZSD)</w:t>
      </w:r>
      <w:r w:rsidR="001012CE">
        <w:t>, as</w:t>
      </w:r>
      <w:r>
        <w:t xml:space="preserve"> beamforming directions are related to different clusters.  It is reasonable to include mean </w:t>
      </w:r>
      <w:proofErr w:type="spellStart"/>
      <w:r>
        <w:t>AoD</w:t>
      </w:r>
      <w:proofErr w:type="spellEnd"/>
      <w:r>
        <w:t>/</w:t>
      </w:r>
      <w:proofErr w:type="spellStart"/>
      <w:r>
        <w:t>ZoD</w:t>
      </w:r>
      <w:proofErr w:type="spellEnd"/>
      <w:r>
        <w:t xml:space="preserve"> and/or ASD/ZSD as large-scale properties of the channel on </w:t>
      </w:r>
      <w:proofErr w:type="spellStart"/>
      <w:r>
        <w:t>QCLed</w:t>
      </w:r>
      <w:proofErr w:type="spellEnd"/>
      <w:r>
        <w:t xml:space="preserve"> antenna ports.  In another word, the UE shall assume that if two set of antenna ports are </w:t>
      </w:r>
      <w:proofErr w:type="spellStart"/>
      <w:r>
        <w:t>QCLed</w:t>
      </w:r>
      <w:proofErr w:type="spellEnd"/>
      <w:r>
        <w:t xml:space="preserve">, then the mean </w:t>
      </w:r>
      <w:proofErr w:type="spellStart"/>
      <w:r>
        <w:t>AoD</w:t>
      </w:r>
      <w:proofErr w:type="spellEnd"/>
      <w:r>
        <w:t>/</w:t>
      </w:r>
      <w:proofErr w:type="spellStart"/>
      <w:r>
        <w:t>ZoD</w:t>
      </w:r>
      <w:proofErr w:type="spellEnd"/>
      <w:r>
        <w:t xml:space="preserve"> and/or ASD/ZSD estimated from one set of antenna ports can imply those of the other set of antenna ports.</w:t>
      </w:r>
    </w:p>
    <w:p w14:paraId="1A0D4CC8" w14:textId="690AC136" w:rsidR="00B22D36" w:rsidRPr="00C22644" w:rsidRDefault="00B22D36" w:rsidP="00B22D36">
      <w:pPr>
        <w:rPr>
          <w:b/>
          <w:i/>
        </w:rPr>
      </w:pPr>
      <w:r w:rsidRPr="00C22644">
        <w:rPr>
          <w:b/>
          <w:i/>
        </w:rPr>
        <w:t xml:space="preserve">Proposal </w:t>
      </w:r>
      <w:r w:rsidR="0023300A">
        <w:rPr>
          <w:b/>
          <w:i/>
        </w:rPr>
        <w:t>1</w:t>
      </w:r>
      <w:r w:rsidRPr="00C22644">
        <w:rPr>
          <w:b/>
          <w:i/>
        </w:rPr>
        <w:t>: For antenna ports associated with different beamformed RS,</w:t>
      </w:r>
      <w:r w:rsidR="00B85337">
        <w:rPr>
          <w:b/>
          <w:i/>
        </w:rPr>
        <w:t xml:space="preserve"> </w:t>
      </w:r>
      <w:r>
        <w:rPr>
          <w:b/>
          <w:i/>
        </w:rPr>
        <w:t xml:space="preserve">the large-scale parameters of the channel on </w:t>
      </w:r>
      <w:proofErr w:type="spellStart"/>
      <w:r>
        <w:rPr>
          <w:b/>
          <w:i/>
        </w:rPr>
        <w:t>QCL</w:t>
      </w:r>
      <w:r w:rsidR="00B85337">
        <w:rPr>
          <w:b/>
          <w:i/>
        </w:rPr>
        <w:t>e</w:t>
      </w:r>
      <w:r>
        <w:rPr>
          <w:b/>
          <w:i/>
        </w:rPr>
        <w:t>d</w:t>
      </w:r>
      <w:proofErr w:type="spellEnd"/>
      <w:r>
        <w:rPr>
          <w:b/>
          <w:i/>
        </w:rPr>
        <w:t xml:space="preserve"> antenna ports shall include angular domain parameters at the </w:t>
      </w:r>
      <w:r w:rsidR="00B85337">
        <w:rPr>
          <w:b/>
          <w:i/>
        </w:rPr>
        <w:t>departure</w:t>
      </w:r>
      <w:r>
        <w:rPr>
          <w:b/>
          <w:i/>
        </w:rPr>
        <w:t xml:space="preserv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0B475B64" w14:textId="77777777" w:rsidR="00B22D36" w:rsidRDefault="00B22D36" w:rsidP="00B22D36">
      <w:r>
        <w:t xml:space="preserve">For higher frequency, beamforming may also be applied at the receiver side.  Hence, if two antenna ports are </w:t>
      </w:r>
      <w:proofErr w:type="spellStart"/>
      <w:r>
        <w:t>QCLed</w:t>
      </w:r>
      <w:proofErr w:type="spellEnd"/>
      <w:r>
        <w:t xml:space="preserve">, they shall not only assume the QCL of TX port, but also need to assume the QCL of RX ports.  As scatters at both the transmitter and the receiver sides jointly contribute to the channel properties.  As shown in Figure 1, the TX antenna ports in TX beams #1 and #2 can be assumed </w:t>
      </w:r>
      <w:proofErr w:type="spellStart"/>
      <w:r>
        <w:t>QCLed</w:t>
      </w:r>
      <w:proofErr w:type="spellEnd"/>
      <w:r>
        <w:t xml:space="preserve"> as they are illuminating the same TX side cluster.  However, the UE may use RX beam #1 for transmission using TX beam #1 while switch to RX beam #2 if TX beam #2 is selected at the TRP.  Then, the channel between the 1</w:t>
      </w:r>
      <w:r w:rsidRPr="000C03BC">
        <w:rPr>
          <w:vertAlign w:val="superscript"/>
        </w:rPr>
        <w:t>st</w:t>
      </w:r>
      <w:r>
        <w:t xml:space="preserve"> pair of TX-RX beams may have different properties than that between the 2</w:t>
      </w:r>
      <w:r w:rsidRPr="000C03BC">
        <w:rPr>
          <w:vertAlign w:val="superscript"/>
        </w:rPr>
        <w:t>nd</w:t>
      </w:r>
      <w:r>
        <w:t xml:space="preserve"> pair of TX/RX beams.  The TRP may have no knowledge of which RX beam will be used at the UE.  Then, assuming QCL of antenna ports purely from the TRP’s point-of-view may be insufficient. </w:t>
      </w:r>
    </w:p>
    <w:p w14:paraId="4B89D0C9" w14:textId="4BB06B28" w:rsidR="00B22D36" w:rsidRPr="00E52CF1" w:rsidRDefault="00B22D36" w:rsidP="00B22D36">
      <w:pPr>
        <w:rPr>
          <w:b/>
          <w:i/>
        </w:rPr>
      </w:pPr>
      <w:r>
        <w:rPr>
          <w:b/>
          <w:i/>
        </w:rPr>
        <w:t xml:space="preserve">Observation </w:t>
      </w:r>
      <w:r w:rsidR="0004287B">
        <w:rPr>
          <w:b/>
          <w:i/>
        </w:rPr>
        <w:t>2</w:t>
      </w:r>
      <w:r w:rsidRPr="00E52CF1">
        <w:rPr>
          <w:b/>
          <w:i/>
        </w:rPr>
        <w:t>: The definition of QCL shall consider the impact of receive beamforming.</w:t>
      </w:r>
    </w:p>
    <w:p w14:paraId="011B9779" w14:textId="77777777" w:rsidR="00B22D36" w:rsidRDefault="00B22D36" w:rsidP="00B22D36">
      <w:pPr>
        <w:keepNext/>
        <w:jc w:val="center"/>
      </w:pPr>
      <w:r>
        <w:rPr>
          <w:noProof/>
        </w:rPr>
        <w:drawing>
          <wp:inline distT="0" distB="0" distL="0" distR="0" wp14:anchorId="046B596C" wp14:editId="2552268E">
            <wp:extent cx="3292125" cy="1627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 pair.png"/>
                    <pic:cNvPicPr/>
                  </pic:nvPicPr>
                  <pic:blipFill>
                    <a:blip r:embed="rId8">
                      <a:extLst>
                        <a:ext uri="{28A0092B-C50C-407E-A947-70E740481C1C}">
                          <a14:useLocalDpi xmlns:a14="http://schemas.microsoft.com/office/drawing/2010/main" val="0"/>
                        </a:ext>
                      </a:extLst>
                    </a:blip>
                    <a:stretch>
                      <a:fillRect/>
                    </a:stretch>
                  </pic:blipFill>
                  <pic:spPr>
                    <a:xfrm>
                      <a:off x="0" y="0"/>
                      <a:ext cx="3292125" cy="1627773"/>
                    </a:xfrm>
                    <a:prstGeom prst="rect">
                      <a:avLst/>
                    </a:prstGeom>
                  </pic:spPr>
                </pic:pic>
              </a:graphicData>
            </a:graphic>
          </wp:inline>
        </w:drawing>
      </w:r>
    </w:p>
    <w:p w14:paraId="1A8EB861" w14:textId="77777777" w:rsidR="00B22D36" w:rsidRDefault="00B22D36" w:rsidP="00B22D36">
      <w:pPr>
        <w:pStyle w:val="Caption"/>
        <w:jc w:val="center"/>
      </w:pPr>
      <w:r>
        <w:t xml:space="preserve">Figure </w:t>
      </w:r>
      <w:fldSimple w:instr=" SEQ Figure \* ARABIC ">
        <w:r>
          <w:rPr>
            <w:noProof/>
          </w:rPr>
          <w:t>1</w:t>
        </w:r>
      </w:fldSimple>
      <w:r>
        <w:t xml:space="preserve">  </w:t>
      </w:r>
      <w:proofErr w:type="spellStart"/>
      <w:r>
        <w:t>QCLed</w:t>
      </w:r>
      <w:proofErr w:type="spellEnd"/>
      <w:r>
        <w:t xml:space="preserve"> TX-RX ports.</w:t>
      </w:r>
    </w:p>
    <w:p w14:paraId="70441649" w14:textId="77777777" w:rsidR="00B22D36" w:rsidRDefault="00B22D36" w:rsidP="00B22D36">
      <w:r>
        <w:t xml:space="preserve">One way to tackle this issue is allow the UE to indicate if antenna ports associated with two TX beams can be assumed to be </w:t>
      </w:r>
      <w:proofErr w:type="spellStart"/>
      <w:r>
        <w:t>QCLed</w:t>
      </w:r>
      <w:proofErr w:type="spellEnd"/>
      <w:r>
        <w:t xml:space="preserve"> from the receiver’s perspective.  For example, the same RX beam is selected for two TX beams, then the UE may indicate the TRP that this two TX beams can be assumed to be </w:t>
      </w:r>
      <w:proofErr w:type="spellStart"/>
      <w:r>
        <w:t>QCLed</w:t>
      </w:r>
      <w:proofErr w:type="spellEnd"/>
      <w:r>
        <w:t>.</w:t>
      </w:r>
    </w:p>
    <w:p w14:paraId="7F17EAEF" w14:textId="42B34463" w:rsidR="00B22D36" w:rsidRPr="000C03BC" w:rsidRDefault="00B22D36" w:rsidP="00B22D36">
      <w:pPr>
        <w:rPr>
          <w:b/>
          <w:i/>
        </w:rPr>
      </w:pPr>
      <w:r w:rsidRPr="000C03BC">
        <w:rPr>
          <w:b/>
          <w:i/>
        </w:rPr>
        <w:t>Proposal</w:t>
      </w:r>
      <w:r>
        <w:rPr>
          <w:b/>
          <w:i/>
        </w:rPr>
        <w:t xml:space="preserve"> </w:t>
      </w:r>
      <w:r w:rsidR="00B83E69">
        <w:rPr>
          <w:b/>
          <w:i/>
        </w:rPr>
        <w:t>2</w:t>
      </w:r>
      <w:r w:rsidRPr="000C03BC">
        <w:rPr>
          <w:b/>
          <w:i/>
        </w:rPr>
        <w:t xml:space="preserve">: </w:t>
      </w:r>
      <w:r>
        <w:rPr>
          <w:b/>
          <w:i/>
        </w:rPr>
        <w:t xml:space="preserve">Support signaling from UE to TRP to indicate that if two antenna ports can be assumed to be </w:t>
      </w:r>
      <w:proofErr w:type="spellStart"/>
      <w:r>
        <w:rPr>
          <w:b/>
          <w:i/>
        </w:rPr>
        <w:t>QCLed</w:t>
      </w:r>
      <w:proofErr w:type="spellEnd"/>
      <w:r>
        <w:rPr>
          <w:b/>
          <w:i/>
        </w:rPr>
        <w:t>.</w:t>
      </w:r>
      <w:r w:rsidRPr="000C03BC">
        <w:rPr>
          <w:b/>
          <w:i/>
        </w:rPr>
        <w:t xml:space="preserve"> </w:t>
      </w:r>
    </w:p>
    <w:p w14:paraId="539CD785" w14:textId="77777777" w:rsidR="00B22D36" w:rsidRDefault="00B22D36" w:rsidP="00B22D36">
      <w:pPr>
        <w:pStyle w:val="Heading1"/>
        <w:jc w:val="both"/>
      </w:pPr>
      <w:r w:rsidRPr="00E05A22">
        <w:t xml:space="preserve">Conclusions </w:t>
      </w:r>
    </w:p>
    <w:p w14:paraId="7AF0CD1E" w14:textId="78E6362B" w:rsidR="00153134" w:rsidRDefault="00B22D36" w:rsidP="00B22D36">
      <w:pPr>
        <w:rPr>
          <w:lang w:val="en-GB"/>
        </w:rPr>
      </w:pPr>
      <w:r>
        <w:rPr>
          <w:lang w:val="en-GB"/>
        </w:rPr>
        <w:t xml:space="preserve">To summarize, we discussed some high-level views on </w:t>
      </w:r>
      <w:r w:rsidR="003C723C">
        <w:rPr>
          <w:lang w:val="en-GB"/>
        </w:rPr>
        <w:t>QCL</w:t>
      </w:r>
      <w:r w:rsidR="001965C5">
        <w:rPr>
          <w:lang w:val="en-GB"/>
        </w:rPr>
        <w:t xml:space="preserve"> assumptions</w:t>
      </w:r>
      <w:r>
        <w:rPr>
          <w:lang w:val="en-GB"/>
        </w:rPr>
        <w:t xml:space="preserve">.  </w:t>
      </w:r>
      <w:r w:rsidR="00153134">
        <w:rPr>
          <w:lang w:val="en-GB"/>
        </w:rPr>
        <w:t>Our observations are as follows.</w:t>
      </w:r>
    </w:p>
    <w:p w14:paraId="6CFED157" w14:textId="77777777" w:rsidR="00153134" w:rsidRPr="00EB59F4" w:rsidRDefault="00153134" w:rsidP="00153134">
      <w:pPr>
        <w:rPr>
          <w:b/>
          <w:i/>
        </w:rPr>
      </w:pPr>
      <w:r w:rsidRPr="00EB59F4">
        <w:rPr>
          <w:b/>
          <w:i/>
        </w:rPr>
        <w:t>Observation 1: The definition of QCL shall consider the impact of transmit beamforming.</w:t>
      </w:r>
    </w:p>
    <w:p w14:paraId="74B230CE" w14:textId="77777777" w:rsidR="00153134" w:rsidRPr="00E52CF1" w:rsidRDefault="00153134" w:rsidP="00153134">
      <w:pPr>
        <w:rPr>
          <w:b/>
          <w:i/>
        </w:rPr>
      </w:pPr>
      <w:r>
        <w:rPr>
          <w:b/>
          <w:i/>
        </w:rPr>
        <w:t>Observation 2</w:t>
      </w:r>
      <w:r w:rsidRPr="00E52CF1">
        <w:rPr>
          <w:b/>
          <w:i/>
        </w:rPr>
        <w:t>: The definition of QCL shall consider the impact of receive beamforming.</w:t>
      </w:r>
    </w:p>
    <w:p w14:paraId="19A332C2" w14:textId="02F9FEEC" w:rsidR="00B22D36" w:rsidRDefault="00B22D36" w:rsidP="00B22D36">
      <w:pPr>
        <w:rPr>
          <w:lang w:val="en-GB"/>
        </w:rPr>
      </w:pPr>
      <w:r>
        <w:rPr>
          <w:lang w:val="en-GB"/>
        </w:rPr>
        <w:t>We propose:</w:t>
      </w:r>
    </w:p>
    <w:p w14:paraId="0CFDEC9F" w14:textId="74CE9502" w:rsidR="00B22D36" w:rsidRDefault="00B22D36" w:rsidP="00B22D36">
      <w:pPr>
        <w:rPr>
          <w:b/>
          <w:i/>
        </w:rPr>
      </w:pPr>
      <w:r w:rsidRPr="00C22644">
        <w:rPr>
          <w:b/>
          <w:i/>
        </w:rPr>
        <w:lastRenderedPageBreak/>
        <w:t xml:space="preserve">Proposal </w:t>
      </w:r>
      <w:r w:rsidR="00153134">
        <w:rPr>
          <w:b/>
          <w:i/>
        </w:rPr>
        <w:t>1</w:t>
      </w:r>
      <w:r w:rsidRPr="00C22644">
        <w:rPr>
          <w:b/>
          <w:i/>
        </w:rPr>
        <w:t>: For antenna ports associated with different beamformed RS,</w:t>
      </w:r>
      <w:r w:rsidR="00593C84">
        <w:rPr>
          <w:b/>
          <w:i/>
        </w:rPr>
        <w:t xml:space="preserve"> </w:t>
      </w:r>
      <w:r>
        <w:rPr>
          <w:b/>
          <w:i/>
        </w:rPr>
        <w:t xml:space="preserve">the large-scale parameters of the channel on </w:t>
      </w:r>
      <w:proofErr w:type="spellStart"/>
      <w:r>
        <w:rPr>
          <w:b/>
          <w:i/>
        </w:rPr>
        <w:t>QCLed</w:t>
      </w:r>
      <w:proofErr w:type="spellEnd"/>
      <w:r>
        <w:rPr>
          <w:b/>
          <w:i/>
        </w:rPr>
        <w:t xml:space="preserve"> antenna ports shall include angular domain parameters at the depa</w:t>
      </w:r>
      <w:r w:rsidR="0075205B">
        <w:rPr>
          <w:b/>
          <w:i/>
        </w:rPr>
        <w:t>r</w:t>
      </w:r>
      <w:r>
        <w:rPr>
          <w:b/>
          <w:i/>
        </w:rPr>
        <w:t xml:space="preserve">ture,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2950323F" w14:textId="3139369C" w:rsidR="00153134" w:rsidRPr="00C22644" w:rsidRDefault="00153134" w:rsidP="00B22D36">
      <w:pPr>
        <w:rPr>
          <w:b/>
          <w:i/>
        </w:rPr>
      </w:pPr>
      <w:r w:rsidRPr="000C03BC">
        <w:rPr>
          <w:b/>
          <w:i/>
        </w:rPr>
        <w:t>Proposal</w:t>
      </w:r>
      <w:r>
        <w:rPr>
          <w:b/>
          <w:i/>
        </w:rPr>
        <w:t xml:space="preserve"> 2</w:t>
      </w:r>
      <w:r w:rsidRPr="000C03BC">
        <w:rPr>
          <w:b/>
          <w:i/>
        </w:rPr>
        <w:t xml:space="preserve">: </w:t>
      </w:r>
      <w:r>
        <w:rPr>
          <w:b/>
          <w:i/>
        </w:rPr>
        <w:t xml:space="preserve">Support signaling from UE to TRP to indicate that if two antenna ports can be assumed to be </w:t>
      </w:r>
      <w:proofErr w:type="spellStart"/>
      <w:r>
        <w:rPr>
          <w:b/>
          <w:i/>
        </w:rPr>
        <w:t>QCLed</w:t>
      </w:r>
      <w:proofErr w:type="spellEnd"/>
      <w:r>
        <w:rPr>
          <w:b/>
          <w:i/>
        </w:rPr>
        <w:t>.</w:t>
      </w:r>
      <w:r w:rsidRPr="000C03BC">
        <w:rPr>
          <w:b/>
          <w:i/>
        </w:rPr>
        <w:t xml:space="preserve"> </w:t>
      </w:r>
    </w:p>
    <w:p w14:paraId="4793F582" w14:textId="77777777" w:rsidR="00E3066B" w:rsidRDefault="00E3066B" w:rsidP="00E3066B">
      <w:pPr>
        <w:pStyle w:val="Heading1"/>
        <w:textAlignment w:val="auto"/>
        <w:rPr>
          <w:lang w:val="en-US"/>
        </w:rPr>
      </w:pPr>
      <w:r>
        <w:rPr>
          <w:lang w:val="en-US"/>
        </w:rPr>
        <w:t>References</w:t>
      </w:r>
    </w:p>
    <w:p w14:paraId="19BD9193" w14:textId="7BF7EB1E" w:rsidR="0011034F" w:rsidRDefault="00B94D0D" w:rsidP="00277CB0">
      <w:pPr>
        <w:pStyle w:val="References"/>
        <w:numPr>
          <w:ilvl w:val="0"/>
          <w:numId w:val="4"/>
        </w:numPr>
        <w:snapToGrid/>
        <w:spacing w:after="80"/>
        <w:jc w:val="left"/>
        <w:rPr>
          <w:rFonts w:ascii="Times New Roman" w:hAnsi="Times New Roman"/>
          <w:sz w:val="20"/>
          <w:lang w:val="en-GB"/>
        </w:rPr>
      </w:pPr>
      <w:bookmarkStart w:id="3" w:name="_Ref462649278"/>
      <w:bookmarkStart w:id="4" w:name="_Ref458331720"/>
      <w:r w:rsidRPr="00277CB0">
        <w:rPr>
          <w:rFonts w:ascii="Times New Roman" w:hAnsi="Times New Roman"/>
          <w:sz w:val="20"/>
          <w:lang w:val="en-GB"/>
        </w:rPr>
        <w:t>R1-</w:t>
      </w:r>
      <w:r w:rsidR="00B93639" w:rsidRPr="00277CB0">
        <w:rPr>
          <w:rFonts w:ascii="Times New Roman" w:hAnsi="Times New Roman"/>
          <w:sz w:val="20"/>
          <w:lang w:val="en-GB"/>
        </w:rPr>
        <w:t>16</w:t>
      </w:r>
      <w:r w:rsidR="00277CB0">
        <w:rPr>
          <w:rFonts w:ascii="Times New Roman" w:hAnsi="Times New Roman"/>
          <w:sz w:val="20"/>
          <w:lang w:val="en-GB"/>
        </w:rPr>
        <w:t>10520</w:t>
      </w:r>
      <w:r w:rsidRPr="00277CB0">
        <w:rPr>
          <w:rFonts w:ascii="Times New Roman" w:hAnsi="Times New Roman"/>
          <w:sz w:val="20"/>
          <w:lang w:val="en-GB"/>
        </w:rPr>
        <w:t>, “</w:t>
      </w:r>
      <w:bookmarkStart w:id="5" w:name="_Ref450583331"/>
      <w:bookmarkEnd w:id="3"/>
      <w:bookmarkEnd w:id="4"/>
      <w:bookmarkEnd w:id="5"/>
      <w:r w:rsidR="00277CB0" w:rsidRPr="00277CB0">
        <w:rPr>
          <w:rFonts w:ascii="Times New Roman" w:hAnsi="Times New Roman"/>
          <w:sz w:val="20"/>
          <w:lang w:val="en-GB"/>
        </w:rPr>
        <w:t>WF on the QCL for NR</w:t>
      </w:r>
      <w:r w:rsidR="00277CB0">
        <w:rPr>
          <w:rFonts w:ascii="Times New Roman" w:hAnsi="Times New Roman"/>
          <w:sz w:val="20"/>
          <w:lang w:val="en-GB"/>
        </w:rPr>
        <w:t xml:space="preserve">,” </w:t>
      </w:r>
      <w:r w:rsidR="00277CB0" w:rsidRPr="00277CB0">
        <w:rPr>
          <w:rFonts w:ascii="Times New Roman" w:hAnsi="Times New Roman"/>
          <w:sz w:val="20"/>
          <w:lang w:val="en-GB"/>
        </w:rPr>
        <w:t>Intel, LGE, Ericsson, NTT DOCOMO, Samsung</w:t>
      </w:r>
      <w:r w:rsidR="00277CB0">
        <w:rPr>
          <w:rFonts w:ascii="Times New Roman" w:hAnsi="Times New Roman"/>
          <w:sz w:val="20"/>
          <w:lang w:val="en-GB"/>
        </w:rPr>
        <w:t>.</w:t>
      </w:r>
    </w:p>
    <w:p w14:paraId="0712EC17" w14:textId="7E7B8E86" w:rsidR="00277CB0" w:rsidRDefault="00277CB0" w:rsidP="00277CB0">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R1-1610513, “WF on QCL for NR,” ZTE Corporation, ZTE Microelectronics.</w:t>
      </w:r>
    </w:p>
    <w:p w14:paraId="107C9A35" w14:textId="06FDC604" w:rsidR="00E91C9E" w:rsidRPr="00E91C9E" w:rsidRDefault="00E91C9E" w:rsidP="00E91C9E">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Draft report of 3GPP TSG RAN WG1 #86bis.</w:t>
      </w:r>
    </w:p>
    <w:sectPr w:rsidR="00E91C9E" w:rsidRPr="00E91C9E" w:rsidSect="00671B4F">
      <w:headerReference w:type="even"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45485" w14:textId="77777777" w:rsidR="003C3CBB" w:rsidRDefault="003C3CBB">
      <w:r>
        <w:separator/>
      </w:r>
    </w:p>
  </w:endnote>
  <w:endnote w:type="continuationSeparator" w:id="0">
    <w:p w14:paraId="0B77D5D9" w14:textId="77777777" w:rsidR="003C3CBB" w:rsidRDefault="003C3CBB">
      <w:r>
        <w:continuationSeparator/>
      </w:r>
    </w:p>
  </w:endnote>
  <w:endnote w:type="continuationNotice" w:id="1">
    <w:p w14:paraId="18801718" w14:textId="77777777" w:rsidR="003C3CBB" w:rsidRDefault="003C3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4D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DE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2361A" w14:textId="77777777" w:rsidR="003C3CBB" w:rsidRDefault="003C3CBB">
      <w:r>
        <w:separator/>
      </w:r>
    </w:p>
  </w:footnote>
  <w:footnote w:type="continuationSeparator" w:id="0">
    <w:p w14:paraId="3F392BF8" w14:textId="77777777" w:rsidR="003C3CBB" w:rsidRDefault="003C3CBB">
      <w:r>
        <w:continuationSeparator/>
      </w:r>
    </w:p>
  </w:footnote>
  <w:footnote w:type="continuationNotice" w:id="1">
    <w:p w14:paraId="577230DB" w14:textId="77777777" w:rsidR="003C3CBB" w:rsidRDefault="003C3C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lvlOverride w:ilvl="0">
      <w:startOverride w:val="1"/>
    </w:lvlOverride>
  </w:num>
  <w:num w:numId="4">
    <w:abstractNumId w:val="7"/>
    <w:lvlOverride w:ilvl="0">
      <w:startOverride w:val="1"/>
    </w:lvlOverride>
  </w:num>
  <w:num w:numId="5">
    <w:abstractNumId w:val="3"/>
  </w:num>
  <w:num w:numId="6">
    <w:abstractNumId w:val="0"/>
  </w:num>
  <w:num w:numId="7">
    <w:abstractNumId w:val="9"/>
  </w:num>
  <w:num w:numId="8">
    <w:abstractNumId w:val="1"/>
  </w:num>
  <w:num w:numId="9">
    <w:abstractNumId w:val="4"/>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6B8"/>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CBB"/>
    <w:rsid w:val="003C3D6E"/>
    <w:rsid w:val="003C3F8B"/>
    <w:rsid w:val="003C4213"/>
    <w:rsid w:val="003C4250"/>
    <w:rsid w:val="003C44DB"/>
    <w:rsid w:val="003C4F25"/>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47E1"/>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36B"/>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AC7"/>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DE7"/>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B886B-783E-414F-ABD5-D7FF818D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12883</TotalTime>
  <Pages>3</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Gaal, Peter</cp:lastModifiedBy>
  <cp:revision>195</cp:revision>
  <cp:lastPrinted>2014-11-07T05:38:00Z</cp:lastPrinted>
  <dcterms:created xsi:type="dcterms:W3CDTF">2015-04-02T06:13:00Z</dcterms:created>
  <dcterms:modified xsi:type="dcterms:W3CDTF">2016-11-05T08:39:00Z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