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327A0E" w:rsidRDefault="003522AD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r w:rsidRPr="00327A0E">
        <w:rPr>
          <w:b/>
          <w:noProof/>
          <w:sz w:val="24"/>
        </w:rPr>
        <w:t>3GPP TSG-</w:t>
      </w:r>
      <w:r w:rsidRPr="00327A0E">
        <w:rPr>
          <w:rFonts w:hint="eastAsia"/>
          <w:b/>
          <w:noProof/>
          <w:sz w:val="24"/>
          <w:lang w:eastAsia="zh-CN"/>
        </w:rPr>
        <w:t>RAN WG1</w:t>
      </w:r>
      <w:r w:rsidRPr="00327A0E">
        <w:rPr>
          <w:b/>
          <w:noProof/>
          <w:sz w:val="24"/>
        </w:rPr>
        <w:t xml:space="preserve"> Meeting #</w:t>
      </w:r>
      <w:r w:rsidRPr="00327A0E">
        <w:rPr>
          <w:rFonts w:hint="eastAsia"/>
          <w:b/>
          <w:noProof/>
          <w:sz w:val="24"/>
          <w:lang w:eastAsia="zh-CN"/>
        </w:rPr>
        <w:t>8</w:t>
      </w:r>
      <w:r w:rsidR="00D4433B">
        <w:rPr>
          <w:b/>
          <w:noProof/>
          <w:sz w:val="24"/>
          <w:lang w:eastAsia="zh-CN"/>
        </w:rPr>
        <w:t>7</w:t>
      </w:r>
      <w:r w:rsidRPr="00327A0E">
        <w:rPr>
          <w:b/>
          <w:noProof/>
          <w:sz w:val="24"/>
        </w:rPr>
        <w:t xml:space="preserve"> </w:t>
      </w:r>
      <w:r w:rsidRPr="00327A0E">
        <w:rPr>
          <w:b/>
          <w:noProof/>
          <w:sz w:val="28"/>
        </w:rPr>
        <w:tab/>
      </w:r>
      <w:r w:rsidR="00327A0E" w:rsidRPr="00327A0E">
        <w:rPr>
          <w:b/>
          <w:noProof/>
          <w:sz w:val="28"/>
        </w:rPr>
        <w:t>R1-16</w:t>
      </w:r>
      <w:r w:rsidR="00D4433B">
        <w:rPr>
          <w:b/>
          <w:noProof/>
          <w:sz w:val="28"/>
        </w:rPr>
        <w:t>1</w:t>
      </w:r>
      <w:r w:rsidR="001526A2">
        <w:rPr>
          <w:rFonts w:eastAsiaTheme="minorEastAsia" w:hint="eastAsia"/>
          <w:b/>
          <w:noProof/>
          <w:sz w:val="28"/>
          <w:lang w:eastAsia="ja-JP"/>
        </w:rPr>
        <w:t>1</w:t>
      </w:r>
      <w:r w:rsidR="001526A2">
        <w:rPr>
          <w:rFonts w:eastAsiaTheme="minorEastAsia"/>
          <w:b/>
          <w:noProof/>
          <w:sz w:val="28"/>
          <w:lang w:eastAsia="ja-JP"/>
        </w:rPr>
        <w:t>726</w:t>
      </w:r>
    </w:p>
    <w:p w:rsidR="003522AD" w:rsidRPr="001D6249" w:rsidRDefault="00D4433B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Reno, NV, USA</w:t>
      </w:r>
      <w:r w:rsidR="003522AD" w:rsidRPr="001D6249">
        <w:rPr>
          <w:rFonts w:cs="Arial"/>
          <w:bCs/>
          <w:sz w:val="22"/>
          <w:lang w:eastAsia="ja-JP"/>
        </w:rPr>
        <w:t xml:space="preserve">,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4</w:t>
      </w:r>
      <w:r w:rsidR="003522AD" w:rsidRPr="0093628B">
        <w:rPr>
          <w:rFonts w:cs="Arial"/>
          <w:bCs/>
          <w:sz w:val="22"/>
          <w:vertAlign w:val="superscript"/>
          <w:lang w:eastAsia="ja-JP"/>
        </w:rPr>
        <w:t>th</w:t>
      </w:r>
      <w:r w:rsidR="003522AD">
        <w:rPr>
          <w:rFonts w:cs="Arial"/>
          <w:bCs/>
          <w:sz w:val="22"/>
          <w:lang w:eastAsia="ja-JP"/>
        </w:rPr>
        <w:t xml:space="preserve"> </w:t>
      </w:r>
      <w:r w:rsidR="003522AD" w:rsidRPr="001D6249">
        <w:rPr>
          <w:rFonts w:cs="Arial"/>
          <w:bCs/>
          <w:sz w:val="22"/>
          <w:lang w:eastAsia="ja-JP"/>
        </w:rPr>
        <w:t xml:space="preserve">–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8</w:t>
      </w:r>
      <w:r w:rsidR="003522AD" w:rsidRPr="001D6249">
        <w:rPr>
          <w:rFonts w:cs="Arial"/>
          <w:bCs/>
          <w:sz w:val="22"/>
          <w:vertAlign w:val="superscript"/>
          <w:lang w:eastAsia="ja-JP"/>
        </w:rPr>
        <w:t>th</w:t>
      </w:r>
      <w:r w:rsidR="003522AD"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Nov</w:t>
      </w:r>
      <w:r w:rsidR="003522AD" w:rsidRPr="001D6249">
        <w:rPr>
          <w:rFonts w:cs="Arial"/>
          <w:bCs/>
          <w:sz w:val="22"/>
          <w:lang w:eastAsia="ja-JP"/>
        </w:rPr>
        <w:t xml:space="preserve"> 2016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560938">
        <w:rPr>
          <w:rFonts w:ascii="Arial" w:hAnsi="Arial" w:hint="eastAsia"/>
          <w:b/>
          <w:kern w:val="0"/>
          <w:sz w:val="24"/>
          <w:szCs w:val="22"/>
          <w:lang w:val="en-GB"/>
        </w:rPr>
        <w:t>6.1.6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8214F">
        <w:rPr>
          <w:rFonts w:ascii="Arial" w:hAnsi="Arial"/>
          <w:b/>
          <w:kern w:val="0"/>
          <w:sz w:val="24"/>
          <w:szCs w:val="22"/>
          <w:lang w:val="en-GB"/>
        </w:rPr>
        <w:t>Baseband signal generation</w:t>
      </w:r>
      <w:r w:rsidR="00D05371">
        <w:rPr>
          <w:rFonts w:ascii="Arial" w:hAnsi="Arial"/>
          <w:b/>
          <w:kern w:val="0"/>
          <w:sz w:val="24"/>
          <w:szCs w:val="22"/>
          <w:lang w:val="en-GB"/>
        </w:rPr>
        <w:t xml:space="preserve"> </w:t>
      </w:r>
      <w:r w:rsidR="00767963">
        <w:rPr>
          <w:rFonts w:ascii="Arial" w:hAnsi="Arial"/>
          <w:b/>
          <w:kern w:val="0"/>
          <w:sz w:val="24"/>
          <w:szCs w:val="22"/>
          <w:lang w:val="en-GB"/>
        </w:rPr>
        <w:t>for in-band samePCI non-anchor carrier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D04D14" w:rsidRDefault="003B4F70" w:rsidP="00A27174">
      <w:pPr>
        <w:spacing w:after="120"/>
        <w:rPr>
          <w:lang w:val="en-GB"/>
        </w:rPr>
      </w:pPr>
      <w:r>
        <w:rPr>
          <w:lang w:val="en-GB"/>
        </w:rPr>
        <w:t xml:space="preserve">From </w:t>
      </w:r>
      <w:r w:rsidR="00C264A1">
        <w:rPr>
          <w:lang w:val="en-GB"/>
        </w:rPr>
        <w:t xml:space="preserve">TS 36.211 </w:t>
      </w:r>
      <w:r>
        <w:rPr>
          <w:lang w:val="en-GB"/>
        </w:rPr>
        <w:t xml:space="preserve">version 13.3.0 of [1] </w:t>
      </w:r>
      <w:r w:rsidR="00A27174">
        <w:rPr>
          <w:rFonts w:hint="eastAsia"/>
          <w:lang w:val="en-GB"/>
        </w:rPr>
        <w:t>OFDM</w:t>
      </w:r>
      <w:r w:rsidR="00A27174">
        <w:rPr>
          <w:lang w:val="en-GB"/>
        </w:rPr>
        <w:t xml:space="preserve"> signal generation</w:t>
      </w:r>
      <w:r w:rsidRPr="003B4F70">
        <w:rPr>
          <w:rFonts w:hint="eastAsia"/>
          <w:lang w:val="en-GB"/>
        </w:rPr>
        <w:t xml:space="preserve"> </w:t>
      </w:r>
      <w:r>
        <w:rPr>
          <w:lang w:val="en-GB"/>
        </w:rPr>
        <w:t>i</w:t>
      </w:r>
      <w:r>
        <w:rPr>
          <w:rFonts w:hint="eastAsia"/>
          <w:lang w:val="en-GB"/>
        </w:rPr>
        <w:t xml:space="preserve">n </w:t>
      </w:r>
      <w:r>
        <w:rPr>
          <w:lang w:val="en-GB"/>
        </w:rPr>
        <w:t>sub</w:t>
      </w:r>
      <w:r w:rsidR="00C264A1">
        <w:rPr>
          <w:lang w:val="en-GB"/>
        </w:rPr>
        <w:t>-</w:t>
      </w:r>
      <w:r>
        <w:rPr>
          <w:lang w:val="en-GB"/>
        </w:rPr>
        <w:t>section 10.2.8</w:t>
      </w:r>
      <w:r w:rsidR="00A27174">
        <w:rPr>
          <w:lang w:val="en-GB"/>
        </w:rPr>
        <w:t xml:space="preserve"> is </w:t>
      </w:r>
      <w:r>
        <w:rPr>
          <w:lang w:val="en-GB"/>
        </w:rPr>
        <w:t>split into two parts</w:t>
      </w:r>
      <w:r w:rsidR="000F5CB7">
        <w:rPr>
          <w:lang w:val="en-GB"/>
        </w:rPr>
        <w:t xml:space="preserve"> </w:t>
      </w:r>
      <w:r w:rsidR="007D1908">
        <w:rPr>
          <w:lang w:val="en-GB"/>
        </w:rPr>
        <w:t>conditioned by two parameters:</w:t>
      </w:r>
    </w:p>
    <w:p w:rsidR="003C6C7C" w:rsidRDefault="00E8214F" w:rsidP="00E03C7D">
      <w:pPr>
        <w:spacing w:afterLines="0" w:after="0" w:line="264" w:lineRule="auto"/>
        <w:jc w:val="left"/>
        <w:rPr>
          <w:szCs w:val="20"/>
        </w:rPr>
      </w:pPr>
      <w:r w:rsidRPr="00E8214F">
        <w:rPr>
          <w:noProof/>
          <w:szCs w:val="20"/>
        </w:rPr>
        <mc:AlternateContent>
          <mc:Choice Requires="wps">
            <w:drawing>
              <wp:inline distT="0" distB="0" distL="0" distR="0">
                <wp:extent cx="6092983" cy="4611841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983" cy="46118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7174" w:rsidRDefault="00A27174" w:rsidP="00A27174">
                            <w:pPr>
                              <w:spacing w:after="120"/>
                            </w:pPr>
                            <w:r>
                              <w:t xml:space="preserve">If the higher layer parameter </w:t>
                            </w:r>
                            <w:r>
                              <w:rPr>
                                <w:i/>
                                <w:iCs/>
                              </w:rPr>
                              <w:t>operationModeInfo</w:t>
                            </w:r>
                            <w:r>
                              <w:t xml:space="preserve"> does not indicate ‘</w:t>
                            </w:r>
                            <w:r w:rsidRPr="003A5133">
                              <w:rPr>
                                <w:i/>
                              </w:rPr>
                              <w:t>inband-SamePCI</w:t>
                            </w:r>
                            <w:r>
                              <w:t>’</w:t>
                            </w:r>
                            <w:r w:rsidRPr="001C5B60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and</w:t>
                            </w:r>
                            <w:r w:rsidRPr="001C5B60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C7465E">
                              <w:rPr>
                                <w:i/>
                              </w:rPr>
                              <w:t>samePCI-Indicator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does not indicate</w:t>
                            </w:r>
                            <w:r>
                              <w:rPr>
                                <w:rFonts w:hint="eastAsia"/>
                              </w:rPr>
                              <w:t xml:space="preserve"> '</w:t>
                            </w:r>
                            <w:r w:rsidRPr="00C11397">
                              <w:rPr>
                                <w:i/>
                              </w:rPr>
                              <w:t>samePCI</w:t>
                            </w:r>
                            <w:r w:rsidRPr="001C5B60">
                              <w:rPr>
                                <w:rFonts w:hint="eastAsia"/>
                                <w:i/>
                              </w:rPr>
                              <w:t>'</w:t>
                            </w:r>
                            <w:r>
                              <w:t>, then t</w:t>
                            </w:r>
                            <w:r w:rsidRPr="00C12953">
                              <w:t xml:space="preserve">he time-continuous signal </w:t>
                            </w:r>
                            <w:r w:rsidRPr="00C12953">
                              <w:rPr>
                                <w:position w:val="-12"/>
                              </w:rPr>
                              <w:object w:dxaOrig="580" w:dyaOrig="3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8.5pt;height:18pt" o:ole="">
                                  <v:imagedata r:id="rId8" o:title=""/>
                                </v:shape>
                                <o:OLEObject Type="Embed" ProgID="Equation.3" ShapeID="_x0000_i1025" DrawAspect="Content" ObjectID="_1539763408" r:id="rId9"/>
                              </w:object>
                            </w:r>
                            <w:r w:rsidRPr="00C12953">
                              <w:t xml:space="preserve"> on </w:t>
                            </w:r>
                            <w:r>
                              <w:t>antenna port</w:t>
                            </w:r>
                            <w:r w:rsidRPr="00C12953">
                              <w:t xml:space="preserve"> </w:t>
                            </w:r>
                            <w:r w:rsidRPr="00C12953">
                              <w:rPr>
                                <w:position w:val="-10"/>
                              </w:rPr>
                              <w:object w:dxaOrig="200" w:dyaOrig="240">
                                <v:shape id="_x0000_i1026" type="#_x0000_t75" style="width:9.75pt;height:12pt" o:ole="">
                                  <v:imagedata r:id="rId10" o:title=""/>
                                </v:shape>
                                <o:OLEObject Type="Embed" ProgID="Equation.3" ShapeID="_x0000_i1026" DrawAspect="Content" ObjectID="_1539763409" r:id="rId11"/>
                              </w:object>
                            </w:r>
                            <w:r w:rsidRPr="00C12953">
                              <w:t xml:space="preserve"> in OFDM symbol </w:t>
                            </w:r>
                            <w:r w:rsidRPr="00C12953">
                              <w:rPr>
                                <w:position w:val="-6"/>
                              </w:rPr>
                              <w:object w:dxaOrig="139" w:dyaOrig="260">
                                <v:shape id="_x0000_i1027" type="#_x0000_t75" style="width:6.75pt;height:12.75pt" o:ole="">
                                  <v:imagedata r:id="rId12" o:title=""/>
                                </v:shape>
                                <o:OLEObject Type="Embed" ProgID="Equation.3" ShapeID="_x0000_i1027" DrawAspect="Content" ObjectID="_1539763410" r:id="rId13"/>
                              </w:object>
                            </w:r>
                            <w:r w:rsidRPr="00C12953">
                              <w:t xml:space="preserve"> in a downlink slot is defined by </w:t>
                            </w:r>
                          </w:p>
                          <w:p w:rsidR="00A27174" w:rsidRDefault="00A27174" w:rsidP="00A27174">
                            <w:pPr>
                              <w:pStyle w:val="EQ"/>
                              <w:spacing w:after="120"/>
                              <w:jc w:val="center"/>
                            </w:pPr>
                            <w:r w:rsidRPr="004B01E6">
                              <w:rPr>
                                <w:position w:val="-34"/>
                              </w:rPr>
                              <w:object w:dxaOrig="3739" w:dyaOrig="780">
                                <v:shape id="_x0000_i1028" type="#_x0000_t75" style="width:186.75pt;height:39pt" o:ole="">
                                  <v:imagedata r:id="rId14" o:title=""/>
                                </v:shape>
                                <o:OLEObject Type="Embed" ProgID="Equation.3" ShapeID="_x0000_i1028" DrawAspect="Content" ObjectID="_1539763411" r:id="rId15"/>
                              </w:object>
                            </w:r>
                          </w:p>
                          <w:p w:rsidR="00A27174" w:rsidRDefault="00A27174" w:rsidP="00A27174">
                            <w:pPr>
                              <w:spacing w:after="120"/>
                            </w:pPr>
                            <w:r w:rsidRPr="00C12953">
                              <w:t>for</w:t>
                            </w:r>
                            <w:r w:rsidRPr="00C12953">
                              <w:rPr>
                                <w:position w:val="-12"/>
                                <w:sz w:val="10"/>
                                <w:szCs w:val="10"/>
                              </w:rPr>
                              <w:object w:dxaOrig="1840" w:dyaOrig="320">
                                <v:shape id="_x0000_i1029" type="#_x0000_t75" style="width:92.3pt;height:15.75pt" o:ole="">
                                  <v:imagedata r:id="rId16" o:title=""/>
                                </v:shape>
                                <o:OLEObject Type="Embed" ProgID="Equation.3" ShapeID="_x0000_i1029" DrawAspect="Content" ObjectID="_1539763412" r:id="rId17"/>
                              </w:object>
                            </w:r>
                            <w:r w:rsidRPr="00C12953">
                              <w:t xml:space="preserve"> </w:t>
                            </w:r>
                            <w:r>
                              <w:t xml:space="preserve">where </w:t>
                            </w:r>
                            <w:r w:rsidRPr="00620CA2">
                              <w:rPr>
                                <w:position w:val="-10"/>
                              </w:rPr>
                              <w:object w:dxaOrig="1600" w:dyaOrig="340">
                                <v:shape id="_x0000_i1030" type="#_x0000_t75" style="width:79.5pt;height:17.25pt" o:ole="">
                                  <v:imagedata r:id="rId18" o:title=""/>
                                </v:shape>
                                <o:OLEObject Type="Embed" ProgID="Equation.3" ShapeID="_x0000_i1030" DrawAspect="Content" ObjectID="_1539763413" r:id="rId19"/>
                              </w:object>
                            </w:r>
                            <w:r>
                              <w:t xml:space="preserve">, </w:t>
                            </w:r>
                            <w:r w:rsidRPr="00C7537A">
                              <w:rPr>
                                <w:position w:val="-6"/>
                              </w:rPr>
                              <w:object w:dxaOrig="840" w:dyaOrig="240">
                                <v:shape id="_x0000_i1031" type="#_x0000_t75" style="width:42pt;height:12pt" o:ole="">
                                  <v:imagedata r:id="rId20" o:title=""/>
                                </v:shape>
                                <o:OLEObject Type="Embed" ProgID="Equation.3" ShapeID="_x0000_i1031" DrawAspect="Content" ObjectID="_1539763414" r:id="rId21"/>
                              </w:object>
                            </w:r>
                            <w:r>
                              <w:t xml:space="preserve">, </w:t>
                            </w:r>
                            <w:r w:rsidRPr="004972BC">
                              <w:rPr>
                                <w:position w:val="-10"/>
                              </w:rPr>
                              <w:object w:dxaOrig="1060" w:dyaOrig="300">
                                <v:shape id="_x0000_i1032" type="#_x0000_t75" style="width:53.25pt;height:15pt" o:ole="">
                                  <v:imagedata r:id="rId22" o:title=""/>
                                </v:shape>
                                <o:OLEObject Type="Embed" ProgID="Equation.3" ShapeID="_x0000_i1032" DrawAspect="Content" ObjectID="_1539763415" r:id="rId23"/>
                              </w:object>
                            </w:r>
                            <w:r w:rsidRPr="00AC0046">
                              <w:t xml:space="preserve"> </w:t>
                            </w:r>
                            <w:r>
                              <w:t xml:space="preserve">and </w:t>
                            </w:r>
                            <w:r>
                              <w:rPr>
                                <w:position w:val="-14"/>
                              </w:rPr>
                              <w:object w:dxaOrig="400" w:dyaOrig="380">
                                <v:shape id="_x0000_i1033" type="#_x0000_t75" style="width:20.25pt;height:18.75pt" o:ole="">
                                  <v:imagedata r:id="rId24" o:title=""/>
                                </v:shape>
                                <o:OLEObject Type="Embed" ProgID="Equation.3" ShapeID="_x0000_i1033" DrawAspect="Content" ObjectID="_1539763416" r:id="rId25"/>
                              </w:object>
                            </w:r>
                            <w:r>
                              <w:t xml:space="preserve"> is the content of resource element </w:t>
                            </w:r>
                            <w:r w:rsidRPr="00A55985">
                              <w:rPr>
                                <w:position w:val="-10"/>
                              </w:rPr>
                              <w:object w:dxaOrig="440" w:dyaOrig="300">
                                <v:shape id="_x0000_i1034" type="#_x0000_t75" style="width:21.75pt;height:15pt" o:ole="">
                                  <v:imagedata r:id="rId26" o:title=""/>
                                </v:shape>
                                <o:OLEObject Type="Embed" ProgID="Equation.3" ShapeID="_x0000_i1034" DrawAspect="Content" ObjectID="_1539763417" r:id="rId27"/>
                              </w:object>
                            </w:r>
                            <w:r>
                              <w:t xml:space="preserve"> on antenna port </w:t>
                            </w:r>
                            <w:r>
                              <w:rPr>
                                <w:position w:val="-10"/>
                              </w:rPr>
                              <w:object w:dxaOrig="200" w:dyaOrig="240">
                                <v:shape id="_x0000_i1035" type="#_x0000_t75" style="width:9.75pt;height:12pt" o:ole="">
                                  <v:imagedata r:id="rId28" o:title=""/>
                                </v:shape>
                                <o:OLEObject Type="Embed" ProgID="Equation.3" ShapeID="_x0000_i1035" DrawAspect="Content" ObjectID="_1539763418" r:id="rId29"/>
                              </w:object>
                            </w:r>
                            <w:r w:rsidRPr="00C12953">
                              <w:t>.</w:t>
                            </w:r>
                            <w:r w:rsidRPr="007E333D">
                              <w:t xml:space="preserve"> </w:t>
                            </w:r>
                          </w:p>
                          <w:p w:rsidR="00A27174" w:rsidRDefault="00A27174" w:rsidP="00A27174">
                            <w:pPr>
                              <w:spacing w:after="120"/>
                            </w:pPr>
                            <w:r>
                              <w:t xml:space="preserve">If the higher layer parameter </w:t>
                            </w:r>
                            <w:r>
                              <w:rPr>
                                <w:i/>
                                <w:iCs/>
                              </w:rPr>
                              <w:t>operationModeInfo</w:t>
                            </w:r>
                            <w:r>
                              <w:t xml:space="preserve"> indicates ‘</w:t>
                            </w:r>
                            <w:r w:rsidRPr="003A5133">
                              <w:rPr>
                                <w:i/>
                              </w:rPr>
                              <w:t>inband-SamePCI</w:t>
                            </w:r>
                            <w:r>
                              <w:t>’</w:t>
                            </w:r>
                            <w:r w:rsidRPr="001C5B60">
                              <w:rPr>
                                <w:rFonts w:hint="eastAsia"/>
                              </w:rPr>
                              <w:t xml:space="preserve"> or </w:t>
                            </w:r>
                            <w:r w:rsidRPr="00C535AD">
                              <w:rPr>
                                <w:i/>
                                <w:highlight w:val="yellow"/>
                              </w:rPr>
                              <w:t>samePCI-Indicator</w:t>
                            </w:r>
                            <w:r>
                              <w:rPr>
                                <w:rFonts w:hint="eastAsia"/>
                              </w:rPr>
                              <w:t xml:space="preserve"> indicate '</w:t>
                            </w:r>
                            <w:r w:rsidRPr="00C11397">
                              <w:rPr>
                                <w:i/>
                              </w:rPr>
                              <w:t>samePCI</w:t>
                            </w:r>
                            <w:r w:rsidRPr="001C5B60">
                              <w:rPr>
                                <w:rFonts w:hint="eastAsia"/>
                                <w:i/>
                              </w:rPr>
                              <w:t>'</w:t>
                            </w:r>
                            <w:r>
                              <w:t>, then t</w:t>
                            </w:r>
                            <w:r w:rsidRPr="00C12953">
                              <w:t xml:space="preserve">he time-continuous signal </w:t>
                            </w:r>
                            <w:r w:rsidRPr="00C12953">
                              <w:rPr>
                                <w:position w:val="-12"/>
                              </w:rPr>
                              <w:object w:dxaOrig="639" w:dyaOrig="380">
                                <v:shape id="_x0000_i1036" type="#_x0000_t75" style="width:32.25pt;height:18.75pt" o:ole="">
                                  <v:imagedata r:id="rId30" o:title=""/>
                                </v:shape>
                                <o:OLEObject Type="Embed" ProgID="Equation.3" ShapeID="_x0000_i1036" DrawAspect="Content" ObjectID="_1539763419" r:id="rId31"/>
                              </w:object>
                            </w:r>
                            <w:r w:rsidRPr="00C12953">
                              <w:t xml:space="preserve"> on </w:t>
                            </w:r>
                            <w:r>
                              <w:t>antenna port</w:t>
                            </w:r>
                            <w:r w:rsidRPr="00C12953">
                              <w:t xml:space="preserve"> </w:t>
                            </w:r>
                            <w:r w:rsidRPr="00C12953">
                              <w:rPr>
                                <w:position w:val="-10"/>
                              </w:rPr>
                              <w:object w:dxaOrig="200" w:dyaOrig="240">
                                <v:shape id="_x0000_i1037" type="#_x0000_t75" style="width:9.75pt;height:12pt" o:ole="">
                                  <v:imagedata r:id="rId10" o:title=""/>
                                </v:shape>
                                <o:OLEObject Type="Embed" ProgID="Equation.3" ShapeID="_x0000_i1037" DrawAspect="Content" ObjectID="_1539763420" r:id="rId32"/>
                              </w:object>
                            </w:r>
                            <w:r w:rsidRPr="00C12953">
                              <w:t xml:space="preserve"> in OFDM symbol </w:t>
                            </w:r>
                            <w:r w:rsidRPr="00C12953">
                              <w:rPr>
                                <w:position w:val="-6"/>
                              </w:rPr>
                              <w:object w:dxaOrig="180" w:dyaOrig="279">
                                <v:shape id="_x0000_i1038" type="#_x0000_t75" style="width:9pt;height:14.25pt" o:ole="">
                                  <v:imagedata r:id="rId33" o:title=""/>
                                </v:shape>
                                <o:OLEObject Type="Embed" ProgID="Equation.3" ShapeID="_x0000_i1038" DrawAspect="Content" ObjectID="_1539763421" r:id="rId34"/>
                              </w:object>
                            </w:r>
                            <w:r>
                              <w:t xml:space="preserve">, where </w:t>
                            </w:r>
                            <w:r w:rsidRPr="005D29BF">
                              <w:rPr>
                                <w:position w:val="-14"/>
                              </w:rPr>
                              <w:object w:dxaOrig="3460" w:dyaOrig="400">
                                <v:shape id="_x0000_i1039" type="#_x0000_t75" style="width:172.5pt;height:20.25pt" o:ole="">
                                  <v:imagedata r:id="rId35" o:title=""/>
                                </v:shape>
                                <o:OLEObject Type="Embed" ProgID="Equation.3" ShapeID="_x0000_i1039" DrawAspect="Content" ObjectID="_1539763422" r:id="rId36"/>
                              </w:object>
                            </w:r>
                            <w:r>
                              <w:t>is the OFDM symbol index from the start of the last even-numbered subframe, is defined by</w:t>
                            </w:r>
                          </w:p>
                          <w:p w:rsidR="00A27174" w:rsidRDefault="00A27174" w:rsidP="00A27174">
                            <w:pPr>
                              <w:spacing w:after="120"/>
                              <w:jc w:val="center"/>
                            </w:pPr>
                            <w:r w:rsidRPr="005D29BF">
                              <w:rPr>
                                <w:position w:val="-34"/>
                              </w:rPr>
                              <w:object w:dxaOrig="9139" w:dyaOrig="859">
                                <v:shape id="_x0000_i1040" type="#_x0000_t75" style="width:456.95pt;height:42.75pt" o:ole="">
                                  <v:imagedata r:id="rId37" o:title=""/>
                                </v:shape>
                                <o:OLEObject Type="Embed" ProgID="Equation.3" ShapeID="_x0000_i1040" DrawAspect="Content" ObjectID="_1539763423" r:id="rId38"/>
                              </w:object>
                            </w:r>
                          </w:p>
                          <w:p w:rsidR="00E8214F" w:rsidRPr="00A27174" w:rsidRDefault="00A27174">
                            <w:pPr>
                              <w:spacing w:after="120"/>
                            </w:pPr>
                            <w:r w:rsidRPr="00C12953">
                              <w:t xml:space="preserve">for </w:t>
                            </w:r>
                            <w:r w:rsidRPr="00C12953">
                              <w:rPr>
                                <w:position w:val="-12"/>
                                <w:sz w:val="10"/>
                                <w:szCs w:val="10"/>
                              </w:rPr>
                              <w:object w:dxaOrig="1840" w:dyaOrig="320">
                                <v:shape id="_x0000_i1041" type="#_x0000_t75" style="width:92.3pt;height:15.75pt" o:ole="">
                                  <v:imagedata r:id="rId39" o:title=""/>
                                </v:shape>
                                <o:OLEObject Type="Embed" ProgID="Equation.3" ShapeID="_x0000_i1041" DrawAspect="Content" ObjectID="_1539763424" r:id="rId40"/>
                              </w:object>
                            </w:r>
                            <w:r w:rsidRPr="00C12953">
                              <w:t xml:space="preserve">   where </w:t>
                            </w:r>
                            <w:r w:rsidRPr="00C12953">
                              <w:rPr>
                                <w:position w:val="-10"/>
                              </w:rPr>
                              <w:object w:dxaOrig="1960" w:dyaOrig="340">
                                <v:shape id="_x0000_i1042" type="#_x0000_t75" style="width:98.3pt;height:17.25pt" o:ole="">
                                  <v:imagedata r:id="rId41" o:title=""/>
                                </v:shape>
                                <o:OLEObject Type="Embed" ProgID="Equation.3" ShapeID="_x0000_i1042" DrawAspect="Content" ObjectID="_1539763425" r:id="rId42"/>
                              </w:object>
                            </w:r>
                            <w:r w:rsidRPr="00C12953">
                              <w:t xml:space="preserve"> and</w:t>
                            </w:r>
                            <w:r w:rsidRPr="00C12953">
                              <w:rPr>
                                <w:position w:val="-10"/>
                              </w:rPr>
                              <w:object w:dxaOrig="2220" w:dyaOrig="340">
                                <v:shape id="_x0000_i1043" type="#_x0000_t75" style="width:111pt;height:17.25pt" o:ole="">
                                  <v:imagedata r:id="rId43" o:title=""/>
                                </v:shape>
                                <o:OLEObject Type="Embed" ProgID="Equation.3" ShapeID="_x0000_i1043" DrawAspect="Content" ObjectID="_1539763426" r:id="rId44"/>
                              </w:object>
                            </w:r>
                            <w:r>
                              <w:t xml:space="preserve">, </w:t>
                            </w:r>
                            <w:r w:rsidRPr="00FB5D25">
                              <w:rPr>
                                <w:position w:val="-30"/>
                              </w:rPr>
                              <w:object w:dxaOrig="3700" w:dyaOrig="720">
                                <v:shape id="_x0000_i1044" type="#_x0000_t75" style="width:185.2pt;height:36pt" o:ole="">
                                  <v:imagedata r:id="rId45" o:title=""/>
                                </v:shape>
                                <o:OLEObject Type="Embed" ProgID="Equation.3" ShapeID="_x0000_i1044" DrawAspect="Content" ObjectID="_1539763427" r:id="rId46"/>
                              </w:object>
                            </w:r>
                            <w:r>
                              <w:t xml:space="preserve">if resource element </w:t>
                            </w:r>
                            <w:r w:rsidRPr="001219A4">
                              <w:rPr>
                                <w:position w:val="-10"/>
                              </w:rPr>
                              <w:object w:dxaOrig="580" w:dyaOrig="320">
                                <v:shape id="_x0000_i1045" type="#_x0000_t75" style="width:28.5pt;height:15.75pt" o:ole="">
                                  <v:imagedata r:id="rId47" o:title=""/>
                                </v:shape>
                                <o:OLEObject Type="Embed" ProgID="Equation.3" ShapeID="_x0000_i1045" DrawAspect="Content" ObjectID="_1539763428" r:id="rId48"/>
                              </w:object>
                            </w:r>
                            <w:r>
                              <w:t>is used for</w:t>
                            </w:r>
                            <w:r w:rsidRPr="00D06239">
                              <w:t xml:space="preserve"> </w:t>
                            </w:r>
                            <w:r>
                              <w:t xml:space="preserve">Narrowband IoT, and 0 otherwise, and </w:t>
                            </w:r>
                            <w:r w:rsidRPr="00E140F4">
                              <w:rPr>
                                <w:position w:val="-12"/>
                              </w:rPr>
                              <w:object w:dxaOrig="700" w:dyaOrig="360">
                                <v:shape id="_x0000_i1046" type="#_x0000_t75" style="width:35.25pt;height:18pt" o:ole="">
                                  <v:imagedata r:id="rId49" o:title=""/>
                                </v:shape>
                                <o:OLEObject Type="Embed" ProgID="Equation.3" ShapeID="_x0000_i1046" DrawAspect="Content" ObjectID="_1539763429" r:id="rId50"/>
                              </w:object>
                            </w:r>
                            <w:r>
                              <w:t xml:space="preserve"> is the frequency location of the center of the Narrowband IoT PRB minus the frequency location o</w:t>
                            </w:r>
                            <w:r w:rsidR="00B7314E">
                              <w:t>f the center of the LTE signal.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36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">
                <v:textbox style="mso-fit-shape-to-text:t">
                  <w:txbxContent>
                    <w:p w:rsidR="00A27174" w:rsidRDefault="00A27174" w:rsidP="00A27174">
                      <w:pPr>
                        <w:spacing w:after="120"/>
                      </w:pPr>
                      <w:r>
                        <w:t xml:space="preserve">If the higher layer parameter </w:t>
                      </w:r>
                      <w:r>
                        <w:rPr>
                          <w:i/>
                          <w:iCs/>
                        </w:rPr>
                        <w:t>operationModeInfo</w:t>
                      </w:r>
                      <w:r>
                        <w:t xml:space="preserve"> does not indicate ‘</w:t>
                      </w:r>
                      <w:r w:rsidRPr="003A5133">
                        <w:rPr>
                          <w:i/>
                        </w:rPr>
                        <w:t>inband-SamePCI</w:t>
                      </w:r>
                      <w:r>
                        <w:t>’</w:t>
                      </w:r>
                      <w:r w:rsidRPr="001C5B60">
                        <w:rPr>
                          <w:rFonts w:hint="eastAsia"/>
                        </w:rPr>
                        <w:t xml:space="preserve"> </w:t>
                      </w:r>
                      <w:r>
                        <w:t>and</w:t>
                      </w:r>
                      <w:r w:rsidRPr="001C5B60">
                        <w:rPr>
                          <w:rFonts w:hint="eastAsia"/>
                        </w:rPr>
                        <w:t xml:space="preserve"> </w:t>
                      </w:r>
                      <w:r w:rsidRPr="00C7465E">
                        <w:rPr>
                          <w:i/>
                        </w:rPr>
                        <w:t>samePCI-Indicator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does not indicate</w:t>
                      </w:r>
                      <w:r>
                        <w:rPr>
                          <w:rFonts w:hint="eastAsia"/>
                        </w:rPr>
                        <w:t xml:space="preserve"> '</w:t>
                      </w:r>
                      <w:r w:rsidRPr="00C11397">
                        <w:rPr>
                          <w:i/>
                        </w:rPr>
                        <w:t>samePCI</w:t>
                      </w:r>
                      <w:r w:rsidRPr="001C5B60">
                        <w:rPr>
                          <w:rFonts w:hint="eastAsia"/>
                          <w:i/>
                        </w:rPr>
                        <w:t>'</w:t>
                      </w:r>
                      <w:r>
                        <w:t>, then t</w:t>
                      </w:r>
                      <w:r w:rsidRPr="00C12953">
                        <w:t xml:space="preserve">he time-continuous signal </w:t>
                      </w:r>
                      <w:r w:rsidRPr="00C12953">
                        <w:rPr>
                          <w:position w:val="-12"/>
                        </w:rPr>
                        <w:object w:dxaOrig="580" w:dyaOrig="360">
                          <v:shape id="_x0000_i1025" type="#_x0000_t75" style="width:28.5pt;height:18pt" o:ole="">
                            <v:imagedata r:id="rId8" o:title=""/>
                          </v:shape>
                          <o:OLEObject Type="Embed" ProgID="Equation.3" ShapeID="_x0000_i1025" DrawAspect="Content" ObjectID="_1539763408" r:id="rId51"/>
                        </w:object>
                      </w:r>
                      <w:r w:rsidRPr="00C12953">
                        <w:t xml:space="preserve"> on </w:t>
                      </w:r>
                      <w:r>
                        <w:t>antenna port</w:t>
                      </w:r>
                      <w:r w:rsidRPr="00C12953">
                        <w:t xml:space="preserve"> </w:t>
                      </w:r>
                      <w:r w:rsidRPr="00C12953">
                        <w:rPr>
                          <w:position w:val="-10"/>
                        </w:rPr>
                        <w:object w:dxaOrig="200" w:dyaOrig="240">
                          <v:shape id="_x0000_i1026" type="#_x0000_t75" style="width:9.75pt;height:12pt" o:ole="">
                            <v:imagedata r:id="rId10" o:title=""/>
                          </v:shape>
                          <o:OLEObject Type="Embed" ProgID="Equation.3" ShapeID="_x0000_i1026" DrawAspect="Content" ObjectID="_1539763409" r:id="rId52"/>
                        </w:object>
                      </w:r>
                      <w:r w:rsidRPr="00C12953">
                        <w:t xml:space="preserve"> in OFDM symbol </w:t>
                      </w:r>
                      <w:r w:rsidRPr="00C12953">
                        <w:rPr>
                          <w:position w:val="-6"/>
                        </w:rPr>
                        <w:object w:dxaOrig="139" w:dyaOrig="260">
                          <v:shape id="_x0000_i1027" type="#_x0000_t75" style="width:6.75pt;height:12.75pt" o:ole="">
                            <v:imagedata r:id="rId12" o:title=""/>
                          </v:shape>
                          <o:OLEObject Type="Embed" ProgID="Equation.3" ShapeID="_x0000_i1027" DrawAspect="Content" ObjectID="_1539763410" r:id="rId53"/>
                        </w:object>
                      </w:r>
                      <w:r w:rsidRPr="00C12953">
                        <w:t xml:space="preserve"> in a downlink slot is defined by </w:t>
                      </w:r>
                    </w:p>
                    <w:p w:rsidR="00A27174" w:rsidRDefault="00A27174" w:rsidP="00A27174">
                      <w:pPr>
                        <w:pStyle w:val="EQ"/>
                        <w:spacing w:after="120"/>
                        <w:jc w:val="center"/>
                      </w:pPr>
                      <w:r w:rsidRPr="004B01E6">
                        <w:rPr>
                          <w:position w:val="-34"/>
                        </w:rPr>
                        <w:object w:dxaOrig="3739" w:dyaOrig="780">
                          <v:shape id="_x0000_i1028" type="#_x0000_t75" style="width:186.75pt;height:39pt" o:ole="">
                            <v:imagedata r:id="rId14" o:title=""/>
                          </v:shape>
                          <o:OLEObject Type="Embed" ProgID="Equation.3" ShapeID="_x0000_i1028" DrawAspect="Content" ObjectID="_1539763411" r:id="rId54"/>
                        </w:object>
                      </w:r>
                    </w:p>
                    <w:p w:rsidR="00A27174" w:rsidRDefault="00A27174" w:rsidP="00A27174">
                      <w:pPr>
                        <w:spacing w:after="120"/>
                      </w:pPr>
                      <w:r w:rsidRPr="00C12953">
                        <w:t>for</w:t>
                      </w:r>
                      <w:r w:rsidRPr="00C12953">
                        <w:rPr>
                          <w:position w:val="-12"/>
                          <w:sz w:val="10"/>
                          <w:szCs w:val="10"/>
                        </w:rPr>
                        <w:object w:dxaOrig="1840" w:dyaOrig="320">
                          <v:shape id="_x0000_i1029" type="#_x0000_t75" style="width:92.3pt;height:15.75pt" o:ole="">
                            <v:imagedata r:id="rId16" o:title=""/>
                          </v:shape>
                          <o:OLEObject Type="Embed" ProgID="Equation.3" ShapeID="_x0000_i1029" DrawAspect="Content" ObjectID="_1539763412" r:id="rId55"/>
                        </w:object>
                      </w:r>
                      <w:r w:rsidRPr="00C12953">
                        <w:t xml:space="preserve"> </w:t>
                      </w:r>
                      <w:r>
                        <w:t xml:space="preserve">where </w:t>
                      </w:r>
                      <w:r w:rsidRPr="00620CA2">
                        <w:rPr>
                          <w:position w:val="-10"/>
                        </w:rPr>
                        <w:object w:dxaOrig="1600" w:dyaOrig="340">
                          <v:shape id="_x0000_i1030" type="#_x0000_t75" style="width:79.5pt;height:17.25pt" o:ole="">
                            <v:imagedata r:id="rId18" o:title=""/>
                          </v:shape>
                          <o:OLEObject Type="Embed" ProgID="Equation.3" ShapeID="_x0000_i1030" DrawAspect="Content" ObjectID="_1539763413" r:id="rId56"/>
                        </w:object>
                      </w:r>
                      <w:r>
                        <w:t xml:space="preserve">, </w:t>
                      </w:r>
                      <w:r w:rsidRPr="00C7537A">
                        <w:rPr>
                          <w:position w:val="-6"/>
                        </w:rPr>
                        <w:object w:dxaOrig="840" w:dyaOrig="240">
                          <v:shape id="_x0000_i1031" type="#_x0000_t75" style="width:42pt;height:12pt" o:ole="">
                            <v:imagedata r:id="rId20" o:title=""/>
                          </v:shape>
                          <o:OLEObject Type="Embed" ProgID="Equation.3" ShapeID="_x0000_i1031" DrawAspect="Content" ObjectID="_1539763414" r:id="rId57"/>
                        </w:object>
                      </w:r>
                      <w:r>
                        <w:t xml:space="preserve">, </w:t>
                      </w:r>
                      <w:r w:rsidRPr="004972BC">
                        <w:rPr>
                          <w:position w:val="-10"/>
                        </w:rPr>
                        <w:object w:dxaOrig="1060" w:dyaOrig="300">
                          <v:shape id="_x0000_i1032" type="#_x0000_t75" style="width:53.25pt;height:15pt" o:ole="">
                            <v:imagedata r:id="rId22" o:title=""/>
                          </v:shape>
                          <o:OLEObject Type="Embed" ProgID="Equation.3" ShapeID="_x0000_i1032" DrawAspect="Content" ObjectID="_1539763415" r:id="rId58"/>
                        </w:object>
                      </w:r>
                      <w:r w:rsidRPr="00AC0046">
                        <w:t xml:space="preserve"> </w:t>
                      </w:r>
                      <w:r>
                        <w:t xml:space="preserve">and </w:t>
                      </w:r>
                      <w:r>
                        <w:rPr>
                          <w:position w:val="-14"/>
                        </w:rPr>
                        <w:object w:dxaOrig="400" w:dyaOrig="380">
                          <v:shape id="_x0000_i1033" type="#_x0000_t75" style="width:20.25pt;height:18.75pt" o:ole="">
                            <v:imagedata r:id="rId24" o:title=""/>
                          </v:shape>
                          <o:OLEObject Type="Embed" ProgID="Equation.3" ShapeID="_x0000_i1033" DrawAspect="Content" ObjectID="_1539763416" r:id="rId59"/>
                        </w:object>
                      </w:r>
                      <w:r>
                        <w:t xml:space="preserve"> is the content of resource element </w:t>
                      </w:r>
                      <w:r w:rsidRPr="00A55985">
                        <w:rPr>
                          <w:position w:val="-10"/>
                        </w:rPr>
                        <w:object w:dxaOrig="440" w:dyaOrig="300">
                          <v:shape id="_x0000_i1034" type="#_x0000_t75" style="width:21.75pt;height:15pt" o:ole="">
                            <v:imagedata r:id="rId26" o:title=""/>
                          </v:shape>
                          <o:OLEObject Type="Embed" ProgID="Equation.3" ShapeID="_x0000_i1034" DrawAspect="Content" ObjectID="_1539763417" r:id="rId60"/>
                        </w:object>
                      </w:r>
                      <w:r>
                        <w:t xml:space="preserve"> on antenna port </w:t>
                      </w:r>
                      <w:r>
                        <w:rPr>
                          <w:position w:val="-10"/>
                        </w:rPr>
                        <w:object w:dxaOrig="200" w:dyaOrig="240">
                          <v:shape id="_x0000_i1035" type="#_x0000_t75" style="width:9.75pt;height:12pt" o:ole="">
                            <v:imagedata r:id="rId28" o:title=""/>
                          </v:shape>
                          <o:OLEObject Type="Embed" ProgID="Equation.3" ShapeID="_x0000_i1035" DrawAspect="Content" ObjectID="_1539763418" r:id="rId61"/>
                        </w:object>
                      </w:r>
                      <w:r w:rsidRPr="00C12953">
                        <w:t>.</w:t>
                      </w:r>
                      <w:r w:rsidRPr="007E333D">
                        <w:t xml:space="preserve"> </w:t>
                      </w:r>
                    </w:p>
                    <w:p w:rsidR="00A27174" w:rsidRDefault="00A27174" w:rsidP="00A27174">
                      <w:pPr>
                        <w:spacing w:after="120"/>
                      </w:pPr>
                      <w:r>
                        <w:t xml:space="preserve">If the higher layer parameter </w:t>
                      </w:r>
                      <w:r>
                        <w:rPr>
                          <w:i/>
                          <w:iCs/>
                        </w:rPr>
                        <w:t>operationModeInfo</w:t>
                      </w:r>
                      <w:r>
                        <w:t xml:space="preserve"> indicates ‘</w:t>
                      </w:r>
                      <w:r w:rsidRPr="003A5133">
                        <w:rPr>
                          <w:i/>
                        </w:rPr>
                        <w:t>inband-SamePCI</w:t>
                      </w:r>
                      <w:r>
                        <w:t>’</w:t>
                      </w:r>
                      <w:r w:rsidRPr="001C5B60">
                        <w:rPr>
                          <w:rFonts w:hint="eastAsia"/>
                        </w:rPr>
                        <w:t xml:space="preserve"> or </w:t>
                      </w:r>
                      <w:r w:rsidRPr="00C535AD">
                        <w:rPr>
                          <w:i/>
                          <w:highlight w:val="yellow"/>
                        </w:rPr>
                        <w:t>samePCI-Indicator</w:t>
                      </w:r>
                      <w:r>
                        <w:rPr>
                          <w:rFonts w:hint="eastAsia"/>
                        </w:rPr>
                        <w:t xml:space="preserve"> indicate '</w:t>
                      </w:r>
                      <w:r w:rsidRPr="00C11397">
                        <w:rPr>
                          <w:i/>
                        </w:rPr>
                        <w:t>samePCI</w:t>
                      </w:r>
                      <w:r w:rsidRPr="001C5B60">
                        <w:rPr>
                          <w:rFonts w:hint="eastAsia"/>
                          <w:i/>
                        </w:rPr>
                        <w:t>'</w:t>
                      </w:r>
                      <w:r>
                        <w:t>, then t</w:t>
                      </w:r>
                      <w:r w:rsidRPr="00C12953">
                        <w:t xml:space="preserve">he time-continuous signal </w:t>
                      </w:r>
                      <w:r w:rsidRPr="00C12953">
                        <w:rPr>
                          <w:position w:val="-12"/>
                        </w:rPr>
                        <w:object w:dxaOrig="639" w:dyaOrig="380">
                          <v:shape id="_x0000_i1036" type="#_x0000_t75" style="width:32.25pt;height:18.75pt" o:ole="">
                            <v:imagedata r:id="rId30" o:title=""/>
                          </v:shape>
                          <o:OLEObject Type="Embed" ProgID="Equation.3" ShapeID="_x0000_i1036" DrawAspect="Content" ObjectID="_1539763419" r:id="rId62"/>
                        </w:object>
                      </w:r>
                      <w:r w:rsidRPr="00C12953">
                        <w:t xml:space="preserve"> on </w:t>
                      </w:r>
                      <w:r>
                        <w:t>antenna port</w:t>
                      </w:r>
                      <w:r w:rsidRPr="00C12953">
                        <w:t xml:space="preserve"> </w:t>
                      </w:r>
                      <w:r w:rsidRPr="00C12953">
                        <w:rPr>
                          <w:position w:val="-10"/>
                        </w:rPr>
                        <w:object w:dxaOrig="200" w:dyaOrig="240">
                          <v:shape id="_x0000_i1037" type="#_x0000_t75" style="width:9.75pt;height:12pt" o:ole="">
                            <v:imagedata r:id="rId10" o:title=""/>
                          </v:shape>
                          <o:OLEObject Type="Embed" ProgID="Equation.3" ShapeID="_x0000_i1037" DrawAspect="Content" ObjectID="_1539763420" r:id="rId63"/>
                        </w:object>
                      </w:r>
                      <w:r w:rsidRPr="00C12953">
                        <w:t xml:space="preserve"> in OFDM symbol </w:t>
                      </w:r>
                      <w:r w:rsidRPr="00C12953">
                        <w:rPr>
                          <w:position w:val="-6"/>
                        </w:rPr>
                        <w:object w:dxaOrig="180" w:dyaOrig="279">
                          <v:shape id="_x0000_i1038" type="#_x0000_t75" style="width:9pt;height:14.25pt" o:ole="">
                            <v:imagedata r:id="rId33" o:title=""/>
                          </v:shape>
                          <o:OLEObject Type="Embed" ProgID="Equation.3" ShapeID="_x0000_i1038" DrawAspect="Content" ObjectID="_1539763421" r:id="rId64"/>
                        </w:object>
                      </w:r>
                      <w:r>
                        <w:t xml:space="preserve">, where </w:t>
                      </w:r>
                      <w:r w:rsidRPr="005D29BF">
                        <w:rPr>
                          <w:position w:val="-14"/>
                        </w:rPr>
                        <w:object w:dxaOrig="3460" w:dyaOrig="400">
                          <v:shape id="_x0000_i1039" type="#_x0000_t75" style="width:172.5pt;height:20.25pt" o:ole="">
                            <v:imagedata r:id="rId35" o:title=""/>
                          </v:shape>
                          <o:OLEObject Type="Embed" ProgID="Equation.3" ShapeID="_x0000_i1039" DrawAspect="Content" ObjectID="_1539763422" r:id="rId65"/>
                        </w:object>
                      </w:r>
                      <w:r>
                        <w:t>is the OFDM symbol index from the start of the last even-numbered subframe, is defined by</w:t>
                      </w:r>
                    </w:p>
                    <w:p w:rsidR="00A27174" w:rsidRDefault="00A27174" w:rsidP="00A27174">
                      <w:pPr>
                        <w:spacing w:after="120"/>
                        <w:jc w:val="center"/>
                      </w:pPr>
                      <w:r w:rsidRPr="005D29BF">
                        <w:rPr>
                          <w:position w:val="-34"/>
                        </w:rPr>
                        <w:object w:dxaOrig="9139" w:dyaOrig="859">
                          <v:shape id="_x0000_i1040" type="#_x0000_t75" style="width:456.95pt;height:42.75pt" o:ole="">
                            <v:imagedata r:id="rId37" o:title=""/>
                          </v:shape>
                          <o:OLEObject Type="Embed" ProgID="Equation.3" ShapeID="_x0000_i1040" DrawAspect="Content" ObjectID="_1539763423" r:id="rId66"/>
                        </w:object>
                      </w:r>
                    </w:p>
                    <w:p w:rsidR="00E8214F" w:rsidRPr="00A27174" w:rsidRDefault="00A27174">
                      <w:pPr>
                        <w:spacing w:after="120"/>
                      </w:pPr>
                      <w:r w:rsidRPr="00C12953">
                        <w:t xml:space="preserve">for </w:t>
                      </w:r>
                      <w:r w:rsidRPr="00C12953">
                        <w:rPr>
                          <w:position w:val="-12"/>
                          <w:sz w:val="10"/>
                          <w:szCs w:val="10"/>
                        </w:rPr>
                        <w:object w:dxaOrig="1840" w:dyaOrig="320">
                          <v:shape id="_x0000_i1041" type="#_x0000_t75" style="width:92.3pt;height:15.75pt" o:ole="">
                            <v:imagedata r:id="rId39" o:title=""/>
                          </v:shape>
                          <o:OLEObject Type="Embed" ProgID="Equation.3" ShapeID="_x0000_i1041" DrawAspect="Content" ObjectID="_1539763424" r:id="rId67"/>
                        </w:object>
                      </w:r>
                      <w:r w:rsidRPr="00C12953">
                        <w:t xml:space="preserve">   where </w:t>
                      </w:r>
                      <w:r w:rsidRPr="00C12953">
                        <w:rPr>
                          <w:position w:val="-10"/>
                        </w:rPr>
                        <w:object w:dxaOrig="1960" w:dyaOrig="340">
                          <v:shape id="_x0000_i1042" type="#_x0000_t75" style="width:98.3pt;height:17.25pt" o:ole="">
                            <v:imagedata r:id="rId41" o:title=""/>
                          </v:shape>
                          <o:OLEObject Type="Embed" ProgID="Equation.3" ShapeID="_x0000_i1042" DrawAspect="Content" ObjectID="_1539763425" r:id="rId68"/>
                        </w:object>
                      </w:r>
                      <w:r w:rsidRPr="00C12953">
                        <w:t xml:space="preserve"> and</w:t>
                      </w:r>
                      <w:r w:rsidRPr="00C12953">
                        <w:rPr>
                          <w:position w:val="-10"/>
                        </w:rPr>
                        <w:object w:dxaOrig="2220" w:dyaOrig="340">
                          <v:shape id="_x0000_i1043" type="#_x0000_t75" style="width:111pt;height:17.25pt" o:ole="">
                            <v:imagedata r:id="rId43" o:title=""/>
                          </v:shape>
                          <o:OLEObject Type="Embed" ProgID="Equation.3" ShapeID="_x0000_i1043" DrawAspect="Content" ObjectID="_1539763426" r:id="rId69"/>
                        </w:object>
                      </w:r>
                      <w:r>
                        <w:t xml:space="preserve">, </w:t>
                      </w:r>
                      <w:r w:rsidRPr="00FB5D25">
                        <w:rPr>
                          <w:position w:val="-30"/>
                        </w:rPr>
                        <w:object w:dxaOrig="3700" w:dyaOrig="720">
                          <v:shape id="_x0000_i1044" type="#_x0000_t75" style="width:185.2pt;height:36pt" o:ole="">
                            <v:imagedata r:id="rId45" o:title=""/>
                          </v:shape>
                          <o:OLEObject Type="Embed" ProgID="Equation.3" ShapeID="_x0000_i1044" DrawAspect="Content" ObjectID="_1539763427" r:id="rId70"/>
                        </w:object>
                      </w:r>
                      <w:r>
                        <w:t xml:space="preserve">if resource element </w:t>
                      </w:r>
                      <w:r w:rsidRPr="001219A4">
                        <w:rPr>
                          <w:position w:val="-10"/>
                        </w:rPr>
                        <w:object w:dxaOrig="580" w:dyaOrig="320">
                          <v:shape id="_x0000_i1045" type="#_x0000_t75" style="width:28.5pt;height:15.75pt" o:ole="">
                            <v:imagedata r:id="rId47" o:title=""/>
                          </v:shape>
                          <o:OLEObject Type="Embed" ProgID="Equation.3" ShapeID="_x0000_i1045" DrawAspect="Content" ObjectID="_1539763428" r:id="rId71"/>
                        </w:object>
                      </w:r>
                      <w:r>
                        <w:t>is used for</w:t>
                      </w:r>
                      <w:r w:rsidRPr="00D06239">
                        <w:t xml:space="preserve"> </w:t>
                      </w:r>
                      <w:r>
                        <w:t xml:space="preserve">Narrowband IoT, and 0 otherwise, and </w:t>
                      </w:r>
                      <w:r w:rsidRPr="00E140F4">
                        <w:rPr>
                          <w:position w:val="-12"/>
                        </w:rPr>
                        <w:object w:dxaOrig="700" w:dyaOrig="360">
                          <v:shape id="_x0000_i1046" type="#_x0000_t75" style="width:35.25pt;height:18pt" o:ole="">
                            <v:imagedata r:id="rId49" o:title=""/>
                          </v:shape>
                          <o:OLEObject Type="Embed" ProgID="Equation.3" ShapeID="_x0000_i1046" DrawAspect="Content" ObjectID="_1539763429" r:id="rId72"/>
                        </w:object>
                      </w:r>
                      <w:r>
                        <w:t xml:space="preserve"> is the frequency location of the center of the Narrowband IoT PRB minus the frequency location o</w:t>
                      </w:r>
                      <w:r w:rsidR="00B7314E">
                        <w:t>f the center of the LTE signal.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B2EC5" w:rsidRDefault="003B2EC5" w:rsidP="00E03C7D">
      <w:pPr>
        <w:spacing w:afterLines="0" w:after="0" w:line="264" w:lineRule="auto"/>
        <w:jc w:val="left"/>
      </w:pPr>
    </w:p>
    <w:p w:rsidR="004D7127" w:rsidRDefault="000430DB" w:rsidP="00E03C7D">
      <w:pPr>
        <w:spacing w:afterLines="0" w:after="0" w:line="264" w:lineRule="auto"/>
        <w:jc w:val="left"/>
      </w:pPr>
      <w:r>
        <w:rPr>
          <w:rFonts w:hint="eastAsia"/>
        </w:rPr>
        <w:t xml:space="preserve">We found </w:t>
      </w:r>
      <w:r w:rsidRPr="00C535AD">
        <w:rPr>
          <w:i/>
        </w:rPr>
        <w:t>samePCI-Indicator</w:t>
      </w:r>
      <w:r>
        <w:rPr>
          <w:rFonts w:hint="eastAsia"/>
        </w:rPr>
        <w:t xml:space="preserve"> </w:t>
      </w:r>
      <w:r>
        <w:t xml:space="preserve">IE only exists when anchor carrier is in guard-band. </w:t>
      </w:r>
      <w:r w:rsidR="00EC26C7">
        <w:t xml:space="preserve">It may be different from intention. </w:t>
      </w:r>
      <w:r w:rsidR="00857CDD">
        <w:t xml:space="preserve">In this contribution, </w:t>
      </w:r>
      <w:r w:rsidR="003B4F70">
        <w:t xml:space="preserve">we </w:t>
      </w:r>
      <w:r w:rsidR="007D4821">
        <w:t xml:space="preserve">review the condition </w:t>
      </w:r>
      <w:r w:rsidR="00C264A1">
        <w:t xml:space="preserve">of </w:t>
      </w:r>
      <w:r w:rsidR="007D4821">
        <w:t>the latter part of OFDM signal generation</w:t>
      </w:r>
      <w:r w:rsidR="00C264A1">
        <w:t xml:space="preserve"> captured above.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5C5169" w:rsidRDefault="005C5169" w:rsidP="005C5169">
      <w:pPr>
        <w:spacing w:afterLines="0" w:after="0"/>
        <w:rPr>
          <w:lang w:val="en-GB"/>
        </w:rPr>
      </w:pPr>
      <w:r>
        <w:rPr>
          <w:lang w:val="en-GB"/>
        </w:rPr>
        <w:t>The latter part of OFDM signal generation</w:t>
      </w:r>
      <w:r>
        <w:rPr>
          <w:rFonts w:hint="eastAsia"/>
          <w:lang w:val="en-GB"/>
        </w:rPr>
        <w:t xml:space="preserve"> is </w:t>
      </w:r>
      <w:r>
        <w:rPr>
          <w:lang w:val="en-GB"/>
        </w:rPr>
        <w:t xml:space="preserve">applicable to cases </w:t>
      </w:r>
      <w:r w:rsidR="00434EA2">
        <w:rPr>
          <w:lang w:val="en-GB"/>
        </w:rPr>
        <w:t>where the following condition is met:</w:t>
      </w:r>
    </w:p>
    <w:p w:rsidR="005C5169" w:rsidRPr="005C5169" w:rsidRDefault="005C5169" w:rsidP="00336E74">
      <w:pPr>
        <w:pStyle w:val="ae"/>
        <w:numPr>
          <w:ilvl w:val="0"/>
          <w:numId w:val="29"/>
        </w:numPr>
        <w:spacing w:afterLines="0" w:after="0"/>
        <w:ind w:leftChars="0"/>
        <w:rPr>
          <w:lang w:val="en-GB"/>
        </w:rPr>
      </w:pPr>
      <w:r>
        <w:rPr>
          <w:i/>
          <w:iCs/>
        </w:rPr>
        <w:t>operationModeInfo</w:t>
      </w:r>
      <w:r>
        <w:t xml:space="preserve"> indicates ‘</w:t>
      </w:r>
      <w:r w:rsidRPr="003A5133">
        <w:rPr>
          <w:i/>
        </w:rPr>
        <w:t>inband-SamePCI</w:t>
      </w:r>
      <w:r>
        <w:t>’, or</w:t>
      </w:r>
    </w:p>
    <w:p w:rsidR="005C5169" w:rsidRPr="00E269F3" w:rsidRDefault="005C5169" w:rsidP="00C535AD">
      <w:pPr>
        <w:pStyle w:val="ae"/>
        <w:numPr>
          <w:ilvl w:val="0"/>
          <w:numId w:val="29"/>
        </w:numPr>
        <w:spacing w:afterLines="0" w:after="0"/>
        <w:ind w:leftChars="0"/>
        <w:rPr>
          <w:lang w:val="en-GB"/>
        </w:rPr>
      </w:pPr>
      <w:r w:rsidRPr="00E269F3">
        <w:rPr>
          <w:i/>
        </w:rPr>
        <w:t>samePCI-Indicator</w:t>
      </w:r>
      <w:r>
        <w:rPr>
          <w:rFonts w:hint="eastAsia"/>
        </w:rPr>
        <w:t xml:space="preserve"> indicate '</w:t>
      </w:r>
      <w:r w:rsidRPr="00E269F3">
        <w:rPr>
          <w:i/>
        </w:rPr>
        <w:t>samePCI'</w:t>
      </w:r>
    </w:p>
    <w:p w:rsidR="000430DB" w:rsidRDefault="00EA30FB" w:rsidP="00C535AD">
      <w:pPr>
        <w:spacing w:before="120" w:afterLines="0" w:after="0"/>
        <w:rPr>
          <w:lang w:val="en-GB"/>
        </w:rPr>
      </w:pPr>
      <w:r>
        <w:rPr>
          <w:lang w:val="en-GB"/>
        </w:rPr>
        <w:t xml:space="preserve">This condition needs to </w:t>
      </w:r>
      <w:r w:rsidR="000430DB">
        <w:rPr>
          <w:lang w:val="en-GB"/>
        </w:rPr>
        <w:t>cover the cases:</w:t>
      </w:r>
    </w:p>
    <w:p w:rsidR="000430DB" w:rsidRDefault="000430DB" w:rsidP="000430DB">
      <w:pPr>
        <w:pStyle w:val="ae"/>
        <w:numPr>
          <w:ilvl w:val="0"/>
          <w:numId w:val="28"/>
        </w:numPr>
        <w:spacing w:afterLines="0" w:after="0"/>
        <w:ind w:leftChars="0"/>
        <w:rPr>
          <w:lang w:val="en-GB"/>
        </w:rPr>
      </w:pPr>
      <w:r>
        <w:rPr>
          <w:rFonts w:hint="eastAsia"/>
          <w:lang w:val="en-GB"/>
        </w:rPr>
        <w:t>in-band same PCI anchor carrier</w:t>
      </w:r>
    </w:p>
    <w:p w:rsidR="000430DB" w:rsidRPr="00533210" w:rsidRDefault="000430DB" w:rsidP="000430DB">
      <w:pPr>
        <w:pStyle w:val="ae"/>
        <w:numPr>
          <w:ilvl w:val="0"/>
          <w:numId w:val="28"/>
        </w:numPr>
        <w:spacing w:afterLines="0" w:after="0"/>
        <w:ind w:leftChars="0"/>
        <w:rPr>
          <w:lang w:val="en-GB"/>
        </w:rPr>
      </w:pPr>
      <w:r w:rsidRPr="00533210">
        <w:rPr>
          <w:lang w:val="en-GB"/>
        </w:rPr>
        <w:t xml:space="preserve">in-band same PCI non-anchor carrier </w:t>
      </w:r>
      <w:r>
        <w:rPr>
          <w:lang w:val="en-GB"/>
        </w:rPr>
        <w:t xml:space="preserve">(associated with </w:t>
      </w:r>
      <w:r w:rsidRPr="00533210">
        <w:rPr>
          <w:lang w:val="en-GB"/>
        </w:rPr>
        <w:t xml:space="preserve">any </w:t>
      </w:r>
      <w:r>
        <w:rPr>
          <w:lang w:val="en-GB"/>
        </w:rPr>
        <w:t xml:space="preserve">type of </w:t>
      </w:r>
      <w:r w:rsidRPr="00533210">
        <w:rPr>
          <w:lang w:val="en-GB"/>
        </w:rPr>
        <w:t>anchor carrier</w:t>
      </w:r>
      <w:r>
        <w:rPr>
          <w:lang w:val="en-GB"/>
        </w:rPr>
        <w:t>)</w:t>
      </w:r>
    </w:p>
    <w:p w:rsidR="005C5169" w:rsidRDefault="005C5169" w:rsidP="00C535AD">
      <w:pPr>
        <w:spacing w:before="120" w:afterLines="0" w:after="0"/>
        <w:rPr>
          <w:lang w:val="en-GB"/>
        </w:rPr>
      </w:pPr>
      <w:r>
        <w:rPr>
          <w:rFonts w:hint="eastAsia"/>
          <w:lang w:val="en-GB"/>
        </w:rPr>
        <w:lastRenderedPageBreak/>
        <w:t>The first condition</w:t>
      </w:r>
      <w:r w:rsidR="00EA30FB">
        <w:rPr>
          <w:lang w:val="en-GB"/>
        </w:rPr>
        <w:t>,</w:t>
      </w:r>
      <w:r w:rsidR="000F5CB7">
        <w:rPr>
          <w:lang w:val="en-GB"/>
        </w:rPr>
        <w:t xml:space="preserve"> </w:t>
      </w:r>
      <w:r w:rsidR="00EA30FB">
        <w:rPr>
          <w:i/>
          <w:iCs/>
        </w:rPr>
        <w:t>operationModeInfo</w:t>
      </w:r>
      <w:r w:rsidR="00EA30FB">
        <w:t xml:space="preserve"> indicates ‘</w:t>
      </w:r>
      <w:r w:rsidR="00EA30FB" w:rsidRPr="003A5133">
        <w:rPr>
          <w:i/>
        </w:rPr>
        <w:t>inband-SamePCI</w:t>
      </w:r>
      <w:r w:rsidR="00EA30FB">
        <w:t xml:space="preserve">’, </w:t>
      </w:r>
      <w:r w:rsidR="006C3416">
        <w:rPr>
          <w:lang w:val="en-GB"/>
        </w:rPr>
        <w:t>will</w:t>
      </w:r>
      <w:r w:rsidR="000F5CB7">
        <w:rPr>
          <w:lang w:val="en-GB"/>
        </w:rPr>
        <w:t xml:space="preserve"> be</w:t>
      </w:r>
      <w:r>
        <w:rPr>
          <w:rFonts w:hint="eastAsia"/>
          <w:lang w:val="en-GB"/>
        </w:rPr>
        <w:t xml:space="preserve"> </w:t>
      </w:r>
      <w:r w:rsidR="006C3416">
        <w:rPr>
          <w:lang w:val="en-GB"/>
        </w:rPr>
        <w:t>valid for</w:t>
      </w:r>
    </w:p>
    <w:p w:rsidR="005C5169" w:rsidRDefault="00434EA2" w:rsidP="00336E74">
      <w:pPr>
        <w:pStyle w:val="ae"/>
        <w:numPr>
          <w:ilvl w:val="0"/>
          <w:numId w:val="30"/>
        </w:numPr>
        <w:spacing w:afterLines="0" w:after="0"/>
        <w:ind w:leftChars="0"/>
        <w:rPr>
          <w:lang w:val="en-GB"/>
        </w:rPr>
      </w:pPr>
      <w:r>
        <w:rPr>
          <w:lang w:val="en-GB"/>
        </w:rPr>
        <w:t xml:space="preserve">in-band </w:t>
      </w:r>
      <w:r w:rsidR="00D16E6A">
        <w:rPr>
          <w:lang w:val="en-GB"/>
        </w:rPr>
        <w:t>s</w:t>
      </w:r>
      <w:r w:rsidR="00D16E6A" w:rsidRPr="00434EA2">
        <w:rPr>
          <w:lang w:val="en-GB"/>
        </w:rPr>
        <w:t>ame PCI</w:t>
      </w:r>
      <w:r w:rsidR="00D16E6A">
        <w:rPr>
          <w:lang w:val="en-GB"/>
        </w:rPr>
        <w:t xml:space="preserve"> </w:t>
      </w:r>
      <w:r>
        <w:rPr>
          <w:lang w:val="en-GB"/>
        </w:rPr>
        <w:t>a</w:t>
      </w:r>
      <w:r w:rsidR="005C5169" w:rsidRPr="00434EA2">
        <w:rPr>
          <w:lang w:val="en-GB"/>
        </w:rPr>
        <w:t>nchor carrier</w:t>
      </w:r>
    </w:p>
    <w:p w:rsidR="00EA30FB" w:rsidRPr="00E269F3" w:rsidRDefault="00EA30FB" w:rsidP="00C535AD">
      <w:pPr>
        <w:spacing w:afterLines="0" w:after="0"/>
        <w:rPr>
          <w:lang w:val="en-GB"/>
        </w:rPr>
      </w:pPr>
      <w:r>
        <w:rPr>
          <w:rFonts w:hint="eastAsia"/>
          <w:lang w:val="en-GB"/>
        </w:rPr>
        <w:t xml:space="preserve">Note this should not be valid for the case </w:t>
      </w:r>
      <w:r>
        <w:rPr>
          <w:lang w:val="en-GB"/>
        </w:rPr>
        <w:t>guard-band/stand-alone non-anchor carrier.</w:t>
      </w:r>
    </w:p>
    <w:p w:rsidR="005C5169" w:rsidRDefault="006C3416" w:rsidP="00C535AD">
      <w:pPr>
        <w:spacing w:before="120" w:afterLines="0" w:after="0"/>
        <w:rPr>
          <w:lang w:val="en-GB"/>
        </w:rPr>
      </w:pPr>
      <w:r>
        <w:rPr>
          <w:lang w:val="en-GB"/>
        </w:rPr>
        <w:t>T</w:t>
      </w:r>
      <w:r w:rsidR="005C5169">
        <w:rPr>
          <w:rFonts w:hint="eastAsia"/>
          <w:lang w:val="en-GB"/>
        </w:rPr>
        <w:t xml:space="preserve">he second </w:t>
      </w:r>
      <w:r w:rsidR="00EA30FB">
        <w:rPr>
          <w:lang w:val="en-GB"/>
        </w:rPr>
        <w:t>condition,</w:t>
      </w:r>
      <w:r w:rsidR="00EA30FB" w:rsidRPr="00EA30FB">
        <w:rPr>
          <w:i/>
        </w:rPr>
        <w:t xml:space="preserve"> </w:t>
      </w:r>
      <w:r w:rsidR="00EA30FB" w:rsidRPr="001934C1">
        <w:rPr>
          <w:i/>
        </w:rPr>
        <w:t>samePCI-Indicator</w:t>
      </w:r>
      <w:r w:rsidR="00EA30FB">
        <w:rPr>
          <w:rFonts w:hint="eastAsia"/>
        </w:rPr>
        <w:t xml:space="preserve"> indicate '</w:t>
      </w:r>
      <w:r w:rsidR="00EA30FB" w:rsidRPr="001934C1">
        <w:rPr>
          <w:i/>
        </w:rPr>
        <w:t>samePCI</w:t>
      </w:r>
      <w:r w:rsidR="00EA30FB" w:rsidRPr="001934C1">
        <w:rPr>
          <w:rFonts w:hint="eastAsia"/>
          <w:i/>
        </w:rPr>
        <w:t>'</w:t>
      </w:r>
      <w:r w:rsidR="00EA30FB" w:rsidRPr="00C535AD">
        <w:t xml:space="preserve">, </w:t>
      </w:r>
      <w:r w:rsidR="00EA30FB">
        <w:t>will be valid for</w:t>
      </w:r>
    </w:p>
    <w:p w:rsidR="005C5169" w:rsidRDefault="00E11658" w:rsidP="00336E74">
      <w:pPr>
        <w:pStyle w:val="ae"/>
        <w:numPr>
          <w:ilvl w:val="0"/>
          <w:numId w:val="32"/>
        </w:numPr>
        <w:spacing w:afterLines="0" w:after="0"/>
        <w:ind w:leftChars="0"/>
        <w:rPr>
          <w:lang w:val="en-GB"/>
        </w:rPr>
      </w:pPr>
      <w:r>
        <w:rPr>
          <w:lang w:val="en-GB"/>
        </w:rPr>
        <w:t xml:space="preserve">in-band </w:t>
      </w:r>
      <w:r w:rsidR="005C5169">
        <w:rPr>
          <w:rFonts w:hint="eastAsia"/>
          <w:lang w:val="en-GB"/>
        </w:rPr>
        <w:t>non-anchor carrier</w:t>
      </w:r>
      <w:r>
        <w:rPr>
          <w:lang w:val="en-GB"/>
        </w:rPr>
        <w:t xml:space="preserve"> of the </w:t>
      </w:r>
      <w:r w:rsidR="005C5169">
        <w:rPr>
          <w:rFonts w:hint="eastAsia"/>
          <w:lang w:val="en-GB"/>
        </w:rPr>
        <w:t xml:space="preserve">same PCI </w:t>
      </w:r>
      <w:r w:rsidR="00311825">
        <w:rPr>
          <w:lang w:val="en-GB"/>
        </w:rPr>
        <w:t xml:space="preserve">associated </w:t>
      </w:r>
      <w:r w:rsidR="005C5169">
        <w:rPr>
          <w:rFonts w:hint="eastAsia"/>
          <w:lang w:val="en-GB"/>
        </w:rPr>
        <w:t xml:space="preserve">with </w:t>
      </w:r>
      <w:r w:rsidR="005C5169" w:rsidRPr="00311825">
        <w:rPr>
          <w:rFonts w:hint="eastAsia"/>
          <w:u w:val="single"/>
          <w:lang w:val="en-GB"/>
        </w:rPr>
        <w:t>guard-band</w:t>
      </w:r>
      <w:r w:rsidRPr="00311825">
        <w:rPr>
          <w:rFonts w:hint="eastAsia"/>
          <w:u w:val="single"/>
          <w:lang w:val="en-GB"/>
        </w:rPr>
        <w:t xml:space="preserve"> anchor carrier</w:t>
      </w:r>
    </w:p>
    <w:p w:rsidR="005C5169" w:rsidRDefault="00F2483B" w:rsidP="00C535AD">
      <w:pPr>
        <w:spacing w:before="120" w:afterLines="0" w:after="0"/>
        <w:rPr>
          <w:lang w:val="en-GB"/>
        </w:rPr>
      </w:pPr>
      <w:r w:rsidRPr="00C535AD">
        <w:rPr>
          <w:lang w:val="en-GB"/>
        </w:rPr>
        <w:t xml:space="preserve">It is because </w:t>
      </w:r>
      <w:r w:rsidR="00434EA2" w:rsidRPr="00C535AD">
        <w:rPr>
          <w:lang w:val="en-GB"/>
        </w:rPr>
        <w:t>samePCI-Indicator</w:t>
      </w:r>
      <w:r w:rsidR="00434EA2">
        <w:rPr>
          <w:lang w:val="en-GB"/>
        </w:rPr>
        <w:t xml:space="preserve"> IE presents only when </w:t>
      </w:r>
      <w:r w:rsidR="00E11658">
        <w:rPr>
          <w:lang w:val="en-GB"/>
        </w:rPr>
        <w:t xml:space="preserve">the carrier is </w:t>
      </w:r>
      <w:r w:rsidR="009B11DD">
        <w:rPr>
          <w:lang w:val="en-GB"/>
        </w:rPr>
        <w:t xml:space="preserve">in-band </w:t>
      </w:r>
      <w:r w:rsidR="000430DB">
        <w:rPr>
          <w:lang w:val="en-GB"/>
        </w:rPr>
        <w:t xml:space="preserve">same PCI </w:t>
      </w:r>
      <w:r w:rsidR="00E11658">
        <w:rPr>
          <w:lang w:val="en-GB"/>
        </w:rPr>
        <w:t xml:space="preserve">non-anchor </w:t>
      </w:r>
      <w:r w:rsidR="000430DB">
        <w:rPr>
          <w:lang w:val="en-GB"/>
        </w:rPr>
        <w:t>AND</w:t>
      </w:r>
      <w:r w:rsidR="009B11DD">
        <w:rPr>
          <w:lang w:val="en-GB"/>
        </w:rPr>
        <w:t xml:space="preserve"> </w:t>
      </w:r>
      <w:r w:rsidR="00434EA2">
        <w:rPr>
          <w:lang w:val="en-GB"/>
        </w:rPr>
        <w:t xml:space="preserve">anchor carrier is </w:t>
      </w:r>
      <w:r w:rsidR="00E11658">
        <w:rPr>
          <w:lang w:val="en-GB"/>
        </w:rPr>
        <w:t xml:space="preserve">configured in </w:t>
      </w:r>
      <w:r w:rsidR="00434EA2">
        <w:rPr>
          <w:lang w:val="en-GB"/>
        </w:rPr>
        <w:t>guard-band [</w:t>
      </w:r>
      <w:r w:rsidR="00560938">
        <w:rPr>
          <w:lang w:val="en-GB"/>
        </w:rPr>
        <w:t>2</w:t>
      </w:r>
      <w:r w:rsidR="00434EA2">
        <w:rPr>
          <w:lang w:val="en-GB"/>
        </w:rPr>
        <w:t>].</w:t>
      </w:r>
    </w:p>
    <w:p w:rsidR="005C5169" w:rsidRPr="00E11658" w:rsidRDefault="005C5169" w:rsidP="005C5169">
      <w:pPr>
        <w:spacing w:afterLines="0" w:after="0"/>
        <w:rPr>
          <w:lang w:val="en-GB"/>
        </w:rPr>
      </w:pPr>
    </w:p>
    <w:p w:rsidR="00E11658" w:rsidRDefault="00E11658" w:rsidP="00E11658">
      <w:pPr>
        <w:pStyle w:val="PL"/>
        <w:shd w:val="clear" w:color="auto" w:fill="E6E6E6"/>
      </w:pPr>
      <w:r>
        <w:tab/>
        <w:t>inbandCarrierInfo-r13</w:t>
      </w:r>
      <w:r>
        <w:tab/>
      </w:r>
      <w:r>
        <w:tab/>
      </w:r>
      <w:r>
        <w:tab/>
        <w:t>SEQUENCE {</w:t>
      </w:r>
    </w:p>
    <w:p w:rsidR="00E11658" w:rsidRDefault="00E11658" w:rsidP="00E11658">
      <w:pPr>
        <w:pStyle w:val="PL"/>
        <w:shd w:val="clear" w:color="auto" w:fill="E6E6E6"/>
      </w:pPr>
      <w:r>
        <w:tab/>
      </w:r>
      <w:r>
        <w:tab/>
      </w:r>
      <w:r w:rsidRPr="009B11DD">
        <w:rPr>
          <w:highlight w:val="yellow"/>
        </w:rPr>
        <w:t>samePCI-Indicator</w:t>
      </w:r>
      <w:r>
        <w:t>-r13</w:t>
      </w:r>
      <w:r>
        <w:tab/>
      </w:r>
      <w:r>
        <w:tab/>
      </w:r>
      <w:r>
        <w:tab/>
        <w:t>CHOICE</w:t>
      </w:r>
      <w:r>
        <w:tab/>
        <w:t>{</w:t>
      </w:r>
    </w:p>
    <w:p w:rsidR="00E11658" w:rsidRDefault="00E11658" w:rsidP="00E11658">
      <w:pPr>
        <w:pStyle w:val="PL"/>
        <w:shd w:val="clear" w:color="auto" w:fill="E6E6E6"/>
      </w:pPr>
      <w:r>
        <w:tab/>
      </w:r>
      <w:r>
        <w:tab/>
      </w:r>
      <w:r>
        <w:tab/>
        <w:t>samePCI-r13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E11658" w:rsidRDefault="00E11658" w:rsidP="00E1165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indexToMidPRB-r13</w:t>
      </w:r>
      <w:r>
        <w:tab/>
      </w:r>
      <w:r>
        <w:tab/>
      </w:r>
      <w:r>
        <w:tab/>
      </w:r>
      <w:r>
        <w:tab/>
        <w:t xml:space="preserve">INTEGER (-55..54) </w:t>
      </w:r>
    </w:p>
    <w:p w:rsidR="00E11658" w:rsidRDefault="00E11658" w:rsidP="00E11658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:rsidR="00E11658" w:rsidRDefault="00E11658" w:rsidP="00E11658">
      <w:pPr>
        <w:pStyle w:val="PL"/>
        <w:shd w:val="clear" w:color="auto" w:fill="E6E6E6"/>
      </w:pPr>
      <w:r>
        <w:tab/>
      </w:r>
      <w:r>
        <w:tab/>
      </w:r>
      <w:r>
        <w:tab/>
        <w:t>differentPCI-r13</w:t>
      </w:r>
      <w:r>
        <w:tab/>
      </w:r>
      <w:r>
        <w:tab/>
      </w:r>
      <w:r>
        <w:tab/>
      </w:r>
      <w:r>
        <w:tab/>
        <w:t>SEQUENCE {</w:t>
      </w:r>
    </w:p>
    <w:p w:rsidR="00E11658" w:rsidRDefault="00E11658" w:rsidP="00E1165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eutra-NumCRS-Ports-r13</w:t>
      </w:r>
      <w:r>
        <w:tab/>
      </w:r>
      <w:r>
        <w:tab/>
      </w:r>
      <w:r>
        <w:tab/>
      </w:r>
      <w:r>
        <w:rPr>
          <w:color w:val="000000"/>
        </w:rPr>
        <w:t>ENUMERATED {same, four}</w:t>
      </w:r>
    </w:p>
    <w:p w:rsidR="00E11658" w:rsidRDefault="00E11658" w:rsidP="00E11658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E11658" w:rsidRDefault="00E11658" w:rsidP="00E11658">
      <w:pPr>
        <w:pStyle w:val="PL"/>
        <w:shd w:val="clear" w:color="auto" w:fill="E6E6E6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}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lang w:val="sv-SE"/>
        </w:rPr>
        <w:t>,</w:t>
      </w:r>
      <w:r>
        <w:tab/>
      </w:r>
      <w:r>
        <w:tab/>
        <w:t xml:space="preserve">-- </w:t>
      </w:r>
      <w:r w:rsidRPr="00E11658">
        <w:rPr>
          <w:highlight w:val="yellow"/>
        </w:rPr>
        <w:t>Cond anchor-guardband</w:t>
      </w:r>
    </w:p>
    <w:p w:rsidR="00E11658" w:rsidRDefault="00E11658" w:rsidP="00E11658">
      <w:pPr>
        <w:pStyle w:val="PL"/>
        <w:shd w:val="clear" w:color="auto" w:fill="E6E6E6"/>
      </w:pPr>
      <w:r>
        <w:tab/>
      </w:r>
      <w:r>
        <w:tab/>
        <w:t>eutraControlRegionSize-r13</w:t>
      </w:r>
      <w:r>
        <w:tab/>
      </w:r>
      <w:r>
        <w:tab/>
      </w:r>
      <w:r>
        <w:tab/>
        <w:t>ENUMERATED {n1, n2, n3}</w:t>
      </w:r>
      <w:r>
        <w:tab/>
      </w:r>
    </w:p>
    <w:p w:rsidR="00E11658" w:rsidRDefault="00E11658" w:rsidP="00E11658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 xml:space="preserve">-- </w:t>
      </w:r>
      <w:r w:rsidRPr="00E11658">
        <w:rPr>
          <w:highlight w:val="yellow"/>
        </w:rPr>
        <w:t>Cond non-anchor-inband</w:t>
      </w:r>
    </w:p>
    <w:p w:rsidR="005C5169" w:rsidRDefault="005C5169" w:rsidP="005C5169">
      <w:pPr>
        <w:spacing w:afterLines="0" w:after="0"/>
        <w:rPr>
          <w:lang w:val="en-GB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11658" w:rsidTr="00E11658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11658" w:rsidRDefault="00E11658" w:rsidP="00E11658">
            <w:pPr>
              <w:pStyle w:val="TAH"/>
              <w:spacing w:afterLines="0" w:after="0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11658" w:rsidRDefault="00E11658" w:rsidP="00E11658">
            <w:pPr>
              <w:pStyle w:val="TAH"/>
              <w:spacing w:afterLines="0" w:after="0"/>
            </w:pPr>
            <w:r>
              <w:t>Explanation</w:t>
            </w:r>
          </w:p>
        </w:tc>
      </w:tr>
      <w:tr w:rsidR="00E11658" w:rsidTr="00E1165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11658" w:rsidRDefault="00E11658" w:rsidP="00E11658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non-anchor-inband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11658" w:rsidRDefault="00E11658" w:rsidP="00E11658">
            <w:pPr>
              <w:pStyle w:val="TAL"/>
            </w:pPr>
            <w:r>
              <w:t>The field is optionally present, need OP, if the non-anchor carrier is an inband carrier; otherwise it is not present.</w:t>
            </w:r>
          </w:p>
        </w:tc>
      </w:tr>
      <w:tr w:rsidR="00E11658" w:rsidTr="00E1165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11658" w:rsidRDefault="00E11658" w:rsidP="00E11658">
            <w:pPr>
              <w:pStyle w:val="TAL"/>
              <w:rPr>
                <w:i/>
                <w:noProof/>
                <w:highlight w:val="green"/>
              </w:rPr>
            </w:pPr>
            <w:r>
              <w:rPr>
                <w:i/>
              </w:rPr>
              <w:t>anchor-guardband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11658" w:rsidRDefault="00E11658" w:rsidP="00E116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field is mandatory present, if </w:t>
            </w:r>
            <w:r>
              <w:rPr>
                <w:i/>
              </w:rPr>
              <w:t xml:space="preserve">operationModeInfo </w:t>
            </w:r>
            <w:r>
              <w:t>is set to</w:t>
            </w:r>
            <w:r>
              <w:rPr>
                <w:i/>
              </w:rPr>
              <w:t xml:space="preserve"> guardband </w:t>
            </w:r>
            <w:r>
              <w:t>in the MIB</w:t>
            </w:r>
            <w:r>
              <w:rPr>
                <w:lang w:eastAsia="zh-CN"/>
              </w:rPr>
              <w:t>; otherwise it is not present.</w:t>
            </w:r>
          </w:p>
        </w:tc>
      </w:tr>
    </w:tbl>
    <w:p w:rsidR="00434EA2" w:rsidRPr="00E11658" w:rsidRDefault="00434EA2" w:rsidP="005C5169">
      <w:pPr>
        <w:spacing w:afterLines="0" w:after="0"/>
      </w:pPr>
    </w:p>
    <w:p w:rsidR="00434EA2" w:rsidRDefault="00311825" w:rsidP="005C5169">
      <w:pPr>
        <w:spacing w:afterLines="0" w:after="0"/>
        <w:rPr>
          <w:lang w:val="en-GB"/>
        </w:rPr>
      </w:pPr>
      <w:r>
        <w:t xml:space="preserve">According to above interpretation, </w:t>
      </w:r>
      <w:r w:rsidR="00533210">
        <w:t>the following cases are covered</w:t>
      </w:r>
      <w:r w:rsidR="008F0A54">
        <w:t xml:space="preserve"> by specification</w:t>
      </w:r>
      <w:r w:rsidR="00533210">
        <w:t>:</w:t>
      </w:r>
    </w:p>
    <w:p w:rsidR="00533210" w:rsidRDefault="00533210" w:rsidP="00336E74">
      <w:pPr>
        <w:pStyle w:val="ae"/>
        <w:numPr>
          <w:ilvl w:val="0"/>
          <w:numId w:val="33"/>
        </w:numPr>
        <w:spacing w:afterLines="0" w:after="0"/>
        <w:ind w:leftChars="0"/>
        <w:rPr>
          <w:lang w:val="en-GB"/>
        </w:rPr>
      </w:pPr>
      <w:r>
        <w:rPr>
          <w:rFonts w:hint="eastAsia"/>
          <w:lang w:val="en-GB"/>
        </w:rPr>
        <w:t>in-band same PCI anchor carrier</w:t>
      </w:r>
    </w:p>
    <w:p w:rsidR="007D4821" w:rsidRDefault="00533210" w:rsidP="00C535AD">
      <w:pPr>
        <w:pStyle w:val="ae"/>
        <w:numPr>
          <w:ilvl w:val="0"/>
          <w:numId w:val="33"/>
        </w:numPr>
        <w:spacing w:afterLines="0" w:after="0"/>
        <w:ind w:leftChars="0"/>
      </w:pPr>
      <w:r w:rsidRPr="00E269F3">
        <w:rPr>
          <w:lang w:val="en-GB"/>
        </w:rPr>
        <w:t xml:space="preserve">in-band same PCI non-anchor carrier </w:t>
      </w:r>
      <w:r w:rsidR="00311825">
        <w:t>associated with</w:t>
      </w:r>
      <w:r w:rsidR="008F0A54" w:rsidRPr="00E269F3">
        <w:rPr>
          <w:lang w:val="en-GB"/>
        </w:rPr>
        <w:t xml:space="preserve"> </w:t>
      </w:r>
      <w:r w:rsidRPr="00E269F3">
        <w:rPr>
          <w:lang w:val="en-GB"/>
        </w:rPr>
        <w:t>guard-band anchor carrier</w:t>
      </w:r>
    </w:p>
    <w:p w:rsidR="00533210" w:rsidRPr="008F0A54" w:rsidRDefault="00F2483B" w:rsidP="00C535AD">
      <w:pPr>
        <w:spacing w:before="120" w:afterLines="0" w:after="0"/>
      </w:pPr>
      <w:r>
        <w:t>However</w:t>
      </w:r>
      <w:r w:rsidR="00533210" w:rsidRPr="008F0A54">
        <w:rPr>
          <w:rFonts w:hint="eastAsia"/>
        </w:rPr>
        <w:t xml:space="preserve">, the following case </w:t>
      </w:r>
      <w:r w:rsidR="00311825">
        <w:t>seems</w:t>
      </w:r>
      <w:r w:rsidR="007D4821">
        <w:t xml:space="preserve"> </w:t>
      </w:r>
      <w:r w:rsidR="00533210" w:rsidRPr="008F0A54">
        <w:rPr>
          <w:rFonts w:hint="eastAsia"/>
        </w:rPr>
        <w:t>missing:</w:t>
      </w:r>
    </w:p>
    <w:p w:rsidR="00311825" w:rsidRPr="00E269F3" w:rsidRDefault="00533210" w:rsidP="00C535AD">
      <w:pPr>
        <w:pStyle w:val="ae"/>
        <w:numPr>
          <w:ilvl w:val="0"/>
          <w:numId w:val="34"/>
        </w:numPr>
        <w:spacing w:afterLines="0" w:after="120"/>
        <w:ind w:leftChars="0"/>
        <w:rPr>
          <w:lang w:val="en-GB"/>
        </w:rPr>
      </w:pPr>
      <w:r w:rsidRPr="00E269F3">
        <w:rPr>
          <w:lang w:val="en-GB"/>
        </w:rPr>
        <w:t xml:space="preserve">in-band same PCI non-anchor carrier </w:t>
      </w:r>
      <w:r w:rsidR="00311825">
        <w:t>associated with</w:t>
      </w:r>
      <w:r w:rsidRPr="00E269F3">
        <w:rPr>
          <w:lang w:val="en-GB"/>
        </w:rPr>
        <w:t xml:space="preserve"> in-band same PCI anchor carrier</w:t>
      </w:r>
    </w:p>
    <w:p w:rsidR="00F2483B" w:rsidRDefault="00675654" w:rsidP="00C535AD">
      <w:pPr>
        <w:spacing w:before="120" w:afterLines="0" w:after="0"/>
        <w:rPr>
          <w:lang w:val="en-GB"/>
        </w:rPr>
      </w:pPr>
      <w:r>
        <w:rPr>
          <w:lang w:val="en-GB"/>
        </w:rPr>
        <w:t xml:space="preserve">This case may be </w:t>
      </w:r>
      <w:r w:rsidR="007D1908">
        <w:rPr>
          <w:lang w:val="en-GB"/>
        </w:rPr>
        <w:t>indicated</w:t>
      </w:r>
      <w:r>
        <w:rPr>
          <w:lang w:val="en-GB"/>
        </w:rPr>
        <w:t xml:space="preserve"> </w:t>
      </w:r>
      <w:r w:rsidR="007D1908">
        <w:rPr>
          <w:lang w:val="en-GB"/>
        </w:rPr>
        <w:t>implicitly if</w:t>
      </w:r>
      <w:r w:rsidR="00F2483B">
        <w:rPr>
          <w:lang w:val="en-GB"/>
        </w:rPr>
        <w:t xml:space="preserve"> both of the following conditions are met:</w:t>
      </w:r>
    </w:p>
    <w:p w:rsidR="00EA30FB" w:rsidRPr="00C535AD" w:rsidRDefault="00F2483B" w:rsidP="00C535AD">
      <w:pPr>
        <w:pStyle w:val="ae"/>
        <w:numPr>
          <w:ilvl w:val="0"/>
          <w:numId w:val="35"/>
        </w:numPr>
        <w:spacing w:afterLines="0" w:after="0"/>
        <w:ind w:leftChars="0"/>
        <w:rPr>
          <w:lang w:val="en-GB"/>
        </w:rPr>
      </w:pPr>
      <w:r w:rsidRPr="00E269F3">
        <w:rPr>
          <w:lang w:val="en-GB"/>
        </w:rPr>
        <w:t xml:space="preserve">Associated anchor carrier is </w:t>
      </w:r>
      <w:r>
        <w:t xml:space="preserve">indicated </w:t>
      </w:r>
      <w:r w:rsidRPr="00E269F3">
        <w:rPr>
          <w:i/>
        </w:rPr>
        <w:t>inband-SamePCI</w:t>
      </w:r>
    </w:p>
    <w:p w:rsidR="00F2483B" w:rsidRPr="00E269F3" w:rsidRDefault="00F2483B" w:rsidP="00C535AD">
      <w:pPr>
        <w:pStyle w:val="ae"/>
        <w:numPr>
          <w:ilvl w:val="0"/>
          <w:numId w:val="35"/>
        </w:numPr>
        <w:spacing w:afterLines="0" w:after="0"/>
        <w:ind w:leftChars="0"/>
        <w:rPr>
          <w:lang w:val="en-GB"/>
        </w:rPr>
      </w:pPr>
      <w:r w:rsidRPr="00C535AD">
        <w:rPr>
          <w:i/>
          <w:lang w:val="en-GB"/>
        </w:rPr>
        <w:t>CarrierConfigDedicated-NB</w:t>
      </w:r>
      <w:r w:rsidRPr="00E269F3">
        <w:rPr>
          <w:lang w:val="en-GB"/>
        </w:rPr>
        <w:t xml:space="preserve"> </w:t>
      </w:r>
      <w:r w:rsidR="00675654" w:rsidRPr="00E269F3">
        <w:rPr>
          <w:lang w:val="en-GB"/>
        </w:rPr>
        <w:t xml:space="preserve">IE </w:t>
      </w:r>
      <w:r w:rsidRPr="00E269F3">
        <w:rPr>
          <w:lang w:val="en-GB"/>
        </w:rPr>
        <w:t xml:space="preserve">does not include the IE </w:t>
      </w:r>
      <w:r w:rsidRPr="00C535AD">
        <w:rPr>
          <w:i/>
          <w:lang w:val="en-GB"/>
        </w:rPr>
        <w:t>inbandCarrierInfo</w:t>
      </w:r>
    </w:p>
    <w:p w:rsidR="00F2483B" w:rsidRPr="00E269F3" w:rsidRDefault="00675654" w:rsidP="00C535AD">
      <w:pPr>
        <w:spacing w:before="120" w:afterLines="0" w:after="120"/>
        <w:rPr>
          <w:lang w:val="en-GB"/>
        </w:rPr>
      </w:pPr>
      <w:r>
        <w:rPr>
          <w:rFonts w:hint="eastAsia"/>
          <w:lang w:val="en-GB"/>
        </w:rPr>
        <w:t xml:space="preserve">The second bullet means </w:t>
      </w:r>
      <w:r>
        <w:rPr>
          <w:lang w:val="en-GB"/>
        </w:rPr>
        <w:t>“</w:t>
      </w:r>
      <w:r w:rsidRPr="00336E74">
        <w:rPr>
          <w:rFonts w:ascii="Arial" w:hAnsi="Arial" w:cs="Arial"/>
          <w:kern w:val="0"/>
          <w:sz w:val="18"/>
          <w:szCs w:val="20"/>
          <w:lang w:val="en-GB" w:eastAsia="x-none"/>
        </w:rPr>
        <w:t>the configuration of the anchor carrier applies</w:t>
      </w:r>
      <w:r>
        <w:rPr>
          <w:lang w:val="en-GB"/>
        </w:rPr>
        <w:t xml:space="preserve">” according to </w:t>
      </w:r>
      <w:r w:rsidRPr="00336E74">
        <w:rPr>
          <w:rFonts w:ascii="Arial" w:hAnsi="Arial" w:cs="Arial"/>
          <w:b/>
          <w:i/>
          <w:noProof/>
          <w:kern w:val="0"/>
          <w:sz w:val="18"/>
          <w:szCs w:val="20"/>
          <w:lang w:val="en-GB" w:eastAsia="x-none"/>
        </w:rPr>
        <w:t>CarrierConfigDedicated-NB</w:t>
      </w:r>
      <w:r w:rsidRPr="00336E74">
        <w:rPr>
          <w:rFonts w:ascii="Arial" w:hAnsi="Arial" w:cs="Arial"/>
          <w:b/>
          <w:iCs/>
          <w:noProof/>
          <w:kern w:val="0"/>
          <w:sz w:val="18"/>
          <w:szCs w:val="20"/>
          <w:lang w:val="en-GB" w:eastAsia="en-GB"/>
        </w:rPr>
        <w:t xml:space="preserve"> field descriptions</w:t>
      </w:r>
      <w:r>
        <w:rPr>
          <w:lang w:val="en-GB"/>
        </w:rPr>
        <w:t xml:space="preserve"> [2]. </w:t>
      </w:r>
      <w:r w:rsidR="007D1908">
        <w:rPr>
          <w:lang w:val="en-GB"/>
        </w:rPr>
        <w:t>It is excerpted in Annex.</w:t>
      </w:r>
    </w:p>
    <w:p w:rsidR="00F11C4E" w:rsidRPr="003522AD" w:rsidRDefault="008F0A54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E269F3" w:rsidRDefault="00372EE8" w:rsidP="008F0A54">
      <w:pPr>
        <w:spacing w:afterLines="0" w:after="0" w:line="264" w:lineRule="auto"/>
        <w:jc w:val="left"/>
      </w:pPr>
      <w:r>
        <w:rPr>
          <w:lang w:val="en-GB"/>
        </w:rPr>
        <w:t>Latter part of OFDM baseband signal generation in 10.2.8</w:t>
      </w:r>
      <w:bookmarkStart w:id="0" w:name="_GoBack"/>
      <w:bookmarkEnd w:id="0"/>
      <w:r w:rsidR="00EA30FB">
        <w:rPr>
          <w:lang w:val="en-GB"/>
        </w:rPr>
        <w:t xml:space="preserve"> does not </w:t>
      </w:r>
      <w:r>
        <w:rPr>
          <w:lang w:val="en-GB"/>
        </w:rPr>
        <w:t xml:space="preserve">seem to </w:t>
      </w:r>
      <w:r w:rsidR="00EA30FB">
        <w:rPr>
          <w:lang w:val="en-GB"/>
        </w:rPr>
        <w:t>cover the case “in-band same PCI non-anchor carrier</w:t>
      </w:r>
      <w:r>
        <w:rPr>
          <w:lang w:val="en-GB"/>
        </w:rPr>
        <w:t xml:space="preserve"> associated with in-band same PCI anchor carrier</w:t>
      </w:r>
      <w:r w:rsidR="00EA30FB">
        <w:rPr>
          <w:lang w:val="en-GB"/>
        </w:rPr>
        <w:t xml:space="preserve">” because </w:t>
      </w:r>
      <w:r w:rsidR="00EA30FB" w:rsidRPr="001934C1">
        <w:rPr>
          <w:rFonts w:hint="eastAsia"/>
          <w:i/>
        </w:rPr>
        <w:t>samePCI-Indicator</w:t>
      </w:r>
      <w:r w:rsidR="00EA30FB">
        <w:rPr>
          <w:rFonts w:hint="eastAsia"/>
        </w:rPr>
        <w:t xml:space="preserve"> </w:t>
      </w:r>
      <w:r w:rsidR="00EA30FB">
        <w:t xml:space="preserve">IE only exists when anchor carrier is </w:t>
      </w:r>
      <w:r w:rsidR="00E269F3">
        <w:t xml:space="preserve">configured </w:t>
      </w:r>
      <w:r w:rsidR="00EA30FB">
        <w:t>in guard-band.</w:t>
      </w:r>
    </w:p>
    <w:p w:rsidR="00311825" w:rsidRPr="00560938" w:rsidRDefault="00E269F3" w:rsidP="00C535AD">
      <w:pPr>
        <w:spacing w:before="120" w:afterLines="0" w:after="0" w:line="264" w:lineRule="auto"/>
        <w:jc w:val="left"/>
      </w:pPr>
      <w:r>
        <w:t>We propose RAN1 to discuss how to capture the case.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6734D2" w:rsidRDefault="00FB6895" w:rsidP="003461A2">
      <w:pPr>
        <w:spacing w:afterLines="0" w:after="0" w:line="264" w:lineRule="auto"/>
        <w:jc w:val="left"/>
        <w:rPr>
          <w:lang w:val="en-GB"/>
        </w:rPr>
      </w:pPr>
      <w:r>
        <w:rPr>
          <w:lang w:val="en-GB"/>
        </w:rPr>
        <w:t xml:space="preserve">[1] </w:t>
      </w:r>
      <w:r w:rsidR="00560938">
        <w:rPr>
          <w:lang w:val="en-GB"/>
        </w:rPr>
        <w:t>TS36.211</w:t>
      </w:r>
    </w:p>
    <w:p w:rsidR="00AC772C" w:rsidRDefault="00AC772C" w:rsidP="003461A2">
      <w:pPr>
        <w:spacing w:afterLines="0" w:after="0" w:line="264" w:lineRule="auto"/>
        <w:jc w:val="left"/>
        <w:rPr>
          <w:lang w:val="en-GB"/>
        </w:rPr>
      </w:pPr>
      <w:r>
        <w:rPr>
          <w:lang w:val="en-GB"/>
        </w:rPr>
        <w:t xml:space="preserve">[2] </w:t>
      </w:r>
      <w:r w:rsidR="00560938">
        <w:rPr>
          <w:lang w:val="en-GB"/>
        </w:rPr>
        <w:t>TS36.331</w:t>
      </w:r>
    </w:p>
    <w:p w:rsidR="00336E74" w:rsidRDefault="00336E74" w:rsidP="003461A2">
      <w:pPr>
        <w:spacing w:afterLines="0" w:after="0" w:line="264" w:lineRule="auto"/>
        <w:jc w:val="left"/>
        <w:rPr>
          <w:lang w:val="en-GB"/>
        </w:rPr>
      </w:pPr>
    </w:p>
    <w:p w:rsidR="00336E74" w:rsidRPr="00E801AF" w:rsidRDefault="00336E74" w:rsidP="00336E74">
      <w:pPr>
        <w:pStyle w:val="1"/>
        <w:spacing w:after="120" w:line="264" w:lineRule="auto"/>
        <w:ind w:left="0" w:firstLine="0"/>
        <w:rPr>
          <w:sz w:val="28"/>
          <w:szCs w:val="28"/>
        </w:rPr>
      </w:pPr>
      <w:r>
        <w:rPr>
          <w:sz w:val="28"/>
          <w:szCs w:val="28"/>
          <w:lang w:eastAsia="ja-JP"/>
        </w:rPr>
        <w:lastRenderedPageBreak/>
        <w:t>Annex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36E74" w:rsidRPr="00336E74" w:rsidTr="00C535AD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120"/>
              <w:jc w:val="center"/>
              <w:rPr>
                <w:rFonts w:ascii="Arial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b/>
                <w:i/>
                <w:noProof/>
                <w:kern w:val="0"/>
                <w:sz w:val="18"/>
                <w:szCs w:val="20"/>
                <w:lang w:val="en-GB" w:eastAsia="x-none"/>
              </w:rPr>
              <w:t>CarrierConfigDedicated-NB</w:t>
            </w:r>
            <w:r w:rsidRPr="00336E74">
              <w:rPr>
                <w:rFonts w:ascii="Arial" w:hAnsi="Arial" w:cs="Arial"/>
                <w:b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dl-CarrierConfig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Dow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n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link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 xml:space="preserve"> non-anchor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c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arrier used for all unicast transmissions.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dl-CarrierFreq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DL carrier frequency. The downlink carrier is not in a E-UTRA PRB which contains E-UTRA PSS/SSS/PBCH.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  <w:lang w:val="en-GB" w:eastAsia="x-none"/>
              </w:rPr>
              <w:t>dl-GapNonAnchor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Downlink transmission gap configuration for the non-anchor carrier, see TS 36.211 [21, 10.2.3.4].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downlinkBitmapNonAnchor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>N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B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>-IoT downlink subframe configuration for downlink transmission on the non-anchor carrier. See TS 36.213 [23, 16.4].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eutraControlRegionSize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336E74">
              <w:rPr>
                <w:rFonts w:ascii="Arial" w:hAnsi="Arial" w:cs="Arial"/>
                <w:iCs/>
                <w:kern w:val="0"/>
                <w:sz w:val="18"/>
                <w:szCs w:val="20"/>
                <w:lang w:val="en-GB" w:eastAsia="x-none"/>
              </w:rPr>
              <w:t>If</w:t>
            </w:r>
            <w:r w:rsidRPr="00336E74">
              <w:rPr>
                <w:rFonts w:ascii="Arial" w:hAnsi="Arial" w:cs="Arial"/>
                <w:i/>
                <w:iCs/>
                <w:kern w:val="0"/>
                <w:sz w:val="18"/>
                <w:szCs w:val="20"/>
                <w:lang w:val="en-GB" w:eastAsia="x-none"/>
              </w:rPr>
              <w:t xml:space="preserve"> operationModeInfo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in MIB-NB is set to </w:t>
            </w:r>
            <w:r w:rsidRPr="00336E74">
              <w:rPr>
                <w:rFonts w:ascii="Arial" w:hAnsi="Arial" w:cs="Arial"/>
                <w:i/>
                <w:iCs/>
                <w:kern w:val="0"/>
                <w:sz w:val="18"/>
                <w:szCs w:val="20"/>
                <w:lang w:val="en-GB" w:eastAsia="x-none"/>
              </w:rPr>
              <w:t>inband-SamePCI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or </w:t>
            </w:r>
            <w:r w:rsidRPr="00336E74">
              <w:rPr>
                <w:rFonts w:ascii="Arial" w:hAnsi="Arial" w:cs="Arial"/>
                <w:i/>
                <w:iCs/>
                <w:kern w:val="0"/>
                <w:sz w:val="18"/>
                <w:szCs w:val="20"/>
                <w:lang w:val="en-GB" w:eastAsia="x-none"/>
              </w:rPr>
              <w:t>inband-DifferentPCI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, it should be set to the value broadcast in SIB1-NB.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eutra-NumCRS-Ports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inbandCarrierInfo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Provides the configuration of a non-anchor inband carrier. If absent, the configuration of the anchor carrier applies.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indexToMidPRB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The PRB index is signaled by offset from the middle of the EUTRA system.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nrs-PowerOffsetNonAnchor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Provides the downlink narrowband reference-signal EPRE offset of the non-anchor carrier relative to the downlink narrowband reference-signal EPRE of the anchor carrier, unit in dB. Value dB-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 xml:space="preserve">12 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corresponds to -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>12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dB, dB-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>10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corresponds to -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>10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dB and so on.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 xml:space="preserve"> S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ee TS 36.213 [23, 16.2.2].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samePCI-Indicator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This parameter specifies whether the non-anchor carrier reuses the same PCI as the EUTRA carrier.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ul-CarrierConfig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Up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link 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non-anchor c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arrier used for all unicast transmissions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.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 xml:space="preserve"> 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ul-CarrierFreq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>UL carrier frequency if absent, the same TX-RX frequency separation as for the anchor carrier applies.</w:t>
            </w:r>
          </w:p>
        </w:tc>
      </w:tr>
    </w:tbl>
    <w:p w:rsidR="00336E74" w:rsidRPr="00C535AD" w:rsidRDefault="00336E74" w:rsidP="003461A2">
      <w:pPr>
        <w:spacing w:afterLines="0" w:after="0" w:line="264" w:lineRule="auto"/>
        <w:jc w:val="left"/>
      </w:pPr>
    </w:p>
    <w:sectPr w:rsidR="00336E74" w:rsidRPr="00C535AD" w:rsidSect="00B07FC9">
      <w:footerReference w:type="even" r:id="rId73"/>
      <w:footerReference w:type="default" r:id="rId74"/>
      <w:footerReference w:type="first" r:id="rId75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E13" w:rsidRDefault="00541E13" w:rsidP="00FE4763">
      <w:pPr>
        <w:spacing w:after="120"/>
      </w:pPr>
      <w:r>
        <w:separator/>
      </w:r>
    </w:p>
  </w:endnote>
  <w:endnote w:type="continuationSeparator" w:id="0">
    <w:p w:rsidR="00541E13" w:rsidRDefault="00541E13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E13" w:rsidRDefault="00541E13" w:rsidP="00AF42B7">
      <w:pPr>
        <w:spacing w:after="120"/>
      </w:pPr>
      <w:r>
        <w:separator/>
      </w:r>
    </w:p>
  </w:footnote>
  <w:footnote w:type="continuationSeparator" w:id="0">
    <w:p w:rsidR="00541E13" w:rsidRDefault="00541E13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9078D"/>
    <w:multiLevelType w:val="hybridMultilevel"/>
    <w:tmpl w:val="7AA0B4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5AEB"/>
    <w:multiLevelType w:val="hybridMultilevel"/>
    <w:tmpl w:val="6916EF42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838A2"/>
    <w:multiLevelType w:val="hybridMultilevel"/>
    <w:tmpl w:val="AD02C8FA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DD4EE8"/>
    <w:multiLevelType w:val="hybridMultilevel"/>
    <w:tmpl w:val="BF0E2A58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12960"/>
    <w:multiLevelType w:val="hybridMultilevel"/>
    <w:tmpl w:val="1D6C0FE4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35524E7"/>
    <w:multiLevelType w:val="hybridMultilevel"/>
    <w:tmpl w:val="E8EC5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B51190"/>
    <w:multiLevelType w:val="hybridMultilevel"/>
    <w:tmpl w:val="FD8221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5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D3FEF"/>
    <w:multiLevelType w:val="hybridMultilevel"/>
    <w:tmpl w:val="2362EB0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0A278C"/>
    <w:multiLevelType w:val="hybridMultilevel"/>
    <w:tmpl w:val="99F85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F975BB"/>
    <w:multiLevelType w:val="hybridMultilevel"/>
    <w:tmpl w:val="B53C68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F799F"/>
    <w:multiLevelType w:val="hybridMultilevel"/>
    <w:tmpl w:val="2F22A4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13FDB"/>
    <w:multiLevelType w:val="hybridMultilevel"/>
    <w:tmpl w:val="EA94F1A0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0B2805"/>
    <w:multiLevelType w:val="hybridMultilevel"/>
    <w:tmpl w:val="116009A8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C706A"/>
    <w:multiLevelType w:val="hybridMultilevel"/>
    <w:tmpl w:val="A20672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466AF1"/>
    <w:multiLevelType w:val="hybridMultilevel"/>
    <w:tmpl w:val="F30CDE36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1"/>
  </w:num>
  <w:num w:numId="4">
    <w:abstractNumId w:val="21"/>
  </w:num>
  <w:num w:numId="5">
    <w:abstractNumId w:val="7"/>
  </w:num>
  <w:num w:numId="6">
    <w:abstractNumId w:val="9"/>
  </w:num>
  <w:num w:numId="7">
    <w:abstractNumId w:val="30"/>
  </w:num>
  <w:num w:numId="8">
    <w:abstractNumId w:val="24"/>
  </w:num>
  <w:num w:numId="9">
    <w:abstractNumId w:val="25"/>
  </w:num>
  <w:num w:numId="10">
    <w:abstractNumId w:val="27"/>
  </w:num>
  <w:num w:numId="11">
    <w:abstractNumId w:val="20"/>
  </w:num>
  <w:num w:numId="12">
    <w:abstractNumId w:val="32"/>
  </w:num>
  <w:num w:numId="13">
    <w:abstractNumId w:val="15"/>
  </w:num>
  <w:num w:numId="14">
    <w:abstractNumId w:val="1"/>
  </w:num>
  <w:num w:numId="15">
    <w:abstractNumId w:val="3"/>
  </w:num>
  <w:num w:numId="16">
    <w:abstractNumId w:val="29"/>
  </w:num>
  <w:num w:numId="17">
    <w:abstractNumId w:val="16"/>
  </w:num>
  <w:num w:numId="18">
    <w:abstractNumId w:val="10"/>
  </w:num>
  <w:num w:numId="19">
    <w:abstractNumId w:val="6"/>
  </w:num>
  <w:num w:numId="20">
    <w:abstractNumId w:val="18"/>
  </w:num>
  <w:num w:numId="21">
    <w:abstractNumId w:val="22"/>
  </w:num>
  <w:num w:numId="22">
    <w:abstractNumId w:val="13"/>
  </w:num>
  <w:num w:numId="23">
    <w:abstractNumId w:val="33"/>
  </w:num>
  <w:num w:numId="24">
    <w:abstractNumId w:val="23"/>
  </w:num>
  <w:num w:numId="25">
    <w:abstractNumId w:val="26"/>
  </w:num>
  <w:num w:numId="26">
    <w:abstractNumId w:val="0"/>
  </w:num>
  <w:num w:numId="27">
    <w:abstractNumId w:val="12"/>
  </w:num>
  <w:num w:numId="28">
    <w:abstractNumId w:val="4"/>
  </w:num>
  <w:num w:numId="29">
    <w:abstractNumId w:val="5"/>
  </w:num>
  <w:num w:numId="30">
    <w:abstractNumId w:val="8"/>
  </w:num>
  <w:num w:numId="31">
    <w:abstractNumId w:val="2"/>
  </w:num>
  <w:num w:numId="32">
    <w:abstractNumId w:val="34"/>
  </w:num>
  <w:num w:numId="33">
    <w:abstractNumId w:val="28"/>
  </w:num>
  <w:num w:numId="34">
    <w:abstractNumId w:val="31"/>
  </w:num>
  <w:num w:numId="3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30DB"/>
    <w:rsid w:val="00044BB5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775D"/>
    <w:rsid w:val="0006080D"/>
    <w:rsid w:val="00060A93"/>
    <w:rsid w:val="00061789"/>
    <w:rsid w:val="00063550"/>
    <w:rsid w:val="000645C6"/>
    <w:rsid w:val="000648FB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5CB7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26A2"/>
    <w:rsid w:val="00153BB6"/>
    <w:rsid w:val="0015460D"/>
    <w:rsid w:val="00154F0E"/>
    <w:rsid w:val="001550D3"/>
    <w:rsid w:val="0015566B"/>
    <w:rsid w:val="001567A7"/>
    <w:rsid w:val="00156CB6"/>
    <w:rsid w:val="001609CC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83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565C"/>
    <w:rsid w:val="001F566C"/>
    <w:rsid w:val="001F631E"/>
    <w:rsid w:val="001F688B"/>
    <w:rsid w:val="001F7025"/>
    <w:rsid w:val="001F7C02"/>
    <w:rsid w:val="00200290"/>
    <w:rsid w:val="00201307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432"/>
    <w:rsid w:val="00226BD9"/>
    <w:rsid w:val="0022773C"/>
    <w:rsid w:val="00230889"/>
    <w:rsid w:val="00231FC4"/>
    <w:rsid w:val="00231FD7"/>
    <w:rsid w:val="00232025"/>
    <w:rsid w:val="0023246C"/>
    <w:rsid w:val="0023257C"/>
    <w:rsid w:val="00234610"/>
    <w:rsid w:val="0023551F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C64"/>
    <w:rsid w:val="002A0580"/>
    <w:rsid w:val="002A05E5"/>
    <w:rsid w:val="002A1696"/>
    <w:rsid w:val="002A3711"/>
    <w:rsid w:val="002A444F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47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825"/>
    <w:rsid w:val="00311D79"/>
    <w:rsid w:val="00311DEB"/>
    <w:rsid w:val="00313741"/>
    <w:rsid w:val="0031395F"/>
    <w:rsid w:val="003151B9"/>
    <w:rsid w:val="00315283"/>
    <w:rsid w:val="003154DC"/>
    <w:rsid w:val="003155FB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56ED"/>
    <w:rsid w:val="00336D22"/>
    <w:rsid w:val="00336E74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EE8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4604"/>
    <w:rsid w:val="00385A96"/>
    <w:rsid w:val="00385BA7"/>
    <w:rsid w:val="00385F14"/>
    <w:rsid w:val="003860DD"/>
    <w:rsid w:val="003868F5"/>
    <w:rsid w:val="003873C7"/>
    <w:rsid w:val="00387DA4"/>
    <w:rsid w:val="00390A4E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4F70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3829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4EA2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78A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1C3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521"/>
    <w:rsid w:val="004674AE"/>
    <w:rsid w:val="0046762C"/>
    <w:rsid w:val="00467681"/>
    <w:rsid w:val="0047104F"/>
    <w:rsid w:val="004714CE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AB5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C7DA4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210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1E13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0938"/>
    <w:rsid w:val="00562032"/>
    <w:rsid w:val="005622D5"/>
    <w:rsid w:val="005624C2"/>
    <w:rsid w:val="00562694"/>
    <w:rsid w:val="00565E1E"/>
    <w:rsid w:val="0056645B"/>
    <w:rsid w:val="00566FBA"/>
    <w:rsid w:val="005672BF"/>
    <w:rsid w:val="00567F08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DD0"/>
    <w:rsid w:val="005922D2"/>
    <w:rsid w:val="00592A1E"/>
    <w:rsid w:val="00592B8E"/>
    <w:rsid w:val="00592D57"/>
    <w:rsid w:val="005932B7"/>
    <w:rsid w:val="00593887"/>
    <w:rsid w:val="00593E37"/>
    <w:rsid w:val="0059617E"/>
    <w:rsid w:val="005969CF"/>
    <w:rsid w:val="00597F29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B1014"/>
    <w:rsid w:val="005B111D"/>
    <w:rsid w:val="005B2092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169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5654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52CE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3416"/>
    <w:rsid w:val="006C4ECD"/>
    <w:rsid w:val="006C60BF"/>
    <w:rsid w:val="006C685C"/>
    <w:rsid w:val="006C6D44"/>
    <w:rsid w:val="006C6DF4"/>
    <w:rsid w:val="006C6FEC"/>
    <w:rsid w:val="006C70EF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4872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4494"/>
    <w:rsid w:val="00734AF6"/>
    <w:rsid w:val="007368C0"/>
    <w:rsid w:val="00737CA6"/>
    <w:rsid w:val="00740D91"/>
    <w:rsid w:val="007418DE"/>
    <w:rsid w:val="0074527D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9B7"/>
    <w:rsid w:val="007652F5"/>
    <w:rsid w:val="0076696F"/>
    <w:rsid w:val="00766EB2"/>
    <w:rsid w:val="00767172"/>
    <w:rsid w:val="00767963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74E"/>
    <w:rsid w:val="00777340"/>
    <w:rsid w:val="00777565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681"/>
    <w:rsid w:val="007A08C3"/>
    <w:rsid w:val="007A0AF1"/>
    <w:rsid w:val="007A2B37"/>
    <w:rsid w:val="007A4AC3"/>
    <w:rsid w:val="007A6C1D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908"/>
    <w:rsid w:val="007D1F01"/>
    <w:rsid w:val="007D2298"/>
    <w:rsid w:val="007D3877"/>
    <w:rsid w:val="007D3E18"/>
    <w:rsid w:val="007D40BB"/>
    <w:rsid w:val="007D4821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0C42"/>
    <w:rsid w:val="008312D8"/>
    <w:rsid w:val="00831826"/>
    <w:rsid w:val="00833EF7"/>
    <w:rsid w:val="008340FC"/>
    <w:rsid w:val="008357D5"/>
    <w:rsid w:val="0084072F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CDD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1AA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A54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1EF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953"/>
    <w:rsid w:val="009A2EDA"/>
    <w:rsid w:val="009A36CA"/>
    <w:rsid w:val="009A3E54"/>
    <w:rsid w:val="009A427D"/>
    <w:rsid w:val="009A4CB8"/>
    <w:rsid w:val="009A4D1C"/>
    <w:rsid w:val="009A7419"/>
    <w:rsid w:val="009A78D8"/>
    <w:rsid w:val="009B04A3"/>
    <w:rsid w:val="009B11DD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2F51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27174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8B4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196C"/>
    <w:rsid w:val="00A92854"/>
    <w:rsid w:val="00A92D8C"/>
    <w:rsid w:val="00A935EB"/>
    <w:rsid w:val="00A93975"/>
    <w:rsid w:val="00A94D24"/>
    <w:rsid w:val="00A94D82"/>
    <w:rsid w:val="00A95DC7"/>
    <w:rsid w:val="00A97F1F"/>
    <w:rsid w:val="00AA04B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1677"/>
    <w:rsid w:val="00AF3083"/>
    <w:rsid w:val="00AF3641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5A9D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314E"/>
    <w:rsid w:val="00B77284"/>
    <w:rsid w:val="00B80157"/>
    <w:rsid w:val="00B81656"/>
    <w:rsid w:val="00B833CC"/>
    <w:rsid w:val="00B83ADB"/>
    <w:rsid w:val="00B83D7C"/>
    <w:rsid w:val="00B85D5E"/>
    <w:rsid w:val="00B86252"/>
    <w:rsid w:val="00B87FC3"/>
    <w:rsid w:val="00B90CF7"/>
    <w:rsid w:val="00B90E90"/>
    <w:rsid w:val="00B90F00"/>
    <w:rsid w:val="00B91C00"/>
    <w:rsid w:val="00B9224E"/>
    <w:rsid w:val="00B923A2"/>
    <w:rsid w:val="00B9270B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33"/>
    <w:rsid w:val="00C1374A"/>
    <w:rsid w:val="00C1412B"/>
    <w:rsid w:val="00C14725"/>
    <w:rsid w:val="00C152DF"/>
    <w:rsid w:val="00C16167"/>
    <w:rsid w:val="00C20D9D"/>
    <w:rsid w:val="00C24D7C"/>
    <w:rsid w:val="00C25B17"/>
    <w:rsid w:val="00C264A1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739"/>
    <w:rsid w:val="00C52BCE"/>
    <w:rsid w:val="00C535AD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1B4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412F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4D14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16E6A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2CAD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5D9"/>
    <w:rsid w:val="00D75199"/>
    <w:rsid w:val="00D75F0B"/>
    <w:rsid w:val="00D7658F"/>
    <w:rsid w:val="00D769B5"/>
    <w:rsid w:val="00D769CF"/>
    <w:rsid w:val="00D76F59"/>
    <w:rsid w:val="00D771B8"/>
    <w:rsid w:val="00D77A5C"/>
    <w:rsid w:val="00D803AD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1658"/>
    <w:rsid w:val="00E1207B"/>
    <w:rsid w:val="00E1279D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269F3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F07"/>
    <w:rsid w:val="00E500F6"/>
    <w:rsid w:val="00E50483"/>
    <w:rsid w:val="00E50A52"/>
    <w:rsid w:val="00E50BF0"/>
    <w:rsid w:val="00E50E9A"/>
    <w:rsid w:val="00E51B09"/>
    <w:rsid w:val="00E53007"/>
    <w:rsid w:val="00E5321A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14F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E04"/>
    <w:rsid w:val="00E9256E"/>
    <w:rsid w:val="00E9483D"/>
    <w:rsid w:val="00E94F0A"/>
    <w:rsid w:val="00E951F3"/>
    <w:rsid w:val="00E95288"/>
    <w:rsid w:val="00E95A4F"/>
    <w:rsid w:val="00E969E0"/>
    <w:rsid w:val="00E97108"/>
    <w:rsid w:val="00EA0390"/>
    <w:rsid w:val="00EA08C4"/>
    <w:rsid w:val="00EA0F31"/>
    <w:rsid w:val="00EA2BCE"/>
    <w:rsid w:val="00EA2ED3"/>
    <w:rsid w:val="00EA2FA4"/>
    <w:rsid w:val="00EA302E"/>
    <w:rsid w:val="00EA30FB"/>
    <w:rsid w:val="00EA3104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6C7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58E4"/>
    <w:rsid w:val="00F06128"/>
    <w:rsid w:val="00F0621B"/>
    <w:rsid w:val="00F06D75"/>
    <w:rsid w:val="00F071D7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483B"/>
    <w:rsid w:val="00F26BB1"/>
    <w:rsid w:val="00F2737E"/>
    <w:rsid w:val="00F3072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F7C"/>
    <w:rsid w:val="00FB2FE2"/>
    <w:rsid w:val="00FB304E"/>
    <w:rsid w:val="00FB37C0"/>
    <w:rsid w:val="00FB42CF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D22"/>
    <w:rsid w:val="00FD5826"/>
    <w:rsid w:val="00FD592F"/>
    <w:rsid w:val="00FD67AC"/>
    <w:rsid w:val="00FD6BEC"/>
    <w:rsid w:val="00FD6EA0"/>
    <w:rsid w:val="00FD72F7"/>
    <w:rsid w:val="00FD7E92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40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8.bin"/><Relationship Id="rId7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3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7.bin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41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4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9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42.bin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4DB3-2749-40B3-9ABE-6C15AA96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 Number of subcarriers per PRB for NR</vt:lpstr>
      <vt:lpstr>On Number of subcarriers per PRB for NR</vt:lpstr>
    </vt:vector>
  </TitlesOfParts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Number of subcarriers per PRB for NR</dc:title>
  <dc:creator/>
  <cp:lastModifiedBy/>
  <cp:revision>1</cp:revision>
  <dcterms:created xsi:type="dcterms:W3CDTF">2016-11-01T14:14:00Z</dcterms:created>
  <dcterms:modified xsi:type="dcterms:W3CDTF">2016-11-04T02:16:00Z</dcterms:modified>
</cp:coreProperties>
</file>