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A1CC9" w14:textId="358F6C9E" w:rsidR="00FE5799" w:rsidRPr="00446F9D" w:rsidRDefault="00FE5799" w:rsidP="00FE5799">
      <w:pPr>
        <w:pStyle w:val="Header"/>
        <w:tabs>
          <w:tab w:val="clear" w:pos="4536"/>
        </w:tabs>
        <w:rPr>
          <w:i/>
        </w:rPr>
      </w:pPr>
      <w:bookmarkStart w:id="0" w:name="_GoBack"/>
      <w:bookmarkEnd w:id="0"/>
      <w:r w:rsidRPr="00446F9D">
        <w:t>TSG-RAN WG1 #</w:t>
      </w:r>
      <w:r w:rsidR="005E252D">
        <w:t>86</w:t>
      </w:r>
      <w:r w:rsidRPr="00446F9D">
        <w:tab/>
        <w:t>R1-</w:t>
      </w:r>
      <w:r w:rsidR="000C3EB1" w:rsidRPr="000C3EB1">
        <w:t>167554</w:t>
      </w:r>
    </w:p>
    <w:p w14:paraId="56DA1CCA" w14:textId="1ACCC159" w:rsidR="00FE5799" w:rsidRPr="000833FA" w:rsidRDefault="005E252D" w:rsidP="00FE5799">
      <w:pPr>
        <w:pStyle w:val="Header"/>
        <w:rPr>
          <w:color w:val="000000"/>
        </w:rPr>
      </w:pPr>
      <w:r>
        <w:t>Gothenburg</w:t>
      </w:r>
      <w:r w:rsidR="008F6929">
        <w:t xml:space="preserve">, </w:t>
      </w:r>
      <w:r w:rsidR="004E2853">
        <w:t>Sweden</w:t>
      </w:r>
      <w:r w:rsidR="00FE5799" w:rsidRPr="000833FA">
        <w:t>,</w:t>
      </w:r>
      <w:r>
        <w:t xml:space="preserve"> August 22 – 26</w:t>
      </w:r>
      <w:r w:rsidR="00FE5799">
        <w:t>, 2016</w:t>
      </w:r>
    </w:p>
    <w:p w14:paraId="56DA1CCB" w14:textId="77777777" w:rsidR="00FE5799" w:rsidRPr="000833FA" w:rsidRDefault="00FE5799" w:rsidP="00FE5799">
      <w:pPr>
        <w:pStyle w:val="Header"/>
      </w:pPr>
    </w:p>
    <w:p w14:paraId="56DA1CCC"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56DA1CCD" w14:textId="047D5290" w:rsidR="00FE5799" w:rsidRPr="00F64D4A" w:rsidRDefault="00FE5799" w:rsidP="00FE5799">
      <w:pPr>
        <w:pStyle w:val="Header"/>
        <w:tabs>
          <w:tab w:val="clear" w:pos="4536"/>
          <w:tab w:val="left" w:pos="1800"/>
        </w:tabs>
      </w:pPr>
      <w:r w:rsidRPr="0003368D">
        <w:t>Title:</w:t>
      </w:r>
      <w:bookmarkStart w:id="1" w:name="Title"/>
      <w:bookmarkEnd w:id="1"/>
      <w:r w:rsidRPr="0003368D">
        <w:tab/>
      </w:r>
      <w:r w:rsidR="000C3EB1" w:rsidRPr="000C3EB1">
        <w:t xml:space="preserve">General framework for </w:t>
      </w:r>
      <w:r w:rsidR="00E213D3">
        <w:t>efficient</w:t>
      </w:r>
      <w:r w:rsidR="000C3EB1" w:rsidRPr="000C3EB1">
        <w:t xml:space="preserve"> access in NR</w:t>
      </w:r>
    </w:p>
    <w:p w14:paraId="56DA1CCE" w14:textId="76B29AF5" w:rsidR="00FE5799" w:rsidRPr="0003368D" w:rsidRDefault="00FE5799" w:rsidP="00FE5799">
      <w:pPr>
        <w:pStyle w:val="Header"/>
        <w:tabs>
          <w:tab w:val="left" w:pos="1800"/>
        </w:tabs>
      </w:pPr>
      <w:r w:rsidRPr="0003368D">
        <w:t>Agenda Item:</w:t>
      </w:r>
      <w:bookmarkStart w:id="2" w:name="Source"/>
      <w:bookmarkEnd w:id="2"/>
      <w:r w:rsidRPr="0003368D">
        <w:tab/>
      </w:r>
      <w:r w:rsidR="005A7145">
        <w:t>8.1.2.2</w:t>
      </w:r>
    </w:p>
    <w:p w14:paraId="56DA1CCF" w14:textId="77777777"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14:paraId="56DA1CD0" w14:textId="77777777" w:rsidR="00FE5799" w:rsidRPr="002100D2" w:rsidRDefault="00FE5799" w:rsidP="00FE5799">
      <w:pPr>
        <w:pBdr>
          <w:bottom w:val="single" w:sz="4" w:space="1" w:color="auto"/>
        </w:pBdr>
        <w:tabs>
          <w:tab w:val="left" w:pos="2552"/>
        </w:tabs>
      </w:pPr>
    </w:p>
    <w:p w14:paraId="56DA1CD1" w14:textId="77777777" w:rsidR="00FE5799" w:rsidRDefault="00582543" w:rsidP="000955B4">
      <w:pPr>
        <w:pStyle w:val="Heading1"/>
        <w:spacing w:afterLines="60" w:after="144"/>
      </w:pPr>
      <w:r>
        <w:t>Background</w:t>
      </w:r>
    </w:p>
    <w:p w14:paraId="16FA0FA8" w14:textId="71C82C11" w:rsidR="00282E45" w:rsidRDefault="000955B4" w:rsidP="00F6568D">
      <w:pPr>
        <w:pStyle w:val="BodyText"/>
      </w:pPr>
      <w:r>
        <w:t>In RAN1 #8</w:t>
      </w:r>
      <w:r w:rsidR="00282E45">
        <w:t>5</w:t>
      </w:r>
      <w:r>
        <w:t xml:space="preserve">b, it was agreed that non-orthogonal multiple access schemes should be investigated, and </w:t>
      </w:r>
      <w:r w:rsidR="005975DB">
        <w:t>that c</w:t>
      </w:r>
      <w:r>
        <w:t xml:space="preserve">ontention-based/grant-free non-orthogonal multiple access should be studied at least for </w:t>
      </w:r>
      <w:r w:rsidR="001B02E0">
        <w:t xml:space="preserve">the </w:t>
      </w:r>
      <w:proofErr w:type="spellStart"/>
      <w:r>
        <w:t>mMTC</w:t>
      </w:r>
      <w:proofErr w:type="spellEnd"/>
      <w:r>
        <w:t xml:space="preserve"> uplink</w:t>
      </w:r>
      <w:r w:rsidR="00F6568D">
        <w:t xml:space="preserve"> </w:t>
      </w:r>
      <w:r w:rsidR="00F6568D">
        <w:fldChar w:fldCharType="begin"/>
      </w:r>
      <w:r w:rsidR="00F6568D">
        <w:instrText xml:space="preserve"> REF _Ref455499509 \n \h </w:instrText>
      </w:r>
      <w:r w:rsidR="00F6568D">
        <w:fldChar w:fldCharType="separate"/>
      </w:r>
      <w:r w:rsidR="003D1A71">
        <w:t>[1]</w:t>
      </w:r>
      <w:r w:rsidR="00F6568D">
        <w:fldChar w:fldCharType="end"/>
      </w:r>
      <w:r>
        <w:t>.</w:t>
      </w:r>
      <w:r w:rsidR="00282E45">
        <w:t xml:space="preserve"> </w:t>
      </w:r>
      <w:r w:rsidR="001C434E">
        <w:t xml:space="preserve">Multiplexing and multiple </w:t>
      </w:r>
      <w:proofErr w:type="gramStart"/>
      <w:r w:rsidR="001C434E">
        <w:t>access</w:t>
      </w:r>
      <w:proofErr w:type="gramEnd"/>
      <w:r w:rsidR="001C434E">
        <w:t xml:space="preserve"> </w:t>
      </w:r>
      <w:r w:rsidR="004D0791">
        <w:t>address</w:t>
      </w:r>
      <w:r w:rsidR="001C434E">
        <w:t xml:space="preserve"> the question how different transmissions </w:t>
      </w:r>
      <w:r w:rsidR="005406BC">
        <w:t xml:space="preserve">are jointly mapped </w:t>
      </w:r>
      <w:r w:rsidR="004D0791">
        <w:t xml:space="preserve">onto </w:t>
      </w:r>
      <w:r w:rsidR="001D2639">
        <w:t xml:space="preserve">the resource </w:t>
      </w:r>
      <w:r w:rsidR="004D0791">
        <w:t>grid and carried out in parallel</w:t>
      </w:r>
      <w:r w:rsidR="001C434E">
        <w:t>.</w:t>
      </w:r>
      <w:r w:rsidR="00282E45">
        <w:t xml:space="preserve"> </w:t>
      </w:r>
      <w:r w:rsidR="001B02E0">
        <w:t xml:space="preserve">Studies are </w:t>
      </w:r>
      <w:r w:rsidR="0046251B">
        <w:t>focus</w:t>
      </w:r>
      <w:r w:rsidR="00282E45">
        <w:t>i</w:t>
      </w:r>
      <w:r w:rsidR="001B02E0">
        <w:t>ng</w:t>
      </w:r>
      <w:r w:rsidR="00282E45">
        <w:t xml:space="preserve"> </w:t>
      </w:r>
      <w:r w:rsidR="0046251B">
        <w:t xml:space="preserve">on </w:t>
      </w:r>
      <w:r w:rsidR="00ED3BC7">
        <w:t xml:space="preserve">high spectral efficiency </w:t>
      </w:r>
      <w:proofErr w:type="spellStart"/>
      <w:r w:rsidR="00ED3BC7">
        <w:t>eMMB</w:t>
      </w:r>
      <w:proofErr w:type="spellEnd"/>
      <w:r w:rsidR="00ED3BC7">
        <w:t>, low</w:t>
      </w:r>
      <w:r w:rsidR="001B02E0">
        <w:t>-</w:t>
      </w:r>
      <w:r w:rsidR="00ED3BC7">
        <w:t xml:space="preserve">latency </w:t>
      </w:r>
      <w:proofErr w:type="spellStart"/>
      <w:r w:rsidR="00ED3BC7">
        <w:t>uRLLC</w:t>
      </w:r>
      <w:proofErr w:type="spellEnd"/>
      <w:r w:rsidR="00ED3BC7">
        <w:t xml:space="preserve"> </w:t>
      </w:r>
      <w:r w:rsidR="004D0791">
        <w:t>and high</w:t>
      </w:r>
      <w:r w:rsidR="00ED3BC7">
        <w:t xml:space="preserve"> UE-density </w:t>
      </w:r>
      <w:proofErr w:type="spellStart"/>
      <w:r w:rsidR="00ED3BC7">
        <w:t>mMTC</w:t>
      </w:r>
      <w:proofErr w:type="spellEnd"/>
      <w:r w:rsidR="00ED3BC7">
        <w:t>.</w:t>
      </w:r>
      <w:r w:rsidR="00282E45">
        <w:t xml:space="preserve"> In this paper, we </w:t>
      </w:r>
      <w:r w:rsidR="000C2E10">
        <w:t>single out</w:t>
      </w:r>
      <w:r w:rsidR="00282E45">
        <w:t xml:space="preserve"> efficient </w:t>
      </w:r>
      <w:r w:rsidR="00762FEC">
        <w:t xml:space="preserve">access and </w:t>
      </w:r>
      <w:r w:rsidR="00282E45">
        <w:t>resource ut</w:t>
      </w:r>
      <w:r w:rsidR="00D367F8">
        <w:t>ilization for small data packet scheduling</w:t>
      </w:r>
      <w:r w:rsidR="00282E45">
        <w:t xml:space="preserve">. We discuss two </w:t>
      </w:r>
      <w:r w:rsidR="00D728E8">
        <w:t>directions</w:t>
      </w:r>
      <w:r w:rsidR="00282E45">
        <w:t xml:space="preserve"> </w:t>
      </w:r>
      <w:r w:rsidR="00D367F8">
        <w:t xml:space="preserve">that can </w:t>
      </w:r>
      <w:r w:rsidR="001B02E0">
        <w:t xml:space="preserve">potentially </w:t>
      </w:r>
      <w:r w:rsidR="00D367F8">
        <w:t>be superimposed to yield an agile interface for efficient transmission of small payloads; a) Grant-free</w:t>
      </w:r>
      <w:r w:rsidR="00762FEC">
        <w:t xml:space="preserve"> asynchronous</w:t>
      </w:r>
      <w:r w:rsidR="00D367F8">
        <w:t xml:space="preserve"> access; and b) non-orthogonal (overlapping) transmission</w:t>
      </w:r>
      <w:r w:rsidR="000C2E10">
        <w:t>s</w:t>
      </w:r>
      <w:r w:rsidR="00D367F8">
        <w:t xml:space="preserve">. </w:t>
      </w:r>
      <w:r w:rsidR="00D728E8">
        <w:t>For each case, w</w:t>
      </w:r>
      <w:r w:rsidR="00D367F8">
        <w:t xml:space="preserve">e </w:t>
      </w:r>
      <w:r w:rsidR="00D728E8">
        <w:t xml:space="preserve">identify parts of the </w:t>
      </w:r>
      <w:r w:rsidR="00D367F8">
        <w:t xml:space="preserve">general </w:t>
      </w:r>
      <w:r w:rsidR="002D2FEE">
        <w:t>evaluation framework that need</w:t>
      </w:r>
      <w:r w:rsidR="00D728E8">
        <w:t xml:space="preserve"> to be put forward for </w:t>
      </w:r>
      <w:r w:rsidR="00D367F8">
        <w:t xml:space="preserve">rigorous performance assessment of </w:t>
      </w:r>
      <w:r w:rsidR="00D728E8">
        <w:t>future solutions</w:t>
      </w:r>
      <w:r w:rsidR="00D367F8">
        <w:t>.</w:t>
      </w:r>
    </w:p>
    <w:p w14:paraId="1B72D0F4" w14:textId="5EEC7593" w:rsidR="00C05143" w:rsidRPr="00C05143" w:rsidRDefault="00A95900" w:rsidP="00C05143">
      <w:pPr>
        <w:pStyle w:val="Heading1"/>
        <w:spacing w:afterLines="60" w:after="144"/>
      </w:pPr>
      <w:r>
        <w:t xml:space="preserve">Efficient </w:t>
      </w:r>
      <w:r w:rsidR="002F24BD">
        <w:t xml:space="preserve">Access </w:t>
      </w:r>
    </w:p>
    <w:p w14:paraId="66C0E4EF" w14:textId="77777777" w:rsidR="00167038" w:rsidRDefault="000C2E10" w:rsidP="00FF59B0">
      <w:pPr>
        <w:pStyle w:val="BodyText"/>
      </w:pPr>
      <w:r>
        <w:t>On an abstract level</w:t>
      </w:r>
      <w:r w:rsidR="002F74CA">
        <w:t>,</w:t>
      </w:r>
      <w:r w:rsidR="00ED3BC7">
        <w:t xml:space="preserve"> </w:t>
      </w:r>
      <w:r w:rsidR="001D718D">
        <w:t>one can</w:t>
      </w:r>
      <w:r w:rsidR="00ED3BC7">
        <w:t xml:space="preserve"> </w:t>
      </w:r>
      <w:r>
        <w:t>look at</w:t>
      </w:r>
      <w:r w:rsidR="003D1A71">
        <w:t xml:space="preserve"> </w:t>
      </w:r>
      <w:r>
        <w:t xml:space="preserve">IP traffic that </w:t>
      </w:r>
      <w:r w:rsidR="00D822EA">
        <w:t>varies</w:t>
      </w:r>
      <w:r w:rsidR="00B168B3">
        <w:t>,</w:t>
      </w:r>
      <w:r w:rsidR="001B46AC">
        <w:t xml:space="preserve"> </w:t>
      </w:r>
      <w:r w:rsidR="00ED3BC7">
        <w:t>dep</w:t>
      </w:r>
      <w:r w:rsidR="00D822EA">
        <w:t xml:space="preserve">ending on different </w:t>
      </w:r>
      <w:r w:rsidR="001B46AC">
        <w:t>factors</w:t>
      </w:r>
      <w:r w:rsidR="00003564">
        <w:t>.</w:t>
      </w:r>
      <w:r w:rsidR="001D718D">
        <w:t xml:space="preserve"> </w:t>
      </w:r>
      <w:r w:rsidR="00003564">
        <w:t>S</w:t>
      </w:r>
      <w:r w:rsidR="001B46AC">
        <w:t xml:space="preserve">mall data </w:t>
      </w:r>
      <w:r w:rsidR="00625E5F">
        <w:t>packages, due to TCP ACK</w:t>
      </w:r>
      <w:r>
        <w:t xml:space="preserve"> </w:t>
      </w:r>
      <w:r w:rsidR="00120C92">
        <w:t>(</w:t>
      </w:r>
      <w:r>
        <w:t>around 40B</w:t>
      </w:r>
      <w:r w:rsidR="00120C92">
        <w:t>)</w:t>
      </w:r>
      <w:r w:rsidR="00625E5F">
        <w:t xml:space="preserve">, </w:t>
      </w:r>
      <w:r w:rsidR="001D718D">
        <w:t xml:space="preserve">constitute a non-negligible fraction of </w:t>
      </w:r>
      <w:r w:rsidR="00D55A05">
        <w:t xml:space="preserve">the </w:t>
      </w:r>
      <w:r w:rsidR="00003564">
        <w:t xml:space="preserve">IP traffic and </w:t>
      </w:r>
      <w:r w:rsidR="00D55A05">
        <w:t>are randomly dispersed</w:t>
      </w:r>
      <w:r>
        <w:t xml:space="preserve"> in </w:t>
      </w:r>
      <w:r w:rsidR="00120C92">
        <w:t>time</w:t>
      </w:r>
      <w:r w:rsidR="00003564">
        <w:t>.</w:t>
      </w:r>
      <w:r w:rsidR="003D1A71">
        <w:t xml:space="preserve"> Among the use-cases of interest in NR, </w:t>
      </w:r>
      <w:r>
        <w:t>such</w:t>
      </w:r>
      <w:r w:rsidR="003D1A71">
        <w:t xml:space="preserve"> </w:t>
      </w:r>
      <w:r>
        <w:t xml:space="preserve">a </w:t>
      </w:r>
      <w:r w:rsidR="003D1A71">
        <w:t xml:space="preserve">traffic pattern is </w:t>
      </w:r>
      <w:r>
        <w:t xml:space="preserve">a </w:t>
      </w:r>
      <w:r w:rsidR="003D1A71">
        <w:t xml:space="preserve">recurrent </w:t>
      </w:r>
      <w:r>
        <w:t xml:space="preserve">theme </w:t>
      </w:r>
      <w:r w:rsidR="003D1A71">
        <w:t xml:space="preserve">in </w:t>
      </w:r>
      <w:proofErr w:type="spellStart"/>
      <w:r w:rsidR="003D1A71">
        <w:t>mMTC</w:t>
      </w:r>
      <w:proofErr w:type="spellEnd"/>
      <w:r w:rsidR="003D1A71">
        <w:t xml:space="preserve"> where (mostly) idle devices </w:t>
      </w:r>
      <w:r w:rsidR="00D822EA">
        <w:t xml:space="preserve">occasionally </w:t>
      </w:r>
      <w:r w:rsidR="003D1A71">
        <w:t xml:space="preserve">wake up to </w:t>
      </w:r>
      <w:r w:rsidR="00D55A05">
        <w:t>send out</w:t>
      </w:r>
      <w:r w:rsidR="003D1A71">
        <w:t xml:space="preserve"> small payloads. The density of active devices in </w:t>
      </w:r>
      <w:proofErr w:type="spellStart"/>
      <w:r w:rsidR="003D1A71">
        <w:t>mMTC</w:t>
      </w:r>
      <w:proofErr w:type="spellEnd"/>
      <w:r w:rsidR="003D1A71">
        <w:t xml:space="preserve"> </w:t>
      </w:r>
      <w:r w:rsidR="00D55A05">
        <w:t xml:space="preserve">could, in principle, </w:t>
      </w:r>
      <w:r w:rsidR="003D1A71">
        <w:t>reach 10</w:t>
      </w:r>
      <w:r w:rsidR="003D1A71" w:rsidRPr="003D1A71">
        <w:rPr>
          <w:vertAlign w:val="superscript"/>
        </w:rPr>
        <w:t>6</w:t>
      </w:r>
      <w:r w:rsidR="00D822EA">
        <w:t>UEs</w:t>
      </w:r>
      <w:r w:rsidR="003D1A71">
        <w:t>/Km</w:t>
      </w:r>
      <w:r w:rsidR="003D1A71" w:rsidRPr="003D1A71">
        <w:rPr>
          <w:vertAlign w:val="superscript"/>
        </w:rPr>
        <w:t>2</w:t>
      </w:r>
      <w:r w:rsidR="00C36C4B">
        <w:rPr>
          <w:vertAlign w:val="superscript"/>
        </w:rPr>
        <w:t xml:space="preserve"> </w:t>
      </w:r>
      <w:r w:rsidR="00D55A05">
        <w:fldChar w:fldCharType="begin"/>
      </w:r>
      <w:r w:rsidR="00D55A05">
        <w:instrText xml:space="preserve"> REF _Ref458604955 \n \h </w:instrText>
      </w:r>
      <w:r w:rsidR="00D55A05">
        <w:fldChar w:fldCharType="separate"/>
      </w:r>
      <w:r w:rsidR="00D55A05">
        <w:t>[2]</w:t>
      </w:r>
      <w:r w:rsidR="00D55A05">
        <w:fldChar w:fldCharType="end"/>
      </w:r>
      <w:r w:rsidR="00D822EA">
        <w:t xml:space="preserve">, implying </w:t>
      </w:r>
      <w:r w:rsidR="003D1A71">
        <w:t xml:space="preserve">that transmission </w:t>
      </w:r>
      <w:r w:rsidR="00D822EA">
        <w:t xml:space="preserve">is characterized by </w:t>
      </w:r>
      <w:r w:rsidR="00D55A05">
        <w:t xml:space="preserve">irregular </w:t>
      </w:r>
      <w:proofErr w:type="spellStart"/>
      <w:r w:rsidR="00D822EA">
        <w:t>bursty</w:t>
      </w:r>
      <w:proofErr w:type="spellEnd"/>
      <w:r w:rsidR="00D822EA">
        <w:t xml:space="preserve"> traffic</w:t>
      </w:r>
      <w:r w:rsidR="00B168B3">
        <w:t xml:space="preserve"> that is</w:t>
      </w:r>
      <w:r w:rsidR="00D822EA">
        <w:t xml:space="preserve"> dominated by light data packets</w:t>
      </w:r>
      <w:r w:rsidR="00D55A05">
        <w:t>.</w:t>
      </w:r>
      <w:r w:rsidR="00D822EA">
        <w:t xml:space="preserve"> </w:t>
      </w:r>
    </w:p>
    <w:p w14:paraId="1A96DC23" w14:textId="18221443" w:rsidR="00003564" w:rsidRPr="00C864B3" w:rsidRDefault="00B544F6" w:rsidP="00FF59B0">
      <w:pPr>
        <w:pStyle w:val="BodyText"/>
      </w:pPr>
      <w:r>
        <w:t xml:space="preserve">For illustration </w:t>
      </w:r>
      <w:r w:rsidR="003E5EF4">
        <w:t xml:space="preserve">purposes, </w:t>
      </w:r>
      <w:r>
        <w:t xml:space="preserve">consider </w:t>
      </w:r>
      <w:r w:rsidR="00D652EE">
        <w:t xml:space="preserve">an </w:t>
      </w:r>
      <w:r>
        <w:t xml:space="preserve">LTE </w:t>
      </w:r>
      <w:r w:rsidR="00D652EE">
        <w:t xml:space="preserve">system. </w:t>
      </w:r>
      <w:r w:rsidR="00B168B3">
        <w:t xml:space="preserve">When the </w:t>
      </w:r>
      <w:r w:rsidR="00D652EE">
        <w:t xml:space="preserve">TX </w:t>
      </w:r>
      <w:r w:rsidR="00B168B3">
        <w:t xml:space="preserve">buffer </w:t>
      </w:r>
      <w:r w:rsidR="00D652EE">
        <w:t>in the device has been empty for a long time</w:t>
      </w:r>
      <w:r w:rsidR="00B168B3">
        <w:t xml:space="preserve"> , the device </w:t>
      </w:r>
      <w:r w:rsidR="00D652EE">
        <w:t>will be</w:t>
      </w:r>
      <w:r w:rsidR="00C864B3">
        <w:t xml:space="preserve"> </w:t>
      </w:r>
      <w:r w:rsidR="00B168B3">
        <w:t>idl</w:t>
      </w:r>
      <w:r w:rsidR="00C864B3">
        <w:t>e</w:t>
      </w:r>
      <w:r w:rsidR="00B168B3">
        <w:t xml:space="preserve"> for energy conservation</w:t>
      </w:r>
      <w:r w:rsidR="00995365">
        <w:t xml:space="preserve"> purposes</w:t>
      </w:r>
      <w:r w:rsidR="00B168B3">
        <w:t xml:space="preserve">, hence when a </w:t>
      </w:r>
      <w:r w:rsidR="00167038">
        <w:t xml:space="preserve">(small) </w:t>
      </w:r>
      <w:r w:rsidR="00B168B3">
        <w:t xml:space="preserve">packet arrives </w:t>
      </w:r>
      <w:r w:rsidR="00D652EE">
        <w:t>after a long idl</w:t>
      </w:r>
      <w:r w:rsidR="00C864B3">
        <w:t>e</w:t>
      </w:r>
      <w:r w:rsidR="00D652EE">
        <w:t xml:space="preserve"> period </w:t>
      </w:r>
      <w:r w:rsidR="00B168B3">
        <w:t xml:space="preserve">a transmit grant and timing advance have to be acquired. </w:t>
      </w:r>
      <w:r w:rsidR="003E5EF4">
        <w:t>Therefore</w:t>
      </w:r>
      <w:r w:rsidR="00D822EA">
        <w:t xml:space="preserve">, </w:t>
      </w:r>
      <w:r w:rsidR="00D652EE">
        <w:t>the</w:t>
      </w:r>
      <w:r w:rsidR="00167038">
        <w:t xml:space="preserve"> </w:t>
      </w:r>
      <w:r w:rsidR="00CB24D9">
        <w:t>device</w:t>
      </w:r>
      <w:r w:rsidR="00995365">
        <w:t>s</w:t>
      </w:r>
      <w:r w:rsidR="00CB24D9">
        <w:t xml:space="preserve"> </w:t>
      </w:r>
      <w:r w:rsidR="00995365">
        <w:t xml:space="preserve">will </w:t>
      </w:r>
      <w:r>
        <w:t>have to go through</w:t>
      </w:r>
      <w:r w:rsidR="00167038">
        <w:t xml:space="preserve"> the LTE Random Access (RA) procedur</w:t>
      </w:r>
      <w:r>
        <w:t>e</w:t>
      </w:r>
      <w:r w:rsidR="00762FEC">
        <w:t xml:space="preserve">, illustrated in </w:t>
      </w:r>
      <w:r w:rsidR="00762FEC">
        <w:fldChar w:fldCharType="begin"/>
      </w:r>
      <w:r w:rsidR="00762FEC">
        <w:instrText xml:space="preserve"> REF _Ref455474495 \h </w:instrText>
      </w:r>
      <w:r w:rsidR="00762FEC">
        <w:fldChar w:fldCharType="separate"/>
      </w:r>
      <w:r w:rsidR="00762FEC" w:rsidRPr="00772906">
        <w:t xml:space="preserve">Figure </w:t>
      </w:r>
      <w:r w:rsidR="00762FEC">
        <w:rPr>
          <w:noProof/>
        </w:rPr>
        <w:t>1</w:t>
      </w:r>
      <w:r w:rsidR="00762FEC">
        <w:fldChar w:fldCharType="end"/>
      </w:r>
      <w:r w:rsidR="00762FEC">
        <w:t>,</w:t>
      </w:r>
      <w:r w:rsidR="00167038">
        <w:t xml:space="preserve"> before</w:t>
      </w:r>
      <w:r>
        <w:t xml:space="preserve"> transmitting the package</w:t>
      </w:r>
      <w:r w:rsidR="00EA6E3D">
        <w:t>.</w:t>
      </w:r>
      <w:r w:rsidR="00C864B3">
        <w:t xml:space="preserve"> </w:t>
      </w:r>
      <w:r w:rsidR="00EA6E3D">
        <w:t xml:space="preserve">However, </w:t>
      </w:r>
      <w:r w:rsidR="00167038">
        <w:t xml:space="preserve">the LTE </w:t>
      </w:r>
      <w:r w:rsidR="00120C92">
        <w:t>RA</w:t>
      </w:r>
      <w:r w:rsidR="00EA6E3D">
        <w:t xml:space="preserve"> </w:t>
      </w:r>
      <w:r w:rsidR="00167038">
        <w:t xml:space="preserve">procedure </w:t>
      </w:r>
      <w:r w:rsidR="00EA6E3D">
        <w:t xml:space="preserve">is not </w:t>
      </w:r>
      <w:r w:rsidR="00576D0F">
        <w:t xml:space="preserve">currently </w:t>
      </w:r>
      <w:r w:rsidR="00EA6E3D">
        <w:t>optimized for small data packet</w:t>
      </w:r>
      <w:r w:rsidR="00167038">
        <w:t xml:space="preserve"> transmission.</w:t>
      </w:r>
    </w:p>
    <w:p w14:paraId="3D3504EE" w14:textId="01FD2550" w:rsidR="00772906" w:rsidRDefault="00772906" w:rsidP="00772906">
      <w:pPr>
        <w:pStyle w:val="BodyText"/>
        <w:keepNext/>
        <w:jc w:val="center"/>
      </w:pPr>
      <w:r>
        <w:rPr>
          <w:noProof/>
          <w:lang w:val="sv-SE" w:eastAsia="sv-SE"/>
        </w:rPr>
        <w:drawing>
          <wp:inline distT="0" distB="0" distL="0" distR="0" wp14:anchorId="78851AF3" wp14:editId="678D243C">
            <wp:extent cx="4987578" cy="2466975"/>
            <wp:effectExtent l="0" t="0" r="3810" b="0"/>
            <wp:docPr id="1" name="Picture 1" descr="C:\Users\estaeft\Documents\Presentations\User-RE grid\RACH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aeft\Documents\Presentations\User-RE grid\RACH process.jpg"/>
                    <pic:cNvPicPr>
                      <a:picLocks noChangeAspect="1" noChangeArrowheads="1"/>
                    </pic:cNvPicPr>
                  </pic:nvPicPr>
                  <pic:blipFill rotWithShape="1">
                    <a:blip r:embed="rId14">
                      <a:extLst>
                        <a:ext uri="{28A0092B-C50C-407E-A947-70E740481C1C}">
                          <a14:useLocalDpi xmlns:a14="http://schemas.microsoft.com/office/drawing/2010/main" val="0"/>
                        </a:ext>
                      </a:extLst>
                    </a:blip>
                    <a:srcRect l="19009" t="7930" r="4132" b="41409"/>
                    <a:stretch/>
                  </pic:blipFill>
                  <pic:spPr bwMode="auto">
                    <a:xfrm>
                      <a:off x="0" y="0"/>
                      <a:ext cx="4989791" cy="2468070"/>
                    </a:xfrm>
                    <a:prstGeom prst="rect">
                      <a:avLst/>
                    </a:prstGeom>
                    <a:noFill/>
                    <a:ln>
                      <a:noFill/>
                    </a:ln>
                    <a:extLst>
                      <a:ext uri="{53640926-AAD7-44D8-BBD7-CCE9431645EC}">
                        <a14:shadowObscured xmlns:a14="http://schemas.microsoft.com/office/drawing/2010/main"/>
                      </a:ext>
                    </a:extLst>
                  </pic:spPr>
                </pic:pic>
              </a:graphicData>
            </a:graphic>
          </wp:inline>
        </w:drawing>
      </w:r>
    </w:p>
    <w:p w14:paraId="4C527161" w14:textId="14CBF583" w:rsidR="00772906" w:rsidRPr="00772906" w:rsidRDefault="00772906" w:rsidP="00772906">
      <w:pPr>
        <w:pStyle w:val="Caption"/>
        <w:jc w:val="center"/>
        <w:rPr>
          <w:color w:val="auto"/>
        </w:rPr>
      </w:pPr>
      <w:bookmarkStart w:id="4" w:name="_Ref455474495"/>
      <w:r w:rsidRPr="00772906">
        <w:rPr>
          <w:color w:val="auto"/>
        </w:rPr>
        <w:t xml:space="preserve">Figure </w:t>
      </w:r>
      <w:r w:rsidRPr="00772906">
        <w:rPr>
          <w:b w:val="0"/>
          <w:bCs w:val="0"/>
        </w:rPr>
        <w:fldChar w:fldCharType="begin"/>
      </w:r>
      <w:r w:rsidRPr="00772906">
        <w:rPr>
          <w:color w:val="auto"/>
        </w:rPr>
        <w:instrText xml:space="preserve"> SEQ Figure \* ARABIC </w:instrText>
      </w:r>
      <w:r w:rsidRPr="00772906">
        <w:rPr>
          <w:b w:val="0"/>
          <w:bCs w:val="0"/>
        </w:rPr>
        <w:fldChar w:fldCharType="separate"/>
      </w:r>
      <w:r w:rsidR="003D1A71">
        <w:rPr>
          <w:noProof/>
          <w:color w:val="auto"/>
        </w:rPr>
        <w:t>1</w:t>
      </w:r>
      <w:r w:rsidRPr="00772906">
        <w:rPr>
          <w:b w:val="0"/>
          <w:bCs w:val="0"/>
        </w:rPr>
        <w:fldChar w:fldCharType="end"/>
      </w:r>
      <w:bookmarkEnd w:id="4"/>
      <w:r w:rsidRPr="00772906">
        <w:rPr>
          <w:color w:val="auto"/>
        </w:rPr>
        <w:t>: RACH process for obtaining a UL grant</w:t>
      </w:r>
      <w:r w:rsidR="00DD352E">
        <w:rPr>
          <w:color w:val="auto"/>
        </w:rPr>
        <w:t>.</w:t>
      </w:r>
    </w:p>
    <w:p w14:paraId="1E1724F9" w14:textId="5DCFAFA3" w:rsidR="001D732D" w:rsidRDefault="00377D55" w:rsidP="00377D55">
      <w:pPr>
        <w:pStyle w:val="BodyText"/>
      </w:pPr>
      <w:r>
        <w:t>In the case of small payloads,</w:t>
      </w:r>
      <w:r w:rsidR="00B168B3">
        <w:t xml:space="preserve"> efficient</w:t>
      </w:r>
      <w:r>
        <w:t xml:space="preserve"> resource management (RM) is directly related to the signaling overhead</w:t>
      </w:r>
      <w:r w:rsidR="00D822EA">
        <w:t xml:space="preserve"> of the contention-based RA process</w:t>
      </w:r>
      <w:r>
        <w:t xml:space="preserve">. In particular, the ratio of the resources occupied for the UL grant </w:t>
      </w:r>
      <w:r w:rsidR="00D822EA">
        <w:t xml:space="preserve">acquisition </w:t>
      </w:r>
      <w:r>
        <w:t xml:space="preserve">to the total load (grant + payload) can be </w:t>
      </w:r>
      <w:r w:rsidR="00C864B3">
        <w:t>substantial;</w:t>
      </w:r>
      <w:r>
        <w:t xml:space="preserve"> </w:t>
      </w:r>
      <w:r w:rsidR="00C864B3">
        <w:t xml:space="preserve">hence </w:t>
      </w:r>
      <w:r>
        <w:t xml:space="preserve">there is room for RM improvement in terms of NW capacity savings. To </w:t>
      </w:r>
      <w:r w:rsidR="00D822EA">
        <w:t>improve capacity utilization in this scenario</w:t>
      </w:r>
      <w:r>
        <w:t xml:space="preserve">, it is important that the UE is not forced to go through the entire </w:t>
      </w:r>
      <w:r w:rsidR="00D822EA">
        <w:t>RA round</w:t>
      </w:r>
      <w:r w:rsidR="00772906">
        <w:t>,</w:t>
      </w:r>
      <w:r>
        <w:t xml:space="preserve"> </w:t>
      </w:r>
      <w:r w:rsidR="00050F19">
        <w:t>that includes a multistage handshake</w:t>
      </w:r>
      <w:r w:rsidR="009C6D2C">
        <w:t xml:space="preserve">. Instead it </w:t>
      </w:r>
      <w:r w:rsidR="00167038">
        <w:t xml:space="preserve">should be able to </w:t>
      </w:r>
      <w:r w:rsidR="009C6D2C">
        <w:t xml:space="preserve">initiate </w:t>
      </w:r>
      <w:r w:rsidR="00AA5C16">
        <w:t xml:space="preserve">a </w:t>
      </w:r>
      <w:r w:rsidR="009C6D2C">
        <w:t xml:space="preserve">transmission without </w:t>
      </w:r>
      <w:r>
        <w:t>obtaining</w:t>
      </w:r>
      <w:r w:rsidR="00484258">
        <w:t xml:space="preserve"> </w:t>
      </w:r>
      <w:r>
        <w:t>a</w:t>
      </w:r>
      <w:r w:rsidR="00576D0F">
        <w:t>n exclusive</w:t>
      </w:r>
      <w:r>
        <w:t xml:space="preserve"> UL transmi</w:t>
      </w:r>
      <w:r w:rsidR="009C6D2C">
        <w:t>ssion</w:t>
      </w:r>
      <w:r>
        <w:t xml:space="preserve"> grant</w:t>
      </w:r>
      <w:r w:rsidR="00CB24D9">
        <w:t xml:space="preserve"> </w:t>
      </w:r>
      <w:r w:rsidR="00D652EE">
        <w:t>and/</w:t>
      </w:r>
      <w:r w:rsidR="00CB24D9">
        <w:t xml:space="preserve">or </w:t>
      </w:r>
      <w:r w:rsidR="009C6D2C">
        <w:t>timing advance</w:t>
      </w:r>
      <w:r w:rsidR="00AA5C16">
        <w:t>,</w:t>
      </w:r>
      <w:r w:rsidR="002F3523">
        <w:t xml:space="preserve"> </w:t>
      </w:r>
      <w:r w:rsidR="00AA5C16">
        <w:t xml:space="preserve">which is </w:t>
      </w:r>
      <w:r w:rsidR="00D652EE">
        <w:t xml:space="preserve">typically </w:t>
      </w:r>
      <w:r w:rsidR="002F3523">
        <w:lastRenderedPageBreak/>
        <w:t>used for</w:t>
      </w:r>
      <w:r w:rsidR="00B544F6">
        <w:t xml:space="preserve"> UL</w:t>
      </w:r>
      <w:r w:rsidR="002F3523">
        <w:t xml:space="preserve"> synchronization</w:t>
      </w:r>
      <w:r w:rsidR="009C6D2C">
        <w:t xml:space="preserve">. </w:t>
      </w:r>
      <w:r>
        <w:t xml:space="preserve">Apart from enhancing the network resource management, such a paradigm shift would result in faster access and reduced latency, which </w:t>
      </w:r>
      <w:r w:rsidR="003F2C83">
        <w:t xml:space="preserve">is </w:t>
      </w:r>
      <w:r>
        <w:t>a significant aspect of delay-critical services</w:t>
      </w:r>
      <w:r w:rsidR="003F2C83">
        <w:t>,</w:t>
      </w:r>
      <w:r>
        <w:t xml:space="preserve"> </w:t>
      </w:r>
      <w:r w:rsidR="003F2C83">
        <w:t>such as</w:t>
      </w:r>
      <w:r>
        <w:t xml:space="preserve"> </w:t>
      </w:r>
      <w:proofErr w:type="spellStart"/>
      <w:r w:rsidR="00DD2C0B">
        <w:t>uRLLC</w:t>
      </w:r>
      <w:proofErr w:type="spellEnd"/>
      <w:r>
        <w:t>.</w:t>
      </w:r>
      <w:r w:rsidR="00D822EA">
        <w:t xml:space="preserve"> </w:t>
      </w:r>
      <w:r>
        <w:t xml:space="preserve"> </w:t>
      </w:r>
      <w:r w:rsidR="002F3523">
        <w:t>Th</w:t>
      </w:r>
      <w:r w:rsidR="003E5EF4">
        <w:t>us</w:t>
      </w:r>
      <w:r w:rsidR="002F3523">
        <w:t xml:space="preserve">, </w:t>
      </w:r>
      <w:r w:rsidR="001D732D">
        <w:t xml:space="preserve">asynchronous </w:t>
      </w:r>
      <w:r>
        <w:t xml:space="preserve">grant-free transmission should be supported for UL multiple </w:t>
      </w:r>
      <w:proofErr w:type="gramStart"/>
      <w:r>
        <w:t>access</w:t>
      </w:r>
      <w:proofErr w:type="gramEnd"/>
      <w:r w:rsidR="001D732D">
        <w:t xml:space="preserve"> and</w:t>
      </w:r>
      <w:r>
        <w:t xml:space="preserve"> there should be provision in NR for resources, where contention-based grant-free access </w:t>
      </w:r>
      <w:r w:rsidR="0037597B">
        <w:t>take</w:t>
      </w:r>
      <w:r w:rsidR="00023C42">
        <w:t>s</w:t>
      </w:r>
      <w:r w:rsidR="0037597B">
        <w:t xml:space="preserve"> p</w:t>
      </w:r>
      <w:r>
        <w:t>l</w:t>
      </w:r>
      <w:r w:rsidR="0037597B">
        <w:t>a</w:t>
      </w:r>
      <w:r>
        <w:t>ce.</w:t>
      </w:r>
      <w:r w:rsidR="003522B8">
        <w:t xml:space="preserve"> </w:t>
      </w:r>
      <w:r>
        <w:t>The introduction of grant-free UL transmission will have certain impli</w:t>
      </w:r>
      <w:r w:rsidR="001D732D">
        <w:t xml:space="preserve">cations: </w:t>
      </w:r>
      <w:r w:rsidR="00A07F46">
        <w:t>a) the receiver will be more complex and;</w:t>
      </w:r>
      <w:r w:rsidR="00A07F46" w:rsidRPr="00A07F46">
        <w:t xml:space="preserve"> </w:t>
      </w:r>
      <w:r w:rsidR="00A07F46">
        <w:t>b</w:t>
      </w:r>
      <w:r w:rsidR="001D732D">
        <w:t>) in the absence of exclusive transmission grants, multiple UEs may attempt to access the same resources</w:t>
      </w:r>
      <w:r w:rsidR="00A07F46">
        <w:t>.</w:t>
      </w:r>
    </w:p>
    <w:p w14:paraId="2B0EA939" w14:textId="67F56B87" w:rsidR="00846A2E" w:rsidRDefault="00846A2E" w:rsidP="00377D55">
      <w:pPr>
        <w:pStyle w:val="BodyText"/>
        <w:rPr>
          <w:b/>
          <w:noProof/>
          <w:lang w:eastAsia="sv-SE"/>
        </w:rPr>
      </w:pPr>
      <w:r w:rsidRPr="002F24BD">
        <w:rPr>
          <w:b/>
          <w:noProof/>
          <w:lang w:eastAsia="sv-SE"/>
        </w:rPr>
        <w:t xml:space="preserve">Proposal 1: Grant-free </w:t>
      </w:r>
      <w:r>
        <w:rPr>
          <w:b/>
          <w:noProof/>
          <w:lang w:eastAsia="sv-SE"/>
        </w:rPr>
        <w:t xml:space="preserve">device </w:t>
      </w:r>
      <w:r w:rsidRPr="002F24BD">
        <w:rPr>
          <w:b/>
          <w:noProof/>
          <w:lang w:eastAsia="sv-SE"/>
        </w:rPr>
        <w:t>transmission should be supported</w:t>
      </w:r>
      <w:r>
        <w:rPr>
          <w:b/>
          <w:noProof/>
          <w:lang w:eastAsia="sv-SE"/>
        </w:rPr>
        <w:t>.</w:t>
      </w:r>
    </w:p>
    <w:p w14:paraId="31C42792" w14:textId="77777777" w:rsidR="0042763E" w:rsidRDefault="0042763E" w:rsidP="0042763E">
      <w:pPr>
        <w:pStyle w:val="BodyText"/>
        <w:rPr>
          <w:b/>
          <w:noProof/>
          <w:lang w:eastAsia="sv-SE"/>
        </w:rPr>
      </w:pPr>
      <w:r w:rsidRPr="004365A7">
        <w:rPr>
          <w:b/>
          <w:noProof/>
          <w:lang w:eastAsia="sv-SE"/>
        </w:rPr>
        <w:t xml:space="preserve">Proposal </w:t>
      </w:r>
      <w:r>
        <w:rPr>
          <w:b/>
          <w:noProof/>
          <w:lang w:eastAsia="sv-SE"/>
        </w:rPr>
        <w:t>2</w:t>
      </w:r>
      <w:r w:rsidRPr="004365A7">
        <w:rPr>
          <w:b/>
          <w:noProof/>
          <w:lang w:eastAsia="sv-SE"/>
        </w:rPr>
        <w:t xml:space="preserve">: </w:t>
      </w:r>
      <w:r>
        <w:rPr>
          <w:b/>
          <w:noProof/>
          <w:lang w:eastAsia="sv-SE"/>
        </w:rPr>
        <w:t xml:space="preserve">Device </w:t>
      </w:r>
      <w:r w:rsidRPr="004365A7">
        <w:rPr>
          <w:b/>
          <w:noProof/>
          <w:lang w:eastAsia="sv-SE"/>
        </w:rPr>
        <w:t xml:space="preserve">transmission </w:t>
      </w:r>
      <w:r>
        <w:rPr>
          <w:b/>
          <w:noProof/>
          <w:lang w:eastAsia="sv-SE"/>
        </w:rPr>
        <w:t>not preceded by uplink timing advance procedure (asynchronous transmission) should be supported.</w:t>
      </w:r>
    </w:p>
    <w:p w14:paraId="55984D36" w14:textId="420C728D" w:rsidR="00A07F46" w:rsidRDefault="00A07F46" w:rsidP="00A07F46">
      <w:pPr>
        <w:pStyle w:val="Heading2"/>
      </w:pPr>
      <w:r>
        <w:t xml:space="preserve">Receiver Complexity </w:t>
      </w:r>
    </w:p>
    <w:p w14:paraId="4ED6FFBC" w14:textId="72A2F251" w:rsidR="00A07F46" w:rsidRDefault="00A07F46" w:rsidP="00A07F46">
      <w:pPr>
        <w:pStyle w:val="BodyText"/>
      </w:pPr>
      <w:r>
        <w:t xml:space="preserve">One consequence of grant-free transmission is that the </w:t>
      </w:r>
      <w:proofErr w:type="spellStart"/>
      <w:r>
        <w:t>eNB</w:t>
      </w:r>
      <w:proofErr w:type="spellEnd"/>
      <w:r>
        <w:t xml:space="preserve"> may be missing information that is related to the UE identity and the transmit configuration, such as the </w:t>
      </w:r>
      <w:r w:rsidR="00374551">
        <w:t>MCS, the sounding sequence</w:t>
      </w:r>
      <w:r w:rsidR="00986585">
        <w:t>.</w:t>
      </w:r>
      <w:r>
        <w:t xml:space="preserve"> Being oblivious to the UE </w:t>
      </w:r>
      <w:r w:rsidR="00986585">
        <w:t>setup</w:t>
      </w:r>
      <w:r>
        <w:t xml:space="preserve"> implies that the receiver has to perform blind detection that, in turn, impacts the system performance in two ways:</w:t>
      </w:r>
    </w:p>
    <w:p w14:paraId="291DB773" w14:textId="5FFAB470" w:rsidR="00A07F46" w:rsidRDefault="00A07F46" w:rsidP="00A07F46">
      <w:pPr>
        <w:pStyle w:val="BodyText"/>
        <w:numPr>
          <w:ilvl w:val="0"/>
          <w:numId w:val="19"/>
        </w:numPr>
        <w:ind w:left="709"/>
      </w:pPr>
      <w:r>
        <w:t xml:space="preserve">The </w:t>
      </w:r>
      <w:proofErr w:type="spellStart"/>
      <w:r>
        <w:t>eNB</w:t>
      </w:r>
      <w:proofErr w:type="spellEnd"/>
      <w:r>
        <w:t xml:space="preserve"> has to examine all possible transmit patterns, e.g., sequences, spreading codes, etc., in order to identify which ones have been activated. Depending on the architecture, such a brute-force search may scale up to tens or hundreds of patterns.</w:t>
      </w:r>
    </w:p>
    <w:p w14:paraId="74137CAF" w14:textId="77777777" w:rsidR="00A07F46" w:rsidRDefault="00A07F46" w:rsidP="00A07F46">
      <w:pPr>
        <w:pStyle w:val="BodyText"/>
        <w:numPr>
          <w:ilvl w:val="0"/>
          <w:numId w:val="19"/>
        </w:numPr>
        <w:ind w:left="709"/>
      </w:pPr>
      <w:r>
        <w:t>Assuming overlapping UE transmissions (explained later), the receiver will have to employ blind MUD detection, which adds further computational load. Under realistic (imperfect) power control, which is especially true in open-loop transmissions, the UE decoding order has an impact on decoding performance, e.g., if the receiver has a SIC implementation.</w:t>
      </w:r>
    </w:p>
    <w:p w14:paraId="2AA33179" w14:textId="72A883A0" w:rsidR="00A07F46" w:rsidRDefault="00A07F46" w:rsidP="00A07F46">
      <w:pPr>
        <w:pStyle w:val="BodyText"/>
      </w:pPr>
      <w:r>
        <w:t xml:space="preserve">A way to tackle the first challenge is to restrict the number of possible MCSs, when the UEs are contending for grant-free access. </w:t>
      </w:r>
      <w:r w:rsidR="00307A54">
        <w:t xml:space="preserve">Apart from the </w:t>
      </w:r>
      <w:proofErr w:type="spellStart"/>
      <w:r w:rsidR="00307A54">
        <w:t>eNB</w:t>
      </w:r>
      <w:proofErr w:type="spellEnd"/>
      <w:r w:rsidR="00307A54">
        <w:t xml:space="preserve"> being blind, a </w:t>
      </w:r>
      <w:r>
        <w:t xml:space="preserve">consequence of transmitting </w:t>
      </w:r>
      <w:r w:rsidR="00307A54">
        <w:t xml:space="preserve">asynchronously and </w:t>
      </w:r>
      <w:r>
        <w:t>without obtaining a timing advance is the potential time misalignment, which impacts the OFDM ICI and the placement of the RX FFT. In small cells, where transmissions</w:t>
      </w:r>
      <w:r w:rsidR="00307A54">
        <w:t xml:space="preserve"> are likely to</w:t>
      </w:r>
      <w:r>
        <w:t xml:space="preserve"> arrive within the CP</w:t>
      </w:r>
      <w:r w:rsidR="00307A54">
        <w:t xml:space="preserve"> interval</w:t>
      </w:r>
      <w:r>
        <w:t xml:space="preserve">, the system is </w:t>
      </w:r>
      <w:r w:rsidR="00307A54">
        <w:t xml:space="preserve">by default </w:t>
      </w:r>
      <w:r>
        <w:t xml:space="preserve">robust against such time misalignment. However, when the </w:t>
      </w:r>
      <w:r w:rsidR="00307A54">
        <w:t xml:space="preserve">signal </w:t>
      </w:r>
      <w:r>
        <w:t xml:space="preserve">arrivals are separated by more than the CP </w:t>
      </w:r>
      <w:r w:rsidR="00307A54">
        <w:t xml:space="preserve">guard interval </w:t>
      </w:r>
      <w:r>
        <w:t>then subcarrier orthogonality cannot be guaranteed. It has been agreed in 85# to investigate the impact of time offset with respect to the CP</w:t>
      </w:r>
      <w:r w:rsidR="00307A54">
        <w:t xml:space="preserve"> length</w:t>
      </w:r>
      <w:r>
        <w:t xml:space="preserve">. Two </w:t>
      </w:r>
      <w:r w:rsidR="00307A54">
        <w:t xml:space="preserve">ways to deal with the lack of time alignment </w:t>
      </w:r>
      <w:r>
        <w:t>would be to:</w:t>
      </w:r>
    </w:p>
    <w:p w14:paraId="51ADB803" w14:textId="77777777" w:rsidR="00A07F46" w:rsidRDefault="00A07F46" w:rsidP="00A07F46">
      <w:pPr>
        <w:pStyle w:val="BodyText"/>
        <w:numPr>
          <w:ilvl w:val="0"/>
          <w:numId w:val="20"/>
        </w:numPr>
        <w:ind w:left="709"/>
      </w:pPr>
      <w:r>
        <w:t xml:space="preserve">Include support for SC transmission. </w:t>
      </w:r>
    </w:p>
    <w:p w14:paraId="107928C1" w14:textId="77777777" w:rsidR="00A07F46" w:rsidRDefault="00A07F46" w:rsidP="00A07F46">
      <w:pPr>
        <w:pStyle w:val="BodyText"/>
        <w:numPr>
          <w:ilvl w:val="0"/>
          <w:numId w:val="20"/>
        </w:numPr>
        <w:ind w:left="709"/>
      </w:pPr>
      <w:r>
        <w:t>Perform multiple FFTs at the receiver to track the position of the symbols arriving outside the CP window.</w:t>
      </w:r>
    </w:p>
    <w:p w14:paraId="131D298A" w14:textId="7036FD71" w:rsidR="00A07F46" w:rsidRDefault="00A07F46" w:rsidP="00A07F46">
      <w:pPr>
        <w:pStyle w:val="BodyText"/>
      </w:pPr>
      <w:r>
        <w:t>However, the task of compensating for potential waveform misalignment can be eased, if we assume downlink synchronization that allows</w:t>
      </w:r>
      <w:r w:rsidRPr="00AB78C3">
        <w:t xml:space="preserve"> </w:t>
      </w:r>
      <w:r>
        <w:t xml:space="preserve">the UEs to have a coarse estimate of the time-offset. In the worst-case scenario, the time misalignment is then twice the propagation time to the </w:t>
      </w:r>
      <w:proofErr w:type="spellStart"/>
      <w:r>
        <w:t>eNB</w:t>
      </w:r>
      <w:proofErr w:type="spellEnd"/>
      <w:r>
        <w:t xml:space="preserve">. This does not render the system entirely robust, yet limits the number of needed FFTs and consequently the complexity. It has here to be stressed, though, that number of FFTs also depends on the cell size and numerology, the latter with a direct impact on the guard interval length. For some configurations though, e.g., </w:t>
      </w:r>
      <w:proofErr w:type="gramStart"/>
      <w:r>
        <w:t>15KHz</w:t>
      </w:r>
      <w:proofErr w:type="gramEnd"/>
      <w:r>
        <w:t xml:space="preserve"> numerology and 0.5km cell radius, the UEs can transmit near-synchronously. </w:t>
      </w:r>
      <w:r w:rsidR="00B544F6">
        <w:t xml:space="preserve">Extended CP could also be used to reduce the impact of waveform misalignment. </w:t>
      </w:r>
      <w:r>
        <w:t>Obviously each of the aforementioned directions has some implications and should be investigated together with its impact on receiver design and specification.</w:t>
      </w:r>
    </w:p>
    <w:p w14:paraId="1EFEB418" w14:textId="67B7D9B0" w:rsidR="003E5EF4" w:rsidRPr="00A17647" w:rsidRDefault="003E5EF4" w:rsidP="003E5EF4">
      <w:pPr>
        <w:pStyle w:val="BodyText"/>
        <w:rPr>
          <w:b/>
        </w:rPr>
      </w:pPr>
      <w:r w:rsidRPr="00A17647">
        <w:rPr>
          <w:b/>
        </w:rPr>
        <w:t xml:space="preserve">Proposal </w:t>
      </w:r>
      <w:r>
        <w:rPr>
          <w:b/>
        </w:rPr>
        <w:t>3</w:t>
      </w:r>
      <w:r w:rsidRPr="00A17647">
        <w:rPr>
          <w:b/>
        </w:rPr>
        <w:t>: Receiver complexity should be specified</w:t>
      </w:r>
      <w:r w:rsidR="00374551">
        <w:rPr>
          <w:b/>
        </w:rPr>
        <w:t xml:space="preserve"> in evaluations</w:t>
      </w:r>
      <w:r w:rsidRPr="00C864B3">
        <w:rPr>
          <w:b/>
        </w:rPr>
        <w:t>.</w:t>
      </w:r>
    </w:p>
    <w:p w14:paraId="7A679F2D" w14:textId="4FABB0A0" w:rsidR="001D732D" w:rsidRDefault="0042763E" w:rsidP="0042763E">
      <w:pPr>
        <w:pStyle w:val="Heading2"/>
      </w:pPr>
      <w:r>
        <w:t xml:space="preserve"> </w:t>
      </w:r>
      <w:r w:rsidR="001D732D">
        <w:t>Non-orthogonal Multiple Access</w:t>
      </w:r>
    </w:p>
    <w:p w14:paraId="57B1C00C" w14:textId="211BD4BA" w:rsidR="00310BF5" w:rsidRDefault="001D732D" w:rsidP="00751912">
      <w:pPr>
        <w:pStyle w:val="BodyText"/>
      </w:pPr>
      <w:r>
        <w:t>If the</w:t>
      </w:r>
      <w:r w:rsidR="00550619">
        <w:t>re is</w:t>
      </w:r>
      <w:r>
        <w:t xml:space="preserve"> </w:t>
      </w:r>
      <w:r w:rsidR="00550619">
        <w:t xml:space="preserve">no </w:t>
      </w:r>
      <w:r>
        <w:t xml:space="preserve">exclusive </w:t>
      </w:r>
      <w:r w:rsidR="00104330">
        <w:t xml:space="preserve">one-to-one </w:t>
      </w:r>
      <w:r>
        <w:t xml:space="preserve">assignment of </w:t>
      </w:r>
      <w:r w:rsidR="00023C42">
        <w:t>a data</w:t>
      </w:r>
      <w:r>
        <w:t xml:space="preserve"> slot to </w:t>
      </w:r>
      <w:r w:rsidR="00023C42">
        <w:t xml:space="preserve">a single </w:t>
      </w:r>
      <w:r>
        <w:t xml:space="preserve">UE then the resources </w:t>
      </w:r>
      <w:r w:rsidR="001E410E">
        <w:t>can, in principle,</w:t>
      </w:r>
      <w:r>
        <w:t xml:space="preserve"> be accessed by multiple UEs simultaneously. In the conventional RA framework, this corresponds to a collision; an undesired situation that may often result in packet loss</w:t>
      </w:r>
      <w:r w:rsidR="00310BF5">
        <w:t xml:space="preserve"> or the detection of the strongest UE in a channel-asymmetric setup</w:t>
      </w:r>
      <w:r>
        <w:t xml:space="preserve">. However, in the case of </w:t>
      </w:r>
      <w:proofErr w:type="spellStart"/>
      <w:r>
        <w:t>mMTC</w:t>
      </w:r>
      <w:proofErr w:type="spellEnd"/>
      <w:r>
        <w:t xml:space="preserve"> </w:t>
      </w:r>
      <w:r w:rsidR="00310BF5">
        <w:t xml:space="preserve">it is beneficial to view overlapping UEs </w:t>
      </w:r>
      <w:r w:rsidR="00751912">
        <w:t xml:space="preserve">as a </w:t>
      </w:r>
      <w:r w:rsidR="001E410E">
        <w:t>scenario</w:t>
      </w:r>
      <w:r w:rsidR="00310BF5">
        <w:t xml:space="preserve"> where</w:t>
      </w:r>
      <w:r w:rsidR="00751912">
        <w:t xml:space="preserve"> interfering UEs are sharing the resource </w:t>
      </w:r>
      <w:r w:rsidR="00023C42">
        <w:t>grid;</w:t>
      </w:r>
      <w:r w:rsidR="00310BF5">
        <w:t xml:space="preserve"> see </w:t>
      </w:r>
      <w:r w:rsidR="00310BF5" w:rsidRPr="00310BF5">
        <w:rPr>
          <w:szCs w:val="20"/>
        </w:rPr>
        <w:fldChar w:fldCharType="begin"/>
      </w:r>
      <w:r w:rsidR="00310BF5" w:rsidRPr="00310BF5">
        <w:rPr>
          <w:szCs w:val="20"/>
        </w:rPr>
        <w:instrText xml:space="preserve"> REF _Ref455480657 \h  \* MERGEFORMAT </w:instrText>
      </w:r>
      <w:r w:rsidR="00310BF5" w:rsidRPr="00310BF5">
        <w:rPr>
          <w:szCs w:val="20"/>
        </w:rPr>
      </w:r>
      <w:r w:rsidR="00310BF5" w:rsidRPr="00310BF5">
        <w:rPr>
          <w:szCs w:val="20"/>
        </w:rPr>
        <w:fldChar w:fldCharType="separate"/>
      </w:r>
      <w:r w:rsidR="00310BF5" w:rsidRPr="00310BF5">
        <w:rPr>
          <w:szCs w:val="20"/>
        </w:rPr>
        <w:t xml:space="preserve">Figure </w:t>
      </w:r>
      <w:r w:rsidR="00310BF5" w:rsidRPr="00310BF5">
        <w:rPr>
          <w:noProof/>
          <w:szCs w:val="20"/>
        </w:rPr>
        <w:t>2</w:t>
      </w:r>
      <w:r w:rsidR="00310BF5" w:rsidRPr="00310BF5">
        <w:rPr>
          <w:szCs w:val="20"/>
        </w:rPr>
        <w:fldChar w:fldCharType="end"/>
      </w:r>
      <w:r w:rsidR="00310BF5">
        <w:rPr>
          <w:szCs w:val="20"/>
        </w:rPr>
        <w:t xml:space="preserve"> </w:t>
      </w:r>
      <w:r w:rsidR="00310BF5">
        <w:t>for the distinction between orthogonal and non-orthogonal</w:t>
      </w:r>
      <w:r w:rsidR="00D41CA6">
        <w:t xml:space="preserve"> multiple access </w:t>
      </w:r>
      <w:r w:rsidR="00D41CA6">
        <w:fldChar w:fldCharType="begin"/>
      </w:r>
      <w:r w:rsidR="00D41CA6">
        <w:instrText xml:space="preserve"> REF _Ref455500012 \n \h </w:instrText>
      </w:r>
      <w:r w:rsidR="00D41CA6">
        <w:fldChar w:fldCharType="separate"/>
      </w:r>
      <w:r w:rsidR="00D41CA6">
        <w:t>[3]</w:t>
      </w:r>
      <w:r w:rsidR="00D41CA6">
        <w:fldChar w:fldCharType="end"/>
      </w:r>
      <w:r w:rsidR="00751912">
        <w:t xml:space="preserve">. </w:t>
      </w:r>
      <w:r w:rsidR="00023C42">
        <w:t>J</w:t>
      </w:r>
      <w:r w:rsidR="00751912">
        <w:t>oint</w:t>
      </w:r>
      <w:r w:rsidR="00310BF5">
        <w:t xml:space="preserve"> </w:t>
      </w:r>
      <w:r w:rsidR="00751912">
        <w:t xml:space="preserve">treatment of non-orthogonal signals </w:t>
      </w:r>
      <w:r w:rsidR="00310BF5">
        <w:t xml:space="preserve">leads to further enhancement of resource utilization in </w:t>
      </w:r>
      <w:proofErr w:type="spellStart"/>
      <w:r w:rsidR="00310BF5">
        <w:t>mMTC</w:t>
      </w:r>
      <w:proofErr w:type="spellEnd"/>
      <w:r w:rsidR="00310BF5">
        <w:t xml:space="preserve"> because </w:t>
      </w:r>
      <w:r w:rsidR="00751912">
        <w:t xml:space="preserve">of the large number of expected UEs; if the </w:t>
      </w:r>
      <w:proofErr w:type="spellStart"/>
      <w:r w:rsidR="00751912">
        <w:t>eNB</w:t>
      </w:r>
      <w:proofErr w:type="spellEnd"/>
      <w:r w:rsidR="00751912">
        <w:t xml:space="preserve"> is not interference-aware, i.e., does not perform MUD then collisions will occur with </w:t>
      </w:r>
      <w:r w:rsidR="00A07F46">
        <w:t xml:space="preserve">very </w:t>
      </w:r>
      <w:r w:rsidR="00751912">
        <w:t>high probability</w:t>
      </w:r>
      <w:r w:rsidR="00A07F46">
        <w:t xml:space="preserve"> thereby undermining the </w:t>
      </w:r>
      <w:r w:rsidR="00A07F46">
        <w:lastRenderedPageBreak/>
        <w:t>target of better resource utilization</w:t>
      </w:r>
      <w:r w:rsidR="00995365">
        <w:rPr>
          <w:rStyle w:val="FootnoteReference"/>
        </w:rPr>
        <w:footnoteReference w:id="2"/>
      </w:r>
      <w:r w:rsidR="00104330">
        <w:t xml:space="preserve"> and subsequently of low power consumption that is </w:t>
      </w:r>
      <w:r w:rsidR="001E410E">
        <w:t xml:space="preserve">also </w:t>
      </w:r>
      <w:r w:rsidR="00104330">
        <w:t xml:space="preserve">relevant </w:t>
      </w:r>
      <w:r w:rsidR="001E410E">
        <w:t>in</w:t>
      </w:r>
      <w:r w:rsidR="00104330">
        <w:t xml:space="preserve"> </w:t>
      </w:r>
      <w:proofErr w:type="spellStart"/>
      <w:r w:rsidR="00104330">
        <w:t>mMTC</w:t>
      </w:r>
      <w:proofErr w:type="spellEnd"/>
      <w:r w:rsidR="00751912">
        <w:t xml:space="preserve">. Further benefits of that approach are enhancement of </w:t>
      </w:r>
      <w:r w:rsidR="00310BF5">
        <w:t>the useful data throughput</w:t>
      </w:r>
      <w:r w:rsidR="00751912">
        <w:t xml:space="preserve"> that matters in </w:t>
      </w:r>
      <w:proofErr w:type="spellStart"/>
      <w:r w:rsidR="00751912">
        <w:t>mMTC</w:t>
      </w:r>
      <w:proofErr w:type="spellEnd"/>
      <w:r w:rsidR="00310BF5">
        <w:t>; and ii) improve</w:t>
      </w:r>
      <w:r w:rsidR="00751912">
        <w:t>d</w:t>
      </w:r>
      <w:r w:rsidR="00310BF5">
        <w:t xml:space="preserve"> latency by scheduling as many UEs as possible at the earliest possible request</w:t>
      </w:r>
      <w:r w:rsidR="00FF4B91">
        <w:t xml:space="preserve">, which </w:t>
      </w:r>
      <w:r w:rsidR="00751912">
        <w:t xml:space="preserve">is interesting for </w:t>
      </w:r>
      <w:proofErr w:type="spellStart"/>
      <w:r w:rsidR="00751912">
        <w:t>uRLLC</w:t>
      </w:r>
      <w:proofErr w:type="spellEnd"/>
      <w:r w:rsidR="00310BF5">
        <w:t xml:space="preserve">. </w:t>
      </w:r>
      <w:r w:rsidR="00751912">
        <w:t xml:space="preserve">Therefore, any gains will not only </w:t>
      </w:r>
      <w:r w:rsidR="00A004D2">
        <w:t xml:space="preserve">materialize as higher </w:t>
      </w:r>
      <w:r w:rsidR="00310BF5">
        <w:t xml:space="preserve">spectral efficiency </w:t>
      </w:r>
      <w:r w:rsidR="00A004D2">
        <w:t xml:space="preserve">but also as lower </w:t>
      </w:r>
      <w:r w:rsidR="00310BF5">
        <w:t xml:space="preserve">average access delay </w:t>
      </w:r>
      <w:r w:rsidR="00A004D2">
        <w:t>(</w:t>
      </w:r>
      <w:r w:rsidR="00310BF5">
        <w:t>the time lapse between the first transmission request and the successful transmission of the actual data</w:t>
      </w:r>
      <w:r w:rsidR="00A004D2">
        <w:t>)</w:t>
      </w:r>
      <w:r w:rsidR="00310BF5">
        <w:t xml:space="preserve"> </w:t>
      </w:r>
    </w:p>
    <w:p w14:paraId="6D83ED11" w14:textId="77777777" w:rsidR="0042763E" w:rsidRDefault="0042763E" w:rsidP="0042763E">
      <w:pPr>
        <w:pStyle w:val="BodyText"/>
        <w:rPr>
          <w:b/>
          <w:noProof/>
          <w:lang w:eastAsia="sv-SE"/>
        </w:rPr>
      </w:pPr>
      <w:r w:rsidRPr="002F24BD">
        <w:rPr>
          <w:b/>
          <w:noProof/>
          <w:lang w:eastAsia="sv-SE"/>
        </w:rPr>
        <w:t xml:space="preserve">Proposal </w:t>
      </w:r>
      <w:r>
        <w:rPr>
          <w:b/>
          <w:noProof/>
          <w:lang w:eastAsia="sv-SE"/>
        </w:rPr>
        <w:t>4</w:t>
      </w:r>
      <w:r w:rsidRPr="002F24BD">
        <w:rPr>
          <w:b/>
          <w:noProof/>
          <w:lang w:eastAsia="sv-SE"/>
        </w:rPr>
        <w:t xml:space="preserve">: </w:t>
      </w:r>
      <w:r>
        <w:rPr>
          <w:b/>
          <w:noProof/>
          <w:lang w:eastAsia="sv-SE"/>
        </w:rPr>
        <w:t>Non-orthogonal multiple access should be supported for efficient grant-free resource utilization.</w:t>
      </w:r>
    </w:p>
    <w:p w14:paraId="71E47DFD" w14:textId="792A92CB" w:rsidR="00310BF5" w:rsidRDefault="0042763E" w:rsidP="0042763E">
      <w:pPr>
        <w:autoSpaceDE w:val="0"/>
        <w:autoSpaceDN w:val="0"/>
        <w:adjustRightInd w:val="0"/>
        <w:spacing w:after="120"/>
        <w:jc w:val="center"/>
      </w:pPr>
      <w:r w:rsidRPr="0042763E">
        <w:rPr>
          <w:noProof/>
          <w:lang w:eastAsia="sv-SE"/>
        </w:rPr>
        <w:t xml:space="preserve"> </w:t>
      </w:r>
      <w:r w:rsidR="00310BF5">
        <w:rPr>
          <w:noProof/>
          <w:lang w:val="sv-SE" w:eastAsia="sv-SE"/>
        </w:rPr>
        <w:drawing>
          <wp:inline distT="0" distB="0" distL="0" distR="0" wp14:anchorId="56489044" wp14:editId="785D230D">
            <wp:extent cx="5167223" cy="2269385"/>
            <wp:effectExtent l="0" t="0" r="0" b="0"/>
            <wp:docPr id="3" name="Picture 3" descr="C:\Users\estaeft\Documents\Presentations\User-RE grid\OMA_vs_N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staeft\Documents\Presentations\User-RE grid\OMA_vs_NOMA.jpg"/>
                    <pic:cNvPicPr>
                      <a:picLocks noChangeAspect="1" noChangeArrowheads="1"/>
                    </pic:cNvPicPr>
                  </pic:nvPicPr>
                  <pic:blipFill rotWithShape="1">
                    <a:blip r:embed="rId15">
                      <a:extLst>
                        <a:ext uri="{28A0092B-C50C-407E-A947-70E740481C1C}">
                          <a14:useLocalDpi xmlns:a14="http://schemas.microsoft.com/office/drawing/2010/main" val="0"/>
                        </a:ext>
                      </a:extLst>
                    </a:blip>
                    <a:srcRect l="26896" t="36465" r="32276" b="39594"/>
                    <a:stretch/>
                  </pic:blipFill>
                  <pic:spPr bwMode="auto">
                    <a:xfrm>
                      <a:off x="0" y="0"/>
                      <a:ext cx="5171360" cy="2271202"/>
                    </a:xfrm>
                    <a:prstGeom prst="rect">
                      <a:avLst/>
                    </a:prstGeom>
                    <a:noFill/>
                    <a:ln>
                      <a:noFill/>
                    </a:ln>
                    <a:extLst>
                      <a:ext uri="{53640926-AAD7-44D8-BBD7-CCE9431645EC}">
                        <a14:shadowObscured xmlns:a14="http://schemas.microsoft.com/office/drawing/2010/main"/>
                      </a:ext>
                    </a:extLst>
                  </pic:spPr>
                </pic:pic>
              </a:graphicData>
            </a:graphic>
          </wp:inline>
        </w:drawing>
      </w:r>
    </w:p>
    <w:p w14:paraId="65C24CAB" w14:textId="77777777" w:rsidR="00310BF5" w:rsidRPr="004365A7" w:rsidRDefault="00310BF5" w:rsidP="00310BF5">
      <w:pPr>
        <w:autoSpaceDE w:val="0"/>
        <w:autoSpaceDN w:val="0"/>
        <w:adjustRightInd w:val="0"/>
        <w:spacing w:after="120"/>
        <w:jc w:val="center"/>
        <w:rPr>
          <w:b/>
          <w:sz w:val="16"/>
        </w:rPr>
      </w:pPr>
      <w:bookmarkStart w:id="5" w:name="_Ref455480657"/>
      <w:r w:rsidRPr="004365A7">
        <w:rPr>
          <w:b/>
        </w:rPr>
        <w:t>F</w:t>
      </w:r>
      <w:r w:rsidRPr="004365A7">
        <w:rPr>
          <w:b/>
          <w:sz w:val="16"/>
        </w:rPr>
        <w:t xml:space="preserve">igure </w:t>
      </w:r>
      <w:r w:rsidRPr="004365A7">
        <w:rPr>
          <w:b/>
          <w:sz w:val="16"/>
        </w:rPr>
        <w:fldChar w:fldCharType="begin"/>
      </w:r>
      <w:r w:rsidRPr="004365A7">
        <w:rPr>
          <w:b/>
          <w:sz w:val="16"/>
        </w:rPr>
        <w:instrText xml:space="preserve"> SEQ Figure \* ARABIC </w:instrText>
      </w:r>
      <w:r w:rsidRPr="004365A7">
        <w:rPr>
          <w:b/>
          <w:sz w:val="16"/>
        </w:rPr>
        <w:fldChar w:fldCharType="separate"/>
      </w:r>
      <w:r>
        <w:rPr>
          <w:b/>
          <w:noProof/>
          <w:sz w:val="16"/>
        </w:rPr>
        <w:t>2</w:t>
      </w:r>
      <w:r w:rsidRPr="004365A7">
        <w:rPr>
          <w:b/>
          <w:sz w:val="16"/>
        </w:rPr>
        <w:fldChar w:fldCharType="end"/>
      </w:r>
      <w:bookmarkEnd w:id="5"/>
      <w:r w:rsidRPr="004365A7">
        <w:rPr>
          <w:b/>
          <w:sz w:val="16"/>
        </w:rPr>
        <w:t xml:space="preserve">: Orthogonal data-stream multiplexing (left) and overlapping NOMA transmissions (right). The colors correspond to </w:t>
      </w:r>
      <w:r>
        <w:rPr>
          <w:b/>
          <w:sz w:val="16"/>
        </w:rPr>
        <w:t xml:space="preserve">the data of </w:t>
      </w:r>
      <w:r w:rsidRPr="004365A7">
        <w:rPr>
          <w:b/>
          <w:sz w:val="16"/>
        </w:rPr>
        <w:t>different UEs. For orthogonal multiplexing only 4</w:t>
      </w:r>
      <w:r>
        <w:rPr>
          <w:b/>
          <w:sz w:val="16"/>
        </w:rPr>
        <w:t xml:space="preserve"> </w:t>
      </w:r>
      <w:r w:rsidRPr="004365A7">
        <w:rPr>
          <w:b/>
          <w:sz w:val="16"/>
        </w:rPr>
        <w:t>UEs can be accommodated (assuming 4REs/UE). For the NOMA case there is theoretically no such restriction.</w:t>
      </w:r>
    </w:p>
    <w:p w14:paraId="53C2AB5D" w14:textId="1D154874" w:rsidR="00C71CE4" w:rsidRDefault="00310BF5" w:rsidP="00023C42">
      <w:pPr>
        <w:autoSpaceDE w:val="0"/>
        <w:autoSpaceDN w:val="0"/>
        <w:adjustRightInd w:val="0"/>
        <w:spacing w:after="120"/>
        <w:jc w:val="both"/>
      </w:pPr>
      <w:r>
        <w:t xml:space="preserve">To monitor the number of </w:t>
      </w:r>
      <w:r w:rsidR="00A07F46">
        <w:t xml:space="preserve">potentially </w:t>
      </w:r>
      <w:r>
        <w:t xml:space="preserve">coexisting UEs, the overloading factor </w:t>
      </w:r>
      <m:oMath>
        <m:r>
          <w:rPr>
            <w:rFonts w:ascii="Cambria Math" w:hAnsi="Cambria Math"/>
          </w:rPr>
          <m:t>ρ=</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m:t>
                </m:r>
              </m:sub>
            </m:sSub>
          </m:num>
          <m:den>
            <m:sSub>
              <m:sSubPr>
                <m:ctrlPr>
                  <w:rPr>
                    <w:rFonts w:ascii="Cambria Math" w:hAnsi="Cambria Math"/>
                    <w:i/>
                  </w:rPr>
                </m:ctrlPr>
              </m:sSubPr>
              <m:e>
                <m:r>
                  <w:rPr>
                    <w:rFonts w:ascii="Cambria Math" w:hAnsi="Cambria Math"/>
                  </w:rPr>
                  <m:t>N</m:t>
                </m:r>
              </m:e>
              <m:sub>
                <m:r>
                  <w:rPr>
                    <w:rFonts w:ascii="Cambria Math" w:hAnsi="Cambria Math"/>
                  </w:rPr>
                  <m:t>r</m:t>
                </m:r>
              </m:sub>
            </m:sSub>
          </m:den>
        </m:f>
      </m:oMath>
      <w:r>
        <w:t xml:space="preserve"> is used, where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t xml:space="preserve"> denotes the number of UEs that are active on the same resources and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is the number of resource units that can be occupied by an individual UE data transmission within a single transmission block</w:t>
      </w:r>
      <w:r w:rsidR="00A07F46">
        <w:t xml:space="preserve"> (typically this coincides with the number of REs)</w:t>
      </w:r>
      <w:r>
        <w:t xml:space="preserve">. This metric simply reflects the number of </w:t>
      </w:r>
      <w:r w:rsidR="00A07F46">
        <w:t>different stream transmissions</w:t>
      </w:r>
      <w:r>
        <w:t xml:space="preserve"> that are “sitting” on the same chunk of the resource grid and it may well exceed 100%, i.e., </w:t>
      </w:r>
      <w:r w:rsidRPr="00832AA9">
        <w:t xml:space="preserve">we can have </w:t>
      </w:r>
      <w:r w:rsidRPr="004365A7">
        <w:rPr>
          <w:i/>
        </w:rPr>
        <w:t>more than one UE per resource unit</w:t>
      </w:r>
      <w:r>
        <w:t>. This is</w:t>
      </w:r>
      <w:r w:rsidR="00023C42">
        <w:t xml:space="preserve"> a very</w:t>
      </w:r>
      <w:r>
        <w:t xml:space="preserve"> relevant </w:t>
      </w:r>
      <w:r w:rsidR="00023C42">
        <w:t xml:space="preserve">metric to keep track of because it can be used as a </w:t>
      </w:r>
      <w:r w:rsidR="005319A9">
        <w:t xml:space="preserve">complexity </w:t>
      </w:r>
      <w:r w:rsidR="00A07F46">
        <w:t xml:space="preserve">proxy when </w:t>
      </w:r>
      <w:r w:rsidR="00104330">
        <w:t xml:space="preserve">selecting NOMA </w:t>
      </w:r>
      <w:r w:rsidR="00A07F46">
        <w:t xml:space="preserve">features or when discussing the MUD implementation that will be employed at the </w:t>
      </w:r>
      <w:proofErr w:type="spellStart"/>
      <w:r w:rsidR="00A07F46">
        <w:t>eNB</w:t>
      </w:r>
      <w:proofErr w:type="spellEnd"/>
      <w:r w:rsidR="00A07F46">
        <w:t>.</w:t>
      </w:r>
      <w:r w:rsidR="00023C42">
        <w:t xml:space="preserve"> At the same </w:t>
      </w:r>
      <w:r w:rsidR="00C71CE4">
        <w:t>time, it is important to investigate how:</w:t>
      </w:r>
    </w:p>
    <w:p w14:paraId="7EEEA81F" w14:textId="548953DE" w:rsidR="00023C42" w:rsidRDefault="00023C42" w:rsidP="00C71CE4">
      <w:pPr>
        <w:pStyle w:val="ListParagraph"/>
        <w:numPr>
          <w:ilvl w:val="0"/>
          <w:numId w:val="24"/>
        </w:numPr>
        <w:autoSpaceDE w:val="0"/>
        <w:autoSpaceDN w:val="0"/>
        <w:adjustRightInd w:val="0"/>
        <w:spacing w:after="120"/>
        <w:jc w:val="both"/>
        <w:rPr>
          <w:sz w:val="20"/>
          <w:lang w:val="en-US"/>
        </w:rPr>
      </w:pPr>
      <w:r w:rsidRPr="00C71CE4">
        <w:rPr>
          <w:sz w:val="20"/>
          <w:lang w:val="en-US"/>
        </w:rPr>
        <w:t xml:space="preserve">NOMA impacts the receiver complexity under the blind detection framework </w:t>
      </w:r>
      <w:r w:rsidRPr="00C71CE4">
        <w:rPr>
          <w:sz w:val="20"/>
        </w:rPr>
        <w:fldChar w:fldCharType="begin"/>
      </w:r>
      <w:r w:rsidRPr="00C71CE4">
        <w:rPr>
          <w:sz w:val="20"/>
          <w:lang w:val="en-US"/>
        </w:rPr>
        <w:instrText xml:space="preserve"> REF _Ref455499708 \n \h </w:instrText>
      </w:r>
      <w:r w:rsidR="00C71CE4" w:rsidRPr="00C71CE4">
        <w:rPr>
          <w:sz w:val="20"/>
          <w:lang w:val="en-US"/>
        </w:rPr>
        <w:instrText xml:space="preserve"> \* MERGEFORMAT </w:instrText>
      </w:r>
      <w:r w:rsidRPr="00C71CE4">
        <w:rPr>
          <w:sz w:val="20"/>
        </w:rPr>
      </w:r>
      <w:r w:rsidRPr="00C71CE4">
        <w:rPr>
          <w:sz w:val="20"/>
        </w:rPr>
        <w:fldChar w:fldCharType="separate"/>
      </w:r>
      <w:r w:rsidR="00D41CA6">
        <w:rPr>
          <w:sz w:val="20"/>
          <w:lang w:val="en-US"/>
        </w:rPr>
        <w:t>[4]</w:t>
      </w:r>
      <w:r w:rsidRPr="00C71CE4">
        <w:rPr>
          <w:sz w:val="20"/>
        </w:rPr>
        <w:fldChar w:fldCharType="end"/>
      </w:r>
      <w:r w:rsidRPr="00C71CE4">
        <w:rPr>
          <w:sz w:val="20"/>
          <w:lang w:val="en-US"/>
        </w:rPr>
        <w:t>, which was mentioned above</w:t>
      </w:r>
      <w:r w:rsidR="00C71CE4">
        <w:rPr>
          <w:sz w:val="20"/>
          <w:lang w:val="en-US"/>
        </w:rPr>
        <w:t xml:space="preserve"> as a by-product of grant-free access</w:t>
      </w:r>
      <w:r w:rsidR="00C71CE4" w:rsidRPr="00C71CE4">
        <w:rPr>
          <w:sz w:val="20"/>
          <w:lang w:val="en-US"/>
        </w:rPr>
        <w:t>.</w:t>
      </w:r>
      <w:r w:rsidR="005319A9" w:rsidRPr="00C71CE4">
        <w:rPr>
          <w:sz w:val="20"/>
          <w:lang w:val="en-US"/>
        </w:rPr>
        <w:t xml:space="preserve"> </w:t>
      </w:r>
    </w:p>
    <w:p w14:paraId="00BD9D79" w14:textId="2F47B1E1" w:rsidR="00C71CE4" w:rsidRPr="00C71CE4" w:rsidRDefault="00C71CE4" w:rsidP="00C71CE4">
      <w:pPr>
        <w:pStyle w:val="ListParagraph"/>
        <w:numPr>
          <w:ilvl w:val="0"/>
          <w:numId w:val="24"/>
        </w:numPr>
        <w:autoSpaceDE w:val="0"/>
        <w:autoSpaceDN w:val="0"/>
        <w:adjustRightInd w:val="0"/>
        <w:spacing w:after="120"/>
        <w:jc w:val="both"/>
        <w:rPr>
          <w:sz w:val="20"/>
          <w:lang w:val="en-US"/>
        </w:rPr>
      </w:pPr>
      <w:r>
        <w:rPr>
          <w:sz w:val="20"/>
          <w:lang w:val="en-US"/>
        </w:rPr>
        <w:t>Asynchronous transmission influences the suitability of NOMA schemes, e.g., robustness to potential time misalignment, and the comparison setup.</w:t>
      </w:r>
    </w:p>
    <w:p w14:paraId="096D65D5" w14:textId="59F197AF" w:rsidR="0042763E" w:rsidRPr="00037C88" w:rsidRDefault="0042763E" w:rsidP="0042763E">
      <w:pPr>
        <w:pStyle w:val="BodyText"/>
        <w:rPr>
          <w:b/>
        </w:rPr>
      </w:pPr>
      <w:r w:rsidRPr="002F24BD">
        <w:rPr>
          <w:b/>
          <w:noProof/>
          <w:lang w:eastAsia="sv-SE"/>
        </w:rPr>
        <w:t xml:space="preserve">Proposal </w:t>
      </w:r>
      <w:r>
        <w:rPr>
          <w:b/>
          <w:noProof/>
          <w:lang w:eastAsia="sv-SE"/>
        </w:rPr>
        <w:t>5</w:t>
      </w:r>
      <w:r w:rsidRPr="002F24BD">
        <w:rPr>
          <w:b/>
          <w:noProof/>
          <w:lang w:eastAsia="sv-SE"/>
        </w:rPr>
        <w:t xml:space="preserve">: </w:t>
      </w:r>
      <w:r>
        <w:rPr>
          <w:b/>
          <w:noProof/>
          <w:lang w:eastAsia="sv-SE"/>
        </w:rPr>
        <w:t xml:space="preserve">Investigate the impact of </w:t>
      </w:r>
      <w:r w:rsidR="00C71CE4">
        <w:rPr>
          <w:b/>
          <w:noProof/>
          <w:lang w:eastAsia="sv-SE"/>
        </w:rPr>
        <w:t xml:space="preserve">grant-free </w:t>
      </w:r>
      <w:r>
        <w:rPr>
          <w:b/>
          <w:noProof/>
          <w:lang w:eastAsia="sv-SE"/>
        </w:rPr>
        <w:t xml:space="preserve">asynchronous transmission on </w:t>
      </w:r>
      <w:r w:rsidRPr="00037C88">
        <w:rPr>
          <w:b/>
        </w:rPr>
        <w:t>NOMA schemes.</w:t>
      </w:r>
    </w:p>
    <w:p w14:paraId="608DD872" w14:textId="44E85181" w:rsidR="00236420" w:rsidRDefault="0042763E" w:rsidP="0042763E">
      <w:pPr>
        <w:pStyle w:val="Heading1"/>
        <w:spacing w:afterLines="60" w:after="144"/>
      </w:pPr>
      <w:r>
        <w:t xml:space="preserve"> </w:t>
      </w:r>
      <w:r w:rsidR="00895AC1">
        <w:t>Proposals</w:t>
      </w:r>
    </w:p>
    <w:p w14:paraId="2D80A6FF" w14:textId="7E8AFCBD" w:rsidR="002F24BD" w:rsidRDefault="00037C88" w:rsidP="002F24BD">
      <w:pPr>
        <w:pStyle w:val="BodyText"/>
      </w:pPr>
      <w:r>
        <w:t xml:space="preserve">On the basis of the previous discussion the following </w:t>
      </w:r>
      <w:r w:rsidR="00B24D1E">
        <w:t>proposals are set forward</w:t>
      </w:r>
      <w:r w:rsidR="00B827AB">
        <w:t>:</w:t>
      </w:r>
    </w:p>
    <w:p w14:paraId="0A4A5250" w14:textId="0953104A" w:rsidR="0076649F" w:rsidRDefault="002F24BD" w:rsidP="00A76691">
      <w:pPr>
        <w:pStyle w:val="BodyText"/>
        <w:rPr>
          <w:b/>
          <w:noProof/>
          <w:lang w:eastAsia="sv-SE"/>
        </w:rPr>
      </w:pPr>
      <w:r w:rsidRPr="002F24BD">
        <w:rPr>
          <w:b/>
          <w:noProof/>
          <w:lang w:eastAsia="sv-SE"/>
        </w:rPr>
        <w:t xml:space="preserve">Proposal 1: Grant-free </w:t>
      </w:r>
      <w:r w:rsidR="00A76A2E">
        <w:rPr>
          <w:b/>
          <w:noProof/>
          <w:lang w:eastAsia="sv-SE"/>
        </w:rPr>
        <w:t xml:space="preserve">device </w:t>
      </w:r>
      <w:r w:rsidRPr="002F24BD">
        <w:rPr>
          <w:b/>
          <w:noProof/>
          <w:lang w:eastAsia="sv-SE"/>
        </w:rPr>
        <w:t>transmission should be supported</w:t>
      </w:r>
      <w:r w:rsidR="00A76A2E">
        <w:rPr>
          <w:b/>
          <w:noProof/>
          <w:lang w:eastAsia="sv-SE"/>
        </w:rPr>
        <w:t>.</w:t>
      </w:r>
    </w:p>
    <w:p w14:paraId="72807660" w14:textId="4C10B2D0" w:rsidR="0042763E" w:rsidRDefault="0042763E" w:rsidP="00A76691">
      <w:pPr>
        <w:pStyle w:val="BodyText"/>
        <w:rPr>
          <w:b/>
          <w:noProof/>
          <w:lang w:eastAsia="sv-SE"/>
        </w:rPr>
      </w:pPr>
      <w:r w:rsidRPr="004365A7">
        <w:rPr>
          <w:b/>
          <w:noProof/>
          <w:lang w:eastAsia="sv-SE"/>
        </w:rPr>
        <w:t xml:space="preserve">Proposal </w:t>
      </w:r>
      <w:r>
        <w:rPr>
          <w:b/>
          <w:noProof/>
          <w:lang w:eastAsia="sv-SE"/>
        </w:rPr>
        <w:t>2</w:t>
      </w:r>
      <w:r w:rsidRPr="004365A7">
        <w:rPr>
          <w:b/>
          <w:noProof/>
          <w:lang w:eastAsia="sv-SE"/>
        </w:rPr>
        <w:t xml:space="preserve">: </w:t>
      </w:r>
      <w:r>
        <w:rPr>
          <w:b/>
          <w:noProof/>
          <w:lang w:eastAsia="sv-SE"/>
        </w:rPr>
        <w:t xml:space="preserve">Device </w:t>
      </w:r>
      <w:r w:rsidRPr="004365A7">
        <w:rPr>
          <w:b/>
          <w:noProof/>
          <w:lang w:eastAsia="sv-SE"/>
        </w:rPr>
        <w:t xml:space="preserve">transmission </w:t>
      </w:r>
      <w:r>
        <w:rPr>
          <w:b/>
          <w:noProof/>
          <w:lang w:eastAsia="sv-SE"/>
        </w:rPr>
        <w:t>not preceded by uplink timing advance procedure (asynchronous transmission) should be supported.</w:t>
      </w:r>
    </w:p>
    <w:p w14:paraId="097696CC" w14:textId="751DA82C" w:rsidR="0042763E" w:rsidRPr="00A17647" w:rsidRDefault="0042763E" w:rsidP="00A76691">
      <w:pPr>
        <w:pStyle w:val="BodyText"/>
        <w:rPr>
          <w:b/>
        </w:rPr>
      </w:pPr>
      <w:r w:rsidRPr="00A17647">
        <w:rPr>
          <w:b/>
        </w:rPr>
        <w:t xml:space="preserve">Proposal </w:t>
      </w:r>
      <w:r>
        <w:rPr>
          <w:b/>
        </w:rPr>
        <w:t>3</w:t>
      </w:r>
      <w:r w:rsidRPr="00A17647">
        <w:rPr>
          <w:b/>
        </w:rPr>
        <w:t>: Receiver complexity should be specified</w:t>
      </w:r>
      <w:r w:rsidR="00374551" w:rsidRPr="00374551">
        <w:rPr>
          <w:b/>
        </w:rPr>
        <w:t xml:space="preserve"> </w:t>
      </w:r>
      <w:r w:rsidR="00374551">
        <w:rPr>
          <w:b/>
        </w:rPr>
        <w:t>in evaluations</w:t>
      </w:r>
      <w:r w:rsidR="00C864B3" w:rsidRPr="00C864B3">
        <w:rPr>
          <w:b/>
        </w:rPr>
        <w:t>.</w:t>
      </w:r>
    </w:p>
    <w:p w14:paraId="61A9994B" w14:textId="5FDD444C" w:rsidR="003F032D" w:rsidRDefault="003F032D" w:rsidP="00A76691">
      <w:pPr>
        <w:pStyle w:val="BodyText"/>
        <w:rPr>
          <w:b/>
          <w:noProof/>
          <w:lang w:eastAsia="sv-SE"/>
        </w:rPr>
      </w:pPr>
      <w:r w:rsidRPr="002F24BD">
        <w:rPr>
          <w:b/>
          <w:noProof/>
          <w:lang w:eastAsia="sv-SE"/>
        </w:rPr>
        <w:t xml:space="preserve">Proposal </w:t>
      </w:r>
      <w:r w:rsidR="0042763E">
        <w:rPr>
          <w:b/>
          <w:noProof/>
          <w:lang w:eastAsia="sv-SE"/>
        </w:rPr>
        <w:t>4</w:t>
      </w:r>
      <w:r w:rsidRPr="002F24BD">
        <w:rPr>
          <w:b/>
          <w:noProof/>
          <w:lang w:eastAsia="sv-SE"/>
        </w:rPr>
        <w:t xml:space="preserve">: </w:t>
      </w:r>
      <w:r>
        <w:rPr>
          <w:b/>
          <w:noProof/>
          <w:lang w:eastAsia="sv-SE"/>
        </w:rPr>
        <w:t>Non-orthogonal multiple access should be supported for efficient grant-free resource utilization.</w:t>
      </w:r>
    </w:p>
    <w:p w14:paraId="6F43C0B0" w14:textId="685B12CF" w:rsidR="00037C88" w:rsidRPr="00037C88" w:rsidRDefault="002F24BD" w:rsidP="00A76691">
      <w:pPr>
        <w:pStyle w:val="BodyText"/>
        <w:rPr>
          <w:b/>
        </w:rPr>
      </w:pPr>
      <w:r w:rsidRPr="002F24BD">
        <w:rPr>
          <w:b/>
          <w:noProof/>
          <w:lang w:eastAsia="sv-SE"/>
        </w:rPr>
        <w:t xml:space="preserve">Proposal </w:t>
      </w:r>
      <w:r w:rsidR="0042763E">
        <w:rPr>
          <w:b/>
          <w:noProof/>
          <w:lang w:eastAsia="sv-SE"/>
        </w:rPr>
        <w:t>5</w:t>
      </w:r>
      <w:r w:rsidRPr="002F24BD">
        <w:rPr>
          <w:b/>
          <w:noProof/>
          <w:lang w:eastAsia="sv-SE"/>
        </w:rPr>
        <w:t xml:space="preserve">: </w:t>
      </w:r>
      <w:r w:rsidR="003F032D">
        <w:rPr>
          <w:b/>
          <w:noProof/>
          <w:lang w:eastAsia="sv-SE"/>
        </w:rPr>
        <w:t xml:space="preserve">Investigate the impact of </w:t>
      </w:r>
      <w:r w:rsidR="00C71CE4">
        <w:rPr>
          <w:b/>
          <w:noProof/>
          <w:lang w:eastAsia="sv-SE"/>
        </w:rPr>
        <w:t xml:space="preserve">grant-free </w:t>
      </w:r>
      <w:r w:rsidR="003F032D">
        <w:rPr>
          <w:b/>
          <w:noProof/>
          <w:lang w:eastAsia="sv-SE"/>
        </w:rPr>
        <w:t xml:space="preserve">asynchronous transmission on </w:t>
      </w:r>
      <w:r w:rsidR="00037C88" w:rsidRPr="00037C88">
        <w:rPr>
          <w:b/>
        </w:rPr>
        <w:t>NOMA schemes.</w:t>
      </w:r>
    </w:p>
    <w:p w14:paraId="56DA1CEA" w14:textId="1CE16BFD" w:rsidR="003B6CED" w:rsidRDefault="003B6CED" w:rsidP="005975DB">
      <w:pPr>
        <w:pStyle w:val="Heading1"/>
        <w:numPr>
          <w:ilvl w:val="0"/>
          <w:numId w:val="0"/>
        </w:numPr>
        <w:spacing w:afterLines="60" w:after="144"/>
      </w:pPr>
      <w:r>
        <w:lastRenderedPageBreak/>
        <w:t>References</w:t>
      </w:r>
    </w:p>
    <w:p w14:paraId="3A85DE05" w14:textId="77777777" w:rsidR="00AB7401" w:rsidRDefault="009E7306" w:rsidP="00AB7401">
      <w:pPr>
        <w:pStyle w:val="BodyText"/>
        <w:numPr>
          <w:ilvl w:val="0"/>
          <w:numId w:val="22"/>
        </w:numPr>
        <w:ind w:left="426" w:hanging="426"/>
      </w:pPr>
      <w:bookmarkStart w:id="6" w:name="_Ref455499509"/>
      <w:bookmarkStart w:id="7" w:name="_Ref455497783"/>
      <w:bookmarkStart w:id="8" w:name="_Ref455500032"/>
      <w:r>
        <w:t>R1-164634 “Instant uplink access”</w:t>
      </w:r>
      <w:r w:rsidR="00AB7401">
        <w:t>,</w:t>
      </w:r>
      <w:r>
        <w:t xml:space="preserve"> Ericsson</w:t>
      </w:r>
      <w:bookmarkStart w:id="9" w:name="_Ref455499839"/>
      <w:bookmarkEnd w:id="6"/>
      <w:bookmarkEnd w:id="7"/>
      <w:bookmarkEnd w:id="8"/>
    </w:p>
    <w:p w14:paraId="3FBF6209" w14:textId="5D94BA59" w:rsidR="003D1A71" w:rsidRPr="003D1A71" w:rsidRDefault="003D1A71" w:rsidP="003D1A71">
      <w:pPr>
        <w:widowControl w:val="0"/>
        <w:numPr>
          <w:ilvl w:val="0"/>
          <w:numId w:val="22"/>
        </w:numPr>
        <w:spacing w:after="120"/>
        <w:ind w:left="425" w:hanging="425"/>
        <w:jc w:val="both"/>
        <w:rPr>
          <w:rFonts w:eastAsia="MS Gothic"/>
          <w:szCs w:val="20"/>
          <w:lang w:val="en-GB" w:eastAsia="ja-JP"/>
        </w:rPr>
      </w:pPr>
      <w:bookmarkStart w:id="10" w:name="_Ref458604955"/>
      <w:r>
        <w:rPr>
          <w:szCs w:val="20"/>
        </w:rPr>
        <w:t>3GPP TR 38.913 V0.3.0, Study on Scenarios and Requirements for Next Generation Access Technologies, Release 14</w:t>
      </w:r>
      <w:bookmarkEnd w:id="10"/>
    </w:p>
    <w:p w14:paraId="20E97210" w14:textId="3CA33145" w:rsidR="00AB7401" w:rsidRDefault="00AB7401" w:rsidP="003D1A71">
      <w:pPr>
        <w:pStyle w:val="BodyText"/>
        <w:numPr>
          <w:ilvl w:val="0"/>
          <w:numId w:val="22"/>
        </w:numPr>
        <w:ind w:left="425" w:hanging="425"/>
      </w:pPr>
      <w:bookmarkStart w:id="11" w:name="_Ref455500012"/>
      <w:r w:rsidRPr="00AB7401">
        <w:rPr>
          <w:lang w:eastAsia="ja-JP"/>
        </w:rPr>
        <w:t>R1-165174 “Uplink multiple access schemes for NR”</w:t>
      </w:r>
      <w:r>
        <w:rPr>
          <w:lang w:eastAsia="ja-JP"/>
        </w:rPr>
        <w:t>,</w:t>
      </w:r>
      <w:r w:rsidRPr="00AB7401">
        <w:rPr>
          <w:lang w:eastAsia="ja-JP"/>
        </w:rPr>
        <w:t xml:space="preserve"> </w:t>
      </w:r>
      <w:r w:rsidRPr="00AB7401">
        <w:t>NTT DOCOMO</w:t>
      </w:r>
      <w:bookmarkEnd w:id="9"/>
      <w:bookmarkEnd w:id="11"/>
    </w:p>
    <w:p w14:paraId="4DF8B689" w14:textId="58CD0C68" w:rsidR="00AB7401" w:rsidRPr="00A004D2" w:rsidRDefault="00563F68" w:rsidP="00A004D2">
      <w:pPr>
        <w:pStyle w:val="BodyText"/>
        <w:numPr>
          <w:ilvl w:val="0"/>
          <w:numId w:val="22"/>
        </w:numPr>
        <w:tabs>
          <w:tab w:val="right" w:pos="8280"/>
          <w:tab w:val="right" w:pos="9781"/>
        </w:tabs>
        <w:snapToGrid w:val="0"/>
        <w:ind w:left="426" w:right="-58" w:hanging="426"/>
        <w:rPr>
          <w:lang w:eastAsia="ja-JP"/>
        </w:rPr>
      </w:pPr>
      <w:bookmarkStart w:id="12" w:name="_Ref455499708"/>
      <w:r w:rsidRPr="00563F68">
        <w:t xml:space="preserve">R1-164270 </w:t>
      </w:r>
      <w:r>
        <w:t>“</w:t>
      </w:r>
      <w:r w:rsidRPr="00563F68">
        <w:t>Receiver implementation for MUSA</w:t>
      </w:r>
      <w:r>
        <w:t>”</w:t>
      </w:r>
      <w:r w:rsidR="00AB7401">
        <w:t>,</w:t>
      </w:r>
      <w:r>
        <w:t xml:space="preserve"> ZTE</w:t>
      </w:r>
      <w:bookmarkEnd w:id="12"/>
    </w:p>
    <w:sectPr w:rsidR="00AB7401" w:rsidRPr="00A004D2">
      <w:headerReference w:type="default" r:id="rId16"/>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078331" w15:done="0"/>
  <w15:commentEx w15:paraId="4C6E5DB4" w15:done="0"/>
  <w15:commentEx w15:paraId="64415FD8" w15:done="0"/>
  <w15:commentEx w15:paraId="226B44E7" w15:done="0"/>
  <w15:commentEx w15:paraId="7F55ED3B" w15:done="0"/>
  <w15:commentEx w15:paraId="2C738D70" w15:done="0"/>
  <w15:commentEx w15:paraId="62E963B1" w15:done="0"/>
  <w15:commentEx w15:paraId="07EFC64A" w15:done="0"/>
  <w15:commentEx w15:paraId="783467C0" w15:done="0"/>
  <w15:commentEx w15:paraId="66C76663" w15:done="0"/>
  <w15:commentEx w15:paraId="3DD39108" w15:done="0"/>
  <w15:commentEx w15:paraId="2D3B1E29" w15:done="0"/>
  <w15:commentEx w15:paraId="5DE2AE1E" w15:done="0"/>
  <w15:commentEx w15:paraId="14CEBCB0" w15:done="0"/>
  <w15:commentEx w15:paraId="214E67B5" w15:done="0"/>
  <w15:commentEx w15:paraId="2DE7AB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21E63" w14:textId="77777777" w:rsidR="00E4209B" w:rsidRDefault="00E4209B">
      <w:r>
        <w:separator/>
      </w:r>
    </w:p>
  </w:endnote>
  <w:endnote w:type="continuationSeparator" w:id="0">
    <w:p w14:paraId="1C9F0A87" w14:textId="77777777" w:rsidR="00E4209B" w:rsidRDefault="00E4209B">
      <w:r>
        <w:continuationSeparator/>
      </w:r>
    </w:p>
  </w:endnote>
  <w:endnote w:type="continuationNotice" w:id="1">
    <w:p w14:paraId="33C00393" w14:textId="77777777" w:rsidR="00E4209B" w:rsidRDefault="00E42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095B7" w14:textId="77777777" w:rsidR="00E4209B" w:rsidRDefault="00E4209B">
      <w:r>
        <w:separator/>
      </w:r>
    </w:p>
  </w:footnote>
  <w:footnote w:type="continuationSeparator" w:id="0">
    <w:p w14:paraId="2583FB6E" w14:textId="77777777" w:rsidR="00E4209B" w:rsidRDefault="00E4209B">
      <w:r>
        <w:continuationSeparator/>
      </w:r>
    </w:p>
  </w:footnote>
  <w:footnote w:type="continuationNotice" w:id="1">
    <w:p w14:paraId="76DF7AFB" w14:textId="77777777" w:rsidR="00E4209B" w:rsidRDefault="00E4209B"/>
  </w:footnote>
  <w:footnote w:id="2">
    <w:p w14:paraId="7EB3C204" w14:textId="71080688" w:rsidR="00995365" w:rsidRPr="00995365" w:rsidRDefault="00995365">
      <w:pPr>
        <w:pStyle w:val="FootnoteText"/>
      </w:pPr>
      <w:r>
        <w:rPr>
          <w:rStyle w:val="FootnoteReference"/>
        </w:rPr>
        <w:footnoteRef/>
      </w:r>
      <w:r>
        <w:t>Collisions that result in retransmission</w:t>
      </w:r>
      <w:r w:rsidR="00093C99">
        <w:t>s</w:t>
      </w:r>
      <w:r>
        <w:t xml:space="preserve"> will increase the effective signaling overhead compared to the payload.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A1CF5" w14:textId="77777777" w:rsidR="0096344B" w:rsidRDefault="0096344B" w:rsidP="00417FDA">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82DF8"/>
    <w:multiLevelType w:val="hybridMultilevel"/>
    <w:tmpl w:val="9A94C966"/>
    <w:lvl w:ilvl="0" w:tplc="F56A7376">
      <w:start w:val="1"/>
      <w:numFmt w:val="bullet"/>
      <w:lvlText w:val="›"/>
      <w:lvlJc w:val="left"/>
      <w:pPr>
        <w:tabs>
          <w:tab w:val="num" w:pos="720"/>
        </w:tabs>
        <w:ind w:left="720" w:hanging="360"/>
      </w:pPr>
      <w:rPr>
        <w:rFonts w:ascii="Arial" w:hAnsi="Arial" w:hint="default"/>
      </w:rPr>
    </w:lvl>
    <w:lvl w:ilvl="1" w:tplc="FF621D78">
      <w:start w:val="1"/>
      <w:numFmt w:val="bullet"/>
      <w:lvlText w:val="›"/>
      <w:lvlJc w:val="left"/>
      <w:pPr>
        <w:tabs>
          <w:tab w:val="num" w:pos="1440"/>
        </w:tabs>
        <w:ind w:left="1440" w:hanging="360"/>
      </w:pPr>
      <w:rPr>
        <w:rFonts w:ascii="Arial" w:hAnsi="Arial" w:hint="default"/>
      </w:rPr>
    </w:lvl>
    <w:lvl w:ilvl="2" w:tplc="F9281754" w:tentative="1">
      <w:start w:val="1"/>
      <w:numFmt w:val="bullet"/>
      <w:lvlText w:val="›"/>
      <w:lvlJc w:val="left"/>
      <w:pPr>
        <w:tabs>
          <w:tab w:val="num" w:pos="2160"/>
        </w:tabs>
        <w:ind w:left="2160" w:hanging="360"/>
      </w:pPr>
      <w:rPr>
        <w:rFonts w:ascii="Arial" w:hAnsi="Arial" w:hint="default"/>
      </w:rPr>
    </w:lvl>
    <w:lvl w:ilvl="3" w:tplc="52C6110C" w:tentative="1">
      <w:start w:val="1"/>
      <w:numFmt w:val="bullet"/>
      <w:lvlText w:val="›"/>
      <w:lvlJc w:val="left"/>
      <w:pPr>
        <w:tabs>
          <w:tab w:val="num" w:pos="2880"/>
        </w:tabs>
        <w:ind w:left="2880" w:hanging="360"/>
      </w:pPr>
      <w:rPr>
        <w:rFonts w:ascii="Arial" w:hAnsi="Arial" w:hint="default"/>
      </w:rPr>
    </w:lvl>
    <w:lvl w:ilvl="4" w:tplc="5164E106" w:tentative="1">
      <w:start w:val="1"/>
      <w:numFmt w:val="bullet"/>
      <w:lvlText w:val="›"/>
      <w:lvlJc w:val="left"/>
      <w:pPr>
        <w:tabs>
          <w:tab w:val="num" w:pos="3600"/>
        </w:tabs>
        <w:ind w:left="3600" w:hanging="360"/>
      </w:pPr>
      <w:rPr>
        <w:rFonts w:ascii="Arial" w:hAnsi="Arial" w:hint="default"/>
      </w:rPr>
    </w:lvl>
    <w:lvl w:ilvl="5" w:tplc="43E29BC4" w:tentative="1">
      <w:start w:val="1"/>
      <w:numFmt w:val="bullet"/>
      <w:lvlText w:val="›"/>
      <w:lvlJc w:val="left"/>
      <w:pPr>
        <w:tabs>
          <w:tab w:val="num" w:pos="4320"/>
        </w:tabs>
        <w:ind w:left="4320" w:hanging="360"/>
      </w:pPr>
      <w:rPr>
        <w:rFonts w:ascii="Arial" w:hAnsi="Arial" w:hint="default"/>
      </w:rPr>
    </w:lvl>
    <w:lvl w:ilvl="6" w:tplc="4926BE06" w:tentative="1">
      <w:start w:val="1"/>
      <w:numFmt w:val="bullet"/>
      <w:lvlText w:val="›"/>
      <w:lvlJc w:val="left"/>
      <w:pPr>
        <w:tabs>
          <w:tab w:val="num" w:pos="5040"/>
        </w:tabs>
        <w:ind w:left="5040" w:hanging="360"/>
      </w:pPr>
      <w:rPr>
        <w:rFonts w:ascii="Arial" w:hAnsi="Arial" w:hint="default"/>
      </w:rPr>
    </w:lvl>
    <w:lvl w:ilvl="7" w:tplc="5D0274AA" w:tentative="1">
      <w:start w:val="1"/>
      <w:numFmt w:val="bullet"/>
      <w:lvlText w:val="›"/>
      <w:lvlJc w:val="left"/>
      <w:pPr>
        <w:tabs>
          <w:tab w:val="num" w:pos="5760"/>
        </w:tabs>
        <w:ind w:left="5760" w:hanging="360"/>
      </w:pPr>
      <w:rPr>
        <w:rFonts w:ascii="Arial" w:hAnsi="Arial" w:hint="default"/>
      </w:rPr>
    </w:lvl>
    <w:lvl w:ilvl="8" w:tplc="34B445E0" w:tentative="1">
      <w:start w:val="1"/>
      <w:numFmt w:val="bullet"/>
      <w:lvlText w:val="›"/>
      <w:lvlJc w:val="left"/>
      <w:pPr>
        <w:tabs>
          <w:tab w:val="num" w:pos="6480"/>
        </w:tabs>
        <w:ind w:left="6480" w:hanging="360"/>
      </w:pPr>
      <w:rPr>
        <w:rFonts w:ascii="Arial" w:hAnsi="Arial" w:hint="default"/>
      </w:r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DF7AD8"/>
    <w:multiLevelType w:val="hybridMultilevel"/>
    <w:tmpl w:val="16786040"/>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
    <w:nsid w:val="47C760FE"/>
    <w:multiLevelType w:val="hybridMultilevel"/>
    <w:tmpl w:val="8E70D4E8"/>
    <w:lvl w:ilvl="0" w:tplc="5B4492CE">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ECD19C8"/>
    <w:multiLevelType w:val="hybridMultilevel"/>
    <w:tmpl w:val="667E7BBE"/>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nsid w:val="60294155"/>
    <w:multiLevelType w:val="hybridMultilevel"/>
    <w:tmpl w:val="2424E664"/>
    <w:lvl w:ilvl="0" w:tplc="38EE623C">
      <w:start w:val="1"/>
      <w:numFmt w:val="bullet"/>
      <w:lvlText w:val="›"/>
      <w:lvlJc w:val="left"/>
      <w:pPr>
        <w:tabs>
          <w:tab w:val="num" w:pos="720"/>
        </w:tabs>
        <w:ind w:left="720" w:hanging="360"/>
      </w:pPr>
      <w:rPr>
        <w:rFonts w:ascii="Arial" w:hAnsi="Arial" w:hint="default"/>
      </w:rPr>
    </w:lvl>
    <w:lvl w:ilvl="1" w:tplc="0B2ABBDA">
      <w:start w:val="1502"/>
      <w:numFmt w:val="bullet"/>
      <w:lvlText w:val="–"/>
      <w:lvlJc w:val="left"/>
      <w:pPr>
        <w:tabs>
          <w:tab w:val="num" w:pos="1440"/>
        </w:tabs>
        <w:ind w:left="1440" w:hanging="360"/>
      </w:pPr>
      <w:rPr>
        <w:rFonts w:ascii="Ericsson Capital TT" w:hAnsi="Ericsson Capital TT" w:hint="default"/>
      </w:rPr>
    </w:lvl>
    <w:lvl w:ilvl="2" w:tplc="4E6E5A3A" w:tentative="1">
      <w:start w:val="1"/>
      <w:numFmt w:val="bullet"/>
      <w:lvlText w:val="›"/>
      <w:lvlJc w:val="left"/>
      <w:pPr>
        <w:tabs>
          <w:tab w:val="num" w:pos="2160"/>
        </w:tabs>
        <w:ind w:left="2160" w:hanging="360"/>
      </w:pPr>
      <w:rPr>
        <w:rFonts w:ascii="Arial" w:hAnsi="Arial" w:hint="default"/>
      </w:rPr>
    </w:lvl>
    <w:lvl w:ilvl="3" w:tplc="E1AC14D0" w:tentative="1">
      <w:start w:val="1"/>
      <w:numFmt w:val="bullet"/>
      <w:lvlText w:val="›"/>
      <w:lvlJc w:val="left"/>
      <w:pPr>
        <w:tabs>
          <w:tab w:val="num" w:pos="2880"/>
        </w:tabs>
        <w:ind w:left="2880" w:hanging="360"/>
      </w:pPr>
      <w:rPr>
        <w:rFonts w:ascii="Arial" w:hAnsi="Arial" w:hint="default"/>
      </w:rPr>
    </w:lvl>
    <w:lvl w:ilvl="4" w:tplc="C81C8E28" w:tentative="1">
      <w:start w:val="1"/>
      <w:numFmt w:val="bullet"/>
      <w:lvlText w:val="›"/>
      <w:lvlJc w:val="left"/>
      <w:pPr>
        <w:tabs>
          <w:tab w:val="num" w:pos="3600"/>
        </w:tabs>
        <w:ind w:left="3600" w:hanging="360"/>
      </w:pPr>
      <w:rPr>
        <w:rFonts w:ascii="Arial" w:hAnsi="Arial" w:hint="default"/>
      </w:rPr>
    </w:lvl>
    <w:lvl w:ilvl="5" w:tplc="FA02EB26" w:tentative="1">
      <w:start w:val="1"/>
      <w:numFmt w:val="bullet"/>
      <w:lvlText w:val="›"/>
      <w:lvlJc w:val="left"/>
      <w:pPr>
        <w:tabs>
          <w:tab w:val="num" w:pos="4320"/>
        </w:tabs>
        <w:ind w:left="4320" w:hanging="360"/>
      </w:pPr>
      <w:rPr>
        <w:rFonts w:ascii="Arial" w:hAnsi="Arial" w:hint="default"/>
      </w:rPr>
    </w:lvl>
    <w:lvl w:ilvl="6" w:tplc="AA4CD874" w:tentative="1">
      <w:start w:val="1"/>
      <w:numFmt w:val="bullet"/>
      <w:lvlText w:val="›"/>
      <w:lvlJc w:val="left"/>
      <w:pPr>
        <w:tabs>
          <w:tab w:val="num" w:pos="5040"/>
        </w:tabs>
        <w:ind w:left="5040" w:hanging="360"/>
      </w:pPr>
      <w:rPr>
        <w:rFonts w:ascii="Arial" w:hAnsi="Arial" w:hint="default"/>
      </w:rPr>
    </w:lvl>
    <w:lvl w:ilvl="7" w:tplc="58B46238" w:tentative="1">
      <w:start w:val="1"/>
      <w:numFmt w:val="bullet"/>
      <w:lvlText w:val="›"/>
      <w:lvlJc w:val="left"/>
      <w:pPr>
        <w:tabs>
          <w:tab w:val="num" w:pos="5760"/>
        </w:tabs>
        <w:ind w:left="5760" w:hanging="360"/>
      </w:pPr>
      <w:rPr>
        <w:rFonts w:ascii="Arial" w:hAnsi="Arial" w:hint="default"/>
      </w:rPr>
    </w:lvl>
    <w:lvl w:ilvl="8" w:tplc="85C67DF0" w:tentative="1">
      <w:start w:val="1"/>
      <w:numFmt w:val="bullet"/>
      <w:lvlText w:val="›"/>
      <w:lvlJc w:val="left"/>
      <w:pPr>
        <w:tabs>
          <w:tab w:val="num" w:pos="6480"/>
        </w:tabs>
        <w:ind w:left="6480" w:hanging="360"/>
      </w:pPr>
      <w:rPr>
        <w:rFonts w:ascii="Arial" w:hAnsi="Arial" w:hint="default"/>
      </w:rPr>
    </w:lvl>
  </w:abstractNum>
  <w:abstractNum w:abstractNumId="17">
    <w:nsid w:val="60C24313"/>
    <w:multiLevelType w:val="hybridMultilevel"/>
    <w:tmpl w:val="A6A205A6"/>
    <w:lvl w:ilvl="0" w:tplc="824AB28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DB0669"/>
    <w:multiLevelType w:val="hybridMultilevel"/>
    <w:tmpl w:val="302454E4"/>
    <w:lvl w:ilvl="0" w:tplc="4A3681B2">
      <w:start w:val="1"/>
      <w:numFmt w:val="decimal"/>
      <w:lvlText w:val="%1."/>
      <w:lvlJc w:val="left"/>
      <w:pPr>
        <w:tabs>
          <w:tab w:val="num" w:pos="720"/>
        </w:tabs>
        <w:ind w:left="720" w:hanging="360"/>
      </w:pPr>
    </w:lvl>
    <w:lvl w:ilvl="1" w:tplc="136C54F0">
      <w:start w:val="1256"/>
      <w:numFmt w:val="bullet"/>
      <w:lvlText w:val="–"/>
      <w:lvlJc w:val="left"/>
      <w:pPr>
        <w:tabs>
          <w:tab w:val="num" w:pos="1440"/>
        </w:tabs>
        <w:ind w:left="1440" w:hanging="360"/>
      </w:pPr>
      <w:rPr>
        <w:rFonts w:ascii="Ericsson Capital TT" w:hAnsi="Ericsson Capital TT" w:hint="default"/>
      </w:rPr>
    </w:lvl>
    <w:lvl w:ilvl="2" w:tplc="CB18111E" w:tentative="1">
      <w:start w:val="1"/>
      <w:numFmt w:val="decimal"/>
      <w:lvlText w:val="%3."/>
      <w:lvlJc w:val="left"/>
      <w:pPr>
        <w:tabs>
          <w:tab w:val="num" w:pos="2160"/>
        </w:tabs>
        <w:ind w:left="2160" w:hanging="360"/>
      </w:pPr>
    </w:lvl>
    <w:lvl w:ilvl="3" w:tplc="FAAC5356" w:tentative="1">
      <w:start w:val="1"/>
      <w:numFmt w:val="decimal"/>
      <w:lvlText w:val="%4."/>
      <w:lvlJc w:val="left"/>
      <w:pPr>
        <w:tabs>
          <w:tab w:val="num" w:pos="2880"/>
        </w:tabs>
        <w:ind w:left="2880" w:hanging="360"/>
      </w:pPr>
    </w:lvl>
    <w:lvl w:ilvl="4" w:tplc="A4B64936" w:tentative="1">
      <w:start w:val="1"/>
      <w:numFmt w:val="decimal"/>
      <w:lvlText w:val="%5."/>
      <w:lvlJc w:val="left"/>
      <w:pPr>
        <w:tabs>
          <w:tab w:val="num" w:pos="3600"/>
        </w:tabs>
        <w:ind w:left="3600" w:hanging="360"/>
      </w:pPr>
    </w:lvl>
    <w:lvl w:ilvl="5" w:tplc="F6B05738" w:tentative="1">
      <w:start w:val="1"/>
      <w:numFmt w:val="decimal"/>
      <w:lvlText w:val="%6."/>
      <w:lvlJc w:val="left"/>
      <w:pPr>
        <w:tabs>
          <w:tab w:val="num" w:pos="4320"/>
        </w:tabs>
        <w:ind w:left="4320" w:hanging="360"/>
      </w:pPr>
    </w:lvl>
    <w:lvl w:ilvl="6" w:tplc="6740A070" w:tentative="1">
      <w:start w:val="1"/>
      <w:numFmt w:val="decimal"/>
      <w:lvlText w:val="%7."/>
      <w:lvlJc w:val="left"/>
      <w:pPr>
        <w:tabs>
          <w:tab w:val="num" w:pos="5040"/>
        </w:tabs>
        <w:ind w:left="5040" w:hanging="360"/>
      </w:pPr>
    </w:lvl>
    <w:lvl w:ilvl="7" w:tplc="95CACC72" w:tentative="1">
      <w:start w:val="1"/>
      <w:numFmt w:val="decimal"/>
      <w:lvlText w:val="%8."/>
      <w:lvlJc w:val="left"/>
      <w:pPr>
        <w:tabs>
          <w:tab w:val="num" w:pos="5760"/>
        </w:tabs>
        <w:ind w:left="5760" w:hanging="360"/>
      </w:pPr>
    </w:lvl>
    <w:lvl w:ilvl="8" w:tplc="D4B23EB8" w:tentative="1">
      <w:start w:val="1"/>
      <w:numFmt w:val="decimal"/>
      <w:lvlText w:val="%9."/>
      <w:lvlJc w:val="left"/>
      <w:pPr>
        <w:tabs>
          <w:tab w:val="num" w:pos="6480"/>
        </w:tabs>
        <w:ind w:left="6480" w:hanging="360"/>
      </w:pPr>
    </w:lvl>
  </w:abstractNum>
  <w:abstractNum w:abstractNumId="19">
    <w:nsid w:val="69D25960"/>
    <w:multiLevelType w:val="hybridMultilevel"/>
    <w:tmpl w:val="F6BE7A80"/>
    <w:lvl w:ilvl="0" w:tplc="041D000F">
      <w:start w:val="1"/>
      <w:numFmt w:val="decimal"/>
      <w:lvlText w:val="%1."/>
      <w:lvlJc w:val="left"/>
      <w:pPr>
        <w:ind w:left="1778" w:hanging="360"/>
      </w:pPr>
    </w:lvl>
    <w:lvl w:ilvl="1" w:tplc="041D0019" w:tentative="1">
      <w:start w:val="1"/>
      <w:numFmt w:val="lowerLetter"/>
      <w:lvlText w:val="%2."/>
      <w:lvlJc w:val="left"/>
      <w:pPr>
        <w:ind w:left="2498" w:hanging="360"/>
      </w:pPr>
    </w:lvl>
    <w:lvl w:ilvl="2" w:tplc="041D001B" w:tentative="1">
      <w:start w:val="1"/>
      <w:numFmt w:val="lowerRoman"/>
      <w:lvlText w:val="%3."/>
      <w:lvlJc w:val="right"/>
      <w:pPr>
        <w:ind w:left="3218" w:hanging="180"/>
      </w:pPr>
    </w:lvl>
    <w:lvl w:ilvl="3" w:tplc="041D000F" w:tentative="1">
      <w:start w:val="1"/>
      <w:numFmt w:val="decimal"/>
      <w:lvlText w:val="%4."/>
      <w:lvlJc w:val="left"/>
      <w:pPr>
        <w:ind w:left="3938" w:hanging="360"/>
      </w:pPr>
    </w:lvl>
    <w:lvl w:ilvl="4" w:tplc="041D0019" w:tentative="1">
      <w:start w:val="1"/>
      <w:numFmt w:val="lowerLetter"/>
      <w:lvlText w:val="%5."/>
      <w:lvlJc w:val="left"/>
      <w:pPr>
        <w:ind w:left="4658" w:hanging="360"/>
      </w:pPr>
    </w:lvl>
    <w:lvl w:ilvl="5" w:tplc="041D001B" w:tentative="1">
      <w:start w:val="1"/>
      <w:numFmt w:val="lowerRoman"/>
      <w:lvlText w:val="%6."/>
      <w:lvlJc w:val="right"/>
      <w:pPr>
        <w:ind w:left="5378" w:hanging="180"/>
      </w:pPr>
    </w:lvl>
    <w:lvl w:ilvl="6" w:tplc="041D000F" w:tentative="1">
      <w:start w:val="1"/>
      <w:numFmt w:val="decimal"/>
      <w:lvlText w:val="%7."/>
      <w:lvlJc w:val="left"/>
      <w:pPr>
        <w:ind w:left="6098" w:hanging="360"/>
      </w:pPr>
    </w:lvl>
    <w:lvl w:ilvl="7" w:tplc="041D0019" w:tentative="1">
      <w:start w:val="1"/>
      <w:numFmt w:val="lowerLetter"/>
      <w:lvlText w:val="%8."/>
      <w:lvlJc w:val="left"/>
      <w:pPr>
        <w:ind w:left="6818" w:hanging="360"/>
      </w:pPr>
    </w:lvl>
    <w:lvl w:ilvl="8" w:tplc="041D001B" w:tentative="1">
      <w:start w:val="1"/>
      <w:numFmt w:val="lowerRoman"/>
      <w:lvlText w:val="%9."/>
      <w:lvlJc w:val="right"/>
      <w:pPr>
        <w:ind w:left="7538" w:hanging="180"/>
      </w:pPr>
    </w:lvl>
  </w:abstractNum>
  <w:abstractNum w:abstractNumId="20">
    <w:nsid w:val="723A7D9C"/>
    <w:multiLevelType w:val="hybridMultilevel"/>
    <w:tmpl w:val="41CEDC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761255B7"/>
    <w:multiLevelType w:val="hybridMultilevel"/>
    <w:tmpl w:val="2F24E6CA"/>
    <w:lvl w:ilvl="0" w:tplc="752C88DE">
      <w:start w:val="1"/>
      <w:numFmt w:val="bullet"/>
      <w:lvlText w:val="›"/>
      <w:lvlJc w:val="left"/>
      <w:pPr>
        <w:tabs>
          <w:tab w:val="num" w:pos="720"/>
        </w:tabs>
        <w:ind w:left="720" w:hanging="360"/>
      </w:pPr>
      <w:rPr>
        <w:rFonts w:ascii="Arial" w:hAnsi="Arial" w:hint="default"/>
      </w:rPr>
    </w:lvl>
    <w:lvl w:ilvl="1" w:tplc="51848A7C">
      <w:start w:val="1617"/>
      <w:numFmt w:val="bullet"/>
      <w:lvlText w:val="–"/>
      <w:lvlJc w:val="left"/>
      <w:pPr>
        <w:tabs>
          <w:tab w:val="num" w:pos="1440"/>
        </w:tabs>
        <w:ind w:left="1440" w:hanging="360"/>
      </w:pPr>
      <w:rPr>
        <w:rFonts w:ascii="Ericsson Capital TT" w:hAnsi="Ericsson Capital TT" w:hint="default"/>
      </w:rPr>
    </w:lvl>
    <w:lvl w:ilvl="2" w:tplc="4302005C" w:tentative="1">
      <w:start w:val="1"/>
      <w:numFmt w:val="bullet"/>
      <w:lvlText w:val="›"/>
      <w:lvlJc w:val="left"/>
      <w:pPr>
        <w:tabs>
          <w:tab w:val="num" w:pos="2160"/>
        </w:tabs>
        <w:ind w:left="2160" w:hanging="360"/>
      </w:pPr>
      <w:rPr>
        <w:rFonts w:ascii="Arial" w:hAnsi="Arial" w:hint="default"/>
      </w:rPr>
    </w:lvl>
    <w:lvl w:ilvl="3" w:tplc="0D864BD0" w:tentative="1">
      <w:start w:val="1"/>
      <w:numFmt w:val="bullet"/>
      <w:lvlText w:val="›"/>
      <w:lvlJc w:val="left"/>
      <w:pPr>
        <w:tabs>
          <w:tab w:val="num" w:pos="2880"/>
        </w:tabs>
        <w:ind w:left="2880" w:hanging="360"/>
      </w:pPr>
      <w:rPr>
        <w:rFonts w:ascii="Arial" w:hAnsi="Arial" w:hint="default"/>
      </w:rPr>
    </w:lvl>
    <w:lvl w:ilvl="4" w:tplc="E4762982" w:tentative="1">
      <w:start w:val="1"/>
      <w:numFmt w:val="bullet"/>
      <w:lvlText w:val="›"/>
      <w:lvlJc w:val="left"/>
      <w:pPr>
        <w:tabs>
          <w:tab w:val="num" w:pos="3600"/>
        </w:tabs>
        <w:ind w:left="3600" w:hanging="360"/>
      </w:pPr>
      <w:rPr>
        <w:rFonts w:ascii="Arial" w:hAnsi="Arial" w:hint="default"/>
      </w:rPr>
    </w:lvl>
    <w:lvl w:ilvl="5" w:tplc="EF46ED18" w:tentative="1">
      <w:start w:val="1"/>
      <w:numFmt w:val="bullet"/>
      <w:lvlText w:val="›"/>
      <w:lvlJc w:val="left"/>
      <w:pPr>
        <w:tabs>
          <w:tab w:val="num" w:pos="4320"/>
        </w:tabs>
        <w:ind w:left="4320" w:hanging="360"/>
      </w:pPr>
      <w:rPr>
        <w:rFonts w:ascii="Arial" w:hAnsi="Arial" w:hint="default"/>
      </w:rPr>
    </w:lvl>
    <w:lvl w:ilvl="6" w:tplc="75A83EB4" w:tentative="1">
      <w:start w:val="1"/>
      <w:numFmt w:val="bullet"/>
      <w:lvlText w:val="›"/>
      <w:lvlJc w:val="left"/>
      <w:pPr>
        <w:tabs>
          <w:tab w:val="num" w:pos="5040"/>
        </w:tabs>
        <w:ind w:left="5040" w:hanging="360"/>
      </w:pPr>
      <w:rPr>
        <w:rFonts w:ascii="Arial" w:hAnsi="Arial" w:hint="default"/>
      </w:rPr>
    </w:lvl>
    <w:lvl w:ilvl="7" w:tplc="F90C07A4" w:tentative="1">
      <w:start w:val="1"/>
      <w:numFmt w:val="bullet"/>
      <w:lvlText w:val="›"/>
      <w:lvlJc w:val="left"/>
      <w:pPr>
        <w:tabs>
          <w:tab w:val="num" w:pos="5760"/>
        </w:tabs>
        <w:ind w:left="5760" w:hanging="360"/>
      </w:pPr>
      <w:rPr>
        <w:rFonts w:ascii="Arial" w:hAnsi="Arial" w:hint="default"/>
      </w:rPr>
    </w:lvl>
    <w:lvl w:ilvl="8" w:tplc="7FDCBC48" w:tentative="1">
      <w:start w:val="1"/>
      <w:numFmt w:val="bullet"/>
      <w:lvlText w:val="›"/>
      <w:lvlJc w:val="left"/>
      <w:pPr>
        <w:tabs>
          <w:tab w:val="num" w:pos="6480"/>
        </w:tabs>
        <w:ind w:left="6480" w:hanging="360"/>
      </w:pPr>
      <w:rPr>
        <w:rFonts w:ascii="Arial" w:hAnsi="Arial" w:hint="default"/>
      </w:rPr>
    </w:lvl>
  </w:abstractNum>
  <w:abstractNum w:abstractNumId="22">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nsid w:val="7D561BBB"/>
    <w:multiLevelType w:val="hybridMultilevel"/>
    <w:tmpl w:val="F33E1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2"/>
  </w:num>
  <w:num w:numId="2">
    <w:abstractNumId w:val="6"/>
  </w:num>
  <w:num w:numId="3">
    <w:abstractNumId w:val="1"/>
  </w:num>
  <w:num w:numId="4">
    <w:abstractNumId w:val="8"/>
  </w:num>
  <w:num w:numId="5">
    <w:abstractNumId w:val="14"/>
  </w:num>
  <w:num w:numId="6">
    <w:abstractNumId w:val="2"/>
  </w:num>
  <w:num w:numId="7">
    <w:abstractNumId w:val="7"/>
  </w:num>
  <w:num w:numId="8">
    <w:abstractNumId w:val="10"/>
  </w:num>
  <w:num w:numId="9">
    <w:abstractNumId w:val="5"/>
  </w:num>
  <w:num w:numId="10">
    <w:abstractNumId w:val="4"/>
  </w:num>
  <w:num w:numId="11">
    <w:abstractNumId w:val="12"/>
  </w:num>
  <w:num w:numId="12">
    <w:abstractNumId w:val="17"/>
  </w:num>
  <w:num w:numId="13">
    <w:abstractNumId w:val="9"/>
    <w:lvlOverride w:ilvl="0">
      <w:startOverride w:val="1"/>
    </w:lvlOverride>
  </w:num>
  <w:num w:numId="14">
    <w:abstractNumId w:val="0"/>
  </w:num>
  <w:num w:numId="15">
    <w:abstractNumId w:val="16"/>
  </w:num>
  <w:num w:numId="16">
    <w:abstractNumId w:val="21"/>
  </w:num>
  <w:num w:numId="17">
    <w:abstractNumId w:val="18"/>
  </w:num>
  <w:num w:numId="18">
    <w:abstractNumId w:val="20"/>
  </w:num>
  <w:num w:numId="19">
    <w:abstractNumId w:val="15"/>
  </w:num>
  <w:num w:numId="20">
    <w:abstractNumId w:val="19"/>
  </w:num>
  <w:num w:numId="21">
    <w:abstractNumId w:val="23"/>
  </w:num>
  <w:num w:numId="22">
    <w:abstractNumId w:val="1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4AF"/>
    <w:rsid w:val="00003564"/>
    <w:rsid w:val="000072F3"/>
    <w:rsid w:val="000157A0"/>
    <w:rsid w:val="00023C42"/>
    <w:rsid w:val="00024B6F"/>
    <w:rsid w:val="00025641"/>
    <w:rsid w:val="00037C88"/>
    <w:rsid w:val="00041BEC"/>
    <w:rsid w:val="00047CD6"/>
    <w:rsid w:val="00050F19"/>
    <w:rsid w:val="00052BE8"/>
    <w:rsid w:val="00053F69"/>
    <w:rsid w:val="00056EE7"/>
    <w:rsid w:val="000606B1"/>
    <w:rsid w:val="00060EC0"/>
    <w:rsid w:val="00093C99"/>
    <w:rsid w:val="000955B4"/>
    <w:rsid w:val="000A258F"/>
    <w:rsid w:val="000A2909"/>
    <w:rsid w:val="000C2E10"/>
    <w:rsid w:val="000C3EB1"/>
    <w:rsid w:val="000C5C6E"/>
    <w:rsid w:val="000C6BC2"/>
    <w:rsid w:val="000D1034"/>
    <w:rsid w:val="000D25A0"/>
    <w:rsid w:val="000D2AD2"/>
    <w:rsid w:val="000D61F6"/>
    <w:rsid w:val="000D6905"/>
    <w:rsid w:val="000E117B"/>
    <w:rsid w:val="000E5FF5"/>
    <w:rsid w:val="000E699C"/>
    <w:rsid w:val="000F518D"/>
    <w:rsid w:val="00104330"/>
    <w:rsid w:val="001058A1"/>
    <w:rsid w:val="00112E18"/>
    <w:rsid w:val="00114801"/>
    <w:rsid w:val="00116BAA"/>
    <w:rsid w:val="00120C92"/>
    <w:rsid w:val="00132A40"/>
    <w:rsid w:val="00141448"/>
    <w:rsid w:val="00141674"/>
    <w:rsid w:val="0014673A"/>
    <w:rsid w:val="00161D64"/>
    <w:rsid w:val="00165AA0"/>
    <w:rsid w:val="00167038"/>
    <w:rsid w:val="00172690"/>
    <w:rsid w:val="001737BD"/>
    <w:rsid w:val="00176260"/>
    <w:rsid w:val="0018546A"/>
    <w:rsid w:val="00186334"/>
    <w:rsid w:val="0018716E"/>
    <w:rsid w:val="001B02E0"/>
    <w:rsid w:val="001B0B54"/>
    <w:rsid w:val="001B1925"/>
    <w:rsid w:val="001B46AC"/>
    <w:rsid w:val="001C24E2"/>
    <w:rsid w:val="001C2B7C"/>
    <w:rsid w:val="001C2F9A"/>
    <w:rsid w:val="001C434E"/>
    <w:rsid w:val="001C4507"/>
    <w:rsid w:val="001C5DE8"/>
    <w:rsid w:val="001C618D"/>
    <w:rsid w:val="001D2639"/>
    <w:rsid w:val="001D2C0B"/>
    <w:rsid w:val="001D626D"/>
    <w:rsid w:val="001D718D"/>
    <w:rsid w:val="001D732D"/>
    <w:rsid w:val="001E410E"/>
    <w:rsid w:val="001F130F"/>
    <w:rsid w:val="001F282E"/>
    <w:rsid w:val="001F2E5B"/>
    <w:rsid w:val="0021013F"/>
    <w:rsid w:val="00220130"/>
    <w:rsid w:val="00222728"/>
    <w:rsid w:val="00233C56"/>
    <w:rsid w:val="00236420"/>
    <w:rsid w:val="00246FA2"/>
    <w:rsid w:val="00257ABD"/>
    <w:rsid w:val="00261B88"/>
    <w:rsid w:val="002635DB"/>
    <w:rsid w:val="00281C04"/>
    <w:rsid w:val="00282E45"/>
    <w:rsid w:val="00290099"/>
    <w:rsid w:val="002968DA"/>
    <w:rsid w:val="002A28E4"/>
    <w:rsid w:val="002A66C6"/>
    <w:rsid w:val="002B5F27"/>
    <w:rsid w:val="002C0C28"/>
    <w:rsid w:val="002C6BFA"/>
    <w:rsid w:val="002C7E24"/>
    <w:rsid w:val="002D22B3"/>
    <w:rsid w:val="002D251B"/>
    <w:rsid w:val="002D2FEE"/>
    <w:rsid w:val="002E3D6A"/>
    <w:rsid w:val="002F0B77"/>
    <w:rsid w:val="002F24BD"/>
    <w:rsid w:val="002F3523"/>
    <w:rsid w:val="002F3652"/>
    <w:rsid w:val="002F72DB"/>
    <w:rsid w:val="002F74CA"/>
    <w:rsid w:val="00303311"/>
    <w:rsid w:val="003037A3"/>
    <w:rsid w:val="00307A54"/>
    <w:rsid w:val="00310BF5"/>
    <w:rsid w:val="00310F7D"/>
    <w:rsid w:val="003313EA"/>
    <w:rsid w:val="00332413"/>
    <w:rsid w:val="0033287C"/>
    <w:rsid w:val="00333984"/>
    <w:rsid w:val="00337822"/>
    <w:rsid w:val="00350012"/>
    <w:rsid w:val="003522B8"/>
    <w:rsid w:val="00373D02"/>
    <w:rsid w:val="00374551"/>
    <w:rsid w:val="0037597B"/>
    <w:rsid w:val="00377D55"/>
    <w:rsid w:val="00380AC5"/>
    <w:rsid w:val="00387090"/>
    <w:rsid w:val="003875A3"/>
    <w:rsid w:val="00391796"/>
    <w:rsid w:val="003936F2"/>
    <w:rsid w:val="003944C5"/>
    <w:rsid w:val="00395FF9"/>
    <w:rsid w:val="003A0079"/>
    <w:rsid w:val="003A14B3"/>
    <w:rsid w:val="003A19E6"/>
    <w:rsid w:val="003A6AB9"/>
    <w:rsid w:val="003B6CED"/>
    <w:rsid w:val="003D13E7"/>
    <w:rsid w:val="003D1A71"/>
    <w:rsid w:val="003D4711"/>
    <w:rsid w:val="003E4769"/>
    <w:rsid w:val="003E5EF4"/>
    <w:rsid w:val="003F032D"/>
    <w:rsid w:val="003F2C83"/>
    <w:rsid w:val="00410366"/>
    <w:rsid w:val="00411EA7"/>
    <w:rsid w:val="00417FDA"/>
    <w:rsid w:val="00423EC1"/>
    <w:rsid w:val="00424E85"/>
    <w:rsid w:val="0042763E"/>
    <w:rsid w:val="00431FC9"/>
    <w:rsid w:val="004365A7"/>
    <w:rsid w:val="004375F1"/>
    <w:rsid w:val="0044000B"/>
    <w:rsid w:val="00441B20"/>
    <w:rsid w:val="00444AEC"/>
    <w:rsid w:val="00453575"/>
    <w:rsid w:val="00455553"/>
    <w:rsid w:val="0046251B"/>
    <w:rsid w:val="00474DEF"/>
    <w:rsid w:val="0048043B"/>
    <w:rsid w:val="00484258"/>
    <w:rsid w:val="0048565A"/>
    <w:rsid w:val="00496619"/>
    <w:rsid w:val="00497D37"/>
    <w:rsid w:val="004A0DE3"/>
    <w:rsid w:val="004A52FF"/>
    <w:rsid w:val="004A6557"/>
    <w:rsid w:val="004B06AB"/>
    <w:rsid w:val="004C7C0F"/>
    <w:rsid w:val="004D0791"/>
    <w:rsid w:val="004D55D2"/>
    <w:rsid w:val="004E2853"/>
    <w:rsid w:val="004E33E4"/>
    <w:rsid w:val="004F2608"/>
    <w:rsid w:val="005036E8"/>
    <w:rsid w:val="005070F8"/>
    <w:rsid w:val="00516B94"/>
    <w:rsid w:val="005170C3"/>
    <w:rsid w:val="0052416F"/>
    <w:rsid w:val="0053045E"/>
    <w:rsid w:val="005319A9"/>
    <w:rsid w:val="00533D5B"/>
    <w:rsid w:val="0053704E"/>
    <w:rsid w:val="005406BC"/>
    <w:rsid w:val="00544D0B"/>
    <w:rsid w:val="00550619"/>
    <w:rsid w:val="0055077B"/>
    <w:rsid w:val="00550A1E"/>
    <w:rsid w:val="00550B20"/>
    <w:rsid w:val="00563F68"/>
    <w:rsid w:val="00564C7F"/>
    <w:rsid w:val="00566D3D"/>
    <w:rsid w:val="00571D1F"/>
    <w:rsid w:val="00572771"/>
    <w:rsid w:val="00576D0F"/>
    <w:rsid w:val="00582340"/>
    <w:rsid w:val="00582543"/>
    <w:rsid w:val="00590E65"/>
    <w:rsid w:val="005975DB"/>
    <w:rsid w:val="005A06B4"/>
    <w:rsid w:val="005A6712"/>
    <w:rsid w:val="005A7145"/>
    <w:rsid w:val="005B63E9"/>
    <w:rsid w:val="005C2C75"/>
    <w:rsid w:val="005C31C2"/>
    <w:rsid w:val="005C5222"/>
    <w:rsid w:val="005C7A99"/>
    <w:rsid w:val="005E252D"/>
    <w:rsid w:val="005E3E3F"/>
    <w:rsid w:val="005F1649"/>
    <w:rsid w:val="005F584A"/>
    <w:rsid w:val="00606EA1"/>
    <w:rsid w:val="0061001D"/>
    <w:rsid w:val="00617415"/>
    <w:rsid w:val="00620323"/>
    <w:rsid w:val="00620E41"/>
    <w:rsid w:val="0062149E"/>
    <w:rsid w:val="00621DB8"/>
    <w:rsid w:val="00623B81"/>
    <w:rsid w:val="00625E5F"/>
    <w:rsid w:val="00642322"/>
    <w:rsid w:val="006438D1"/>
    <w:rsid w:val="00651134"/>
    <w:rsid w:val="006522D9"/>
    <w:rsid w:val="00673336"/>
    <w:rsid w:val="006804CD"/>
    <w:rsid w:val="00693213"/>
    <w:rsid w:val="0069704C"/>
    <w:rsid w:val="00697BF2"/>
    <w:rsid w:val="006A10B8"/>
    <w:rsid w:val="006A286A"/>
    <w:rsid w:val="006B4E8B"/>
    <w:rsid w:val="006D6749"/>
    <w:rsid w:val="006E27E6"/>
    <w:rsid w:val="006E6B33"/>
    <w:rsid w:val="007028D2"/>
    <w:rsid w:val="00710C07"/>
    <w:rsid w:val="00715827"/>
    <w:rsid w:val="007228D2"/>
    <w:rsid w:val="007276FE"/>
    <w:rsid w:val="00737D4D"/>
    <w:rsid w:val="00751912"/>
    <w:rsid w:val="00754E14"/>
    <w:rsid w:val="00762FEC"/>
    <w:rsid w:val="0076649F"/>
    <w:rsid w:val="00772906"/>
    <w:rsid w:val="00792952"/>
    <w:rsid w:val="00794201"/>
    <w:rsid w:val="007A69B5"/>
    <w:rsid w:val="007B0A81"/>
    <w:rsid w:val="007C4AA3"/>
    <w:rsid w:val="007D1B99"/>
    <w:rsid w:val="007D7E4A"/>
    <w:rsid w:val="007F5C4A"/>
    <w:rsid w:val="00804A14"/>
    <w:rsid w:val="00807D28"/>
    <w:rsid w:val="008146E4"/>
    <w:rsid w:val="00822BE5"/>
    <w:rsid w:val="0082614F"/>
    <w:rsid w:val="00832AA9"/>
    <w:rsid w:val="00834DE7"/>
    <w:rsid w:val="0083759E"/>
    <w:rsid w:val="00845E19"/>
    <w:rsid w:val="00846A2E"/>
    <w:rsid w:val="00857688"/>
    <w:rsid w:val="008612EC"/>
    <w:rsid w:val="00862783"/>
    <w:rsid w:val="008659C3"/>
    <w:rsid w:val="00867424"/>
    <w:rsid w:val="0087238D"/>
    <w:rsid w:val="008870B2"/>
    <w:rsid w:val="00895AC1"/>
    <w:rsid w:val="008975E9"/>
    <w:rsid w:val="008A38A2"/>
    <w:rsid w:val="008A7666"/>
    <w:rsid w:val="008C0ADF"/>
    <w:rsid w:val="008D6971"/>
    <w:rsid w:val="008E2782"/>
    <w:rsid w:val="008F0B4D"/>
    <w:rsid w:val="008F0C35"/>
    <w:rsid w:val="008F528C"/>
    <w:rsid w:val="008F6929"/>
    <w:rsid w:val="0090733B"/>
    <w:rsid w:val="00913744"/>
    <w:rsid w:val="009229D3"/>
    <w:rsid w:val="00935D22"/>
    <w:rsid w:val="009412A9"/>
    <w:rsid w:val="00945B28"/>
    <w:rsid w:val="00947BB6"/>
    <w:rsid w:val="00961AE1"/>
    <w:rsid w:val="0096344B"/>
    <w:rsid w:val="0097229E"/>
    <w:rsid w:val="0097615A"/>
    <w:rsid w:val="00977701"/>
    <w:rsid w:val="00986585"/>
    <w:rsid w:val="0099301F"/>
    <w:rsid w:val="00995365"/>
    <w:rsid w:val="00996E16"/>
    <w:rsid w:val="009A2BB0"/>
    <w:rsid w:val="009A3CCE"/>
    <w:rsid w:val="009A6845"/>
    <w:rsid w:val="009A6BB8"/>
    <w:rsid w:val="009B2E48"/>
    <w:rsid w:val="009B5636"/>
    <w:rsid w:val="009C6D2C"/>
    <w:rsid w:val="009D2704"/>
    <w:rsid w:val="009D5027"/>
    <w:rsid w:val="009E19E6"/>
    <w:rsid w:val="009E7306"/>
    <w:rsid w:val="009F37D6"/>
    <w:rsid w:val="00A004D2"/>
    <w:rsid w:val="00A03B58"/>
    <w:rsid w:val="00A07F46"/>
    <w:rsid w:val="00A12154"/>
    <w:rsid w:val="00A12DA6"/>
    <w:rsid w:val="00A17647"/>
    <w:rsid w:val="00A44077"/>
    <w:rsid w:val="00A44E7F"/>
    <w:rsid w:val="00A46047"/>
    <w:rsid w:val="00A51EE4"/>
    <w:rsid w:val="00A52DD7"/>
    <w:rsid w:val="00A75B03"/>
    <w:rsid w:val="00A76691"/>
    <w:rsid w:val="00A76A2E"/>
    <w:rsid w:val="00A77DFF"/>
    <w:rsid w:val="00A77E0F"/>
    <w:rsid w:val="00A81AA1"/>
    <w:rsid w:val="00A94044"/>
    <w:rsid w:val="00A95900"/>
    <w:rsid w:val="00A97BE4"/>
    <w:rsid w:val="00AA0A25"/>
    <w:rsid w:val="00AA13EF"/>
    <w:rsid w:val="00AA58FF"/>
    <w:rsid w:val="00AA5C16"/>
    <w:rsid w:val="00AA6D38"/>
    <w:rsid w:val="00AB4540"/>
    <w:rsid w:val="00AB7401"/>
    <w:rsid w:val="00AB78C3"/>
    <w:rsid w:val="00AC70B4"/>
    <w:rsid w:val="00AD2535"/>
    <w:rsid w:val="00AD3131"/>
    <w:rsid w:val="00AD5266"/>
    <w:rsid w:val="00AD771D"/>
    <w:rsid w:val="00AF257B"/>
    <w:rsid w:val="00B01F50"/>
    <w:rsid w:val="00B03A33"/>
    <w:rsid w:val="00B157E7"/>
    <w:rsid w:val="00B168B3"/>
    <w:rsid w:val="00B17D3C"/>
    <w:rsid w:val="00B21721"/>
    <w:rsid w:val="00B24D1E"/>
    <w:rsid w:val="00B301C7"/>
    <w:rsid w:val="00B321E1"/>
    <w:rsid w:val="00B34354"/>
    <w:rsid w:val="00B368D9"/>
    <w:rsid w:val="00B43C67"/>
    <w:rsid w:val="00B544F6"/>
    <w:rsid w:val="00B57AF5"/>
    <w:rsid w:val="00B6375B"/>
    <w:rsid w:val="00B73B25"/>
    <w:rsid w:val="00B827AB"/>
    <w:rsid w:val="00B95B0A"/>
    <w:rsid w:val="00B970ED"/>
    <w:rsid w:val="00BA135A"/>
    <w:rsid w:val="00BA2CDD"/>
    <w:rsid w:val="00BA7FD4"/>
    <w:rsid w:val="00BB2282"/>
    <w:rsid w:val="00BB6010"/>
    <w:rsid w:val="00BB6226"/>
    <w:rsid w:val="00BD11AF"/>
    <w:rsid w:val="00BD1476"/>
    <w:rsid w:val="00BD2050"/>
    <w:rsid w:val="00BD41BB"/>
    <w:rsid w:val="00BE6283"/>
    <w:rsid w:val="00BF1CEF"/>
    <w:rsid w:val="00C05143"/>
    <w:rsid w:val="00C0599A"/>
    <w:rsid w:val="00C104F5"/>
    <w:rsid w:val="00C10B9B"/>
    <w:rsid w:val="00C10D9F"/>
    <w:rsid w:val="00C1560A"/>
    <w:rsid w:val="00C202E0"/>
    <w:rsid w:val="00C309EE"/>
    <w:rsid w:val="00C3210D"/>
    <w:rsid w:val="00C344CD"/>
    <w:rsid w:val="00C35845"/>
    <w:rsid w:val="00C36C4B"/>
    <w:rsid w:val="00C51658"/>
    <w:rsid w:val="00C54897"/>
    <w:rsid w:val="00C61496"/>
    <w:rsid w:val="00C62AEF"/>
    <w:rsid w:val="00C63421"/>
    <w:rsid w:val="00C71CE4"/>
    <w:rsid w:val="00C745CF"/>
    <w:rsid w:val="00C85A9D"/>
    <w:rsid w:val="00C864B3"/>
    <w:rsid w:val="00C93774"/>
    <w:rsid w:val="00C9561D"/>
    <w:rsid w:val="00CA321F"/>
    <w:rsid w:val="00CA7382"/>
    <w:rsid w:val="00CB24D9"/>
    <w:rsid w:val="00CB6912"/>
    <w:rsid w:val="00CC34E6"/>
    <w:rsid w:val="00CC62C1"/>
    <w:rsid w:val="00CD0DD6"/>
    <w:rsid w:val="00CD4718"/>
    <w:rsid w:val="00CE28B2"/>
    <w:rsid w:val="00CF04A1"/>
    <w:rsid w:val="00CF0BB7"/>
    <w:rsid w:val="00CF4484"/>
    <w:rsid w:val="00CF67BE"/>
    <w:rsid w:val="00D00162"/>
    <w:rsid w:val="00D03119"/>
    <w:rsid w:val="00D15AB9"/>
    <w:rsid w:val="00D35D05"/>
    <w:rsid w:val="00D367F8"/>
    <w:rsid w:val="00D36CD2"/>
    <w:rsid w:val="00D41CA6"/>
    <w:rsid w:val="00D55A05"/>
    <w:rsid w:val="00D5637F"/>
    <w:rsid w:val="00D64311"/>
    <w:rsid w:val="00D6469B"/>
    <w:rsid w:val="00D652EE"/>
    <w:rsid w:val="00D67D13"/>
    <w:rsid w:val="00D728E8"/>
    <w:rsid w:val="00D7691A"/>
    <w:rsid w:val="00D8011F"/>
    <w:rsid w:val="00D822EA"/>
    <w:rsid w:val="00D910E1"/>
    <w:rsid w:val="00DA0B95"/>
    <w:rsid w:val="00DA110D"/>
    <w:rsid w:val="00DA5428"/>
    <w:rsid w:val="00DB030C"/>
    <w:rsid w:val="00DB7A0E"/>
    <w:rsid w:val="00DC02E4"/>
    <w:rsid w:val="00DC2000"/>
    <w:rsid w:val="00DD2C0B"/>
    <w:rsid w:val="00DD352E"/>
    <w:rsid w:val="00DE0ED4"/>
    <w:rsid w:val="00DE48DB"/>
    <w:rsid w:val="00DE6383"/>
    <w:rsid w:val="00DE684D"/>
    <w:rsid w:val="00E17C56"/>
    <w:rsid w:val="00E213D3"/>
    <w:rsid w:val="00E36084"/>
    <w:rsid w:val="00E4209B"/>
    <w:rsid w:val="00E4477D"/>
    <w:rsid w:val="00E63530"/>
    <w:rsid w:val="00E636D5"/>
    <w:rsid w:val="00E63D88"/>
    <w:rsid w:val="00E879DE"/>
    <w:rsid w:val="00E90864"/>
    <w:rsid w:val="00E90BE8"/>
    <w:rsid w:val="00E9515B"/>
    <w:rsid w:val="00E956F8"/>
    <w:rsid w:val="00E965DC"/>
    <w:rsid w:val="00E97D1C"/>
    <w:rsid w:val="00EA6E3D"/>
    <w:rsid w:val="00EB48AB"/>
    <w:rsid w:val="00EB736F"/>
    <w:rsid w:val="00EC734C"/>
    <w:rsid w:val="00ED3BC7"/>
    <w:rsid w:val="00EF0F25"/>
    <w:rsid w:val="00F00AD7"/>
    <w:rsid w:val="00F108C0"/>
    <w:rsid w:val="00F11905"/>
    <w:rsid w:val="00F403B5"/>
    <w:rsid w:val="00F53251"/>
    <w:rsid w:val="00F606D9"/>
    <w:rsid w:val="00F6568D"/>
    <w:rsid w:val="00F673C8"/>
    <w:rsid w:val="00F83ABF"/>
    <w:rsid w:val="00F93680"/>
    <w:rsid w:val="00FA081B"/>
    <w:rsid w:val="00FA2A2A"/>
    <w:rsid w:val="00FC30D4"/>
    <w:rsid w:val="00FC3BB9"/>
    <w:rsid w:val="00FC4DD7"/>
    <w:rsid w:val="00FD43FF"/>
    <w:rsid w:val="00FD4FEE"/>
    <w:rsid w:val="00FE05B8"/>
    <w:rsid w:val="00FE3BBC"/>
    <w:rsid w:val="00FE5799"/>
    <w:rsid w:val="00FE5B7E"/>
    <w:rsid w:val="00FE7F1A"/>
    <w:rsid w:val="00FF4B91"/>
    <w:rsid w:val="00FF4C84"/>
    <w:rsid w:val="00FF59B0"/>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A1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unhideWhenUsed/>
    <w:rsid w:val="009D5027"/>
    <w:rPr>
      <w:szCs w:val="20"/>
    </w:rPr>
  </w:style>
  <w:style w:type="character" w:customStyle="1" w:styleId="CommentTextChar">
    <w:name w:val="Comment Text Char"/>
    <w:basedOn w:val="DefaultParagraphFont"/>
    <w:link w:val="CommentText"/>
    <w:uiPriority w:val="99"/>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Caption">
    <w:name w:val="caption"/>
    <w:basedOn w:val="Normal"/>
    <w:next w:val="Normal"/>
    <w:uiPriority w:val="35"/>
    <w:unhideWhenUsed/>
    <w:qFormat/>
    <w:rsid w:val="00BB2282"/>
    <w:pPr>
      <w:spacing w:after="200"/>
    </w:pPr>
    <w:rPr>
      <w:b/>
      <w:bCs/>
      <w:color w:val="4F81BD" w:themeColor="accent1"/>
      <w:sz w:val="18"/>
      <w:szCs w:val="18"/>
    </w:rPr>
  </w:style>
  <w:style w:type="character" w:styleId="Hyperlink">
    <w:name w:val="Hyperlink"/>
    <w:basedOn w:val="DefaultParagraphFont"/>
    <w:uiPriority w:val="99"/>
    <w:semiHidden/>
    <w:unhideWhenUsed/>
    <w:rsid w:val="003313EA"/>
    <w:rPr>
      <w:color w:val="0000FF"/>
      <w:u w:val="single"/>
    </w:rPr>
  </w:style>
  <w:style w:type="character" w:styleId="FollowedHyperlink">
    <w:name w:val="FollowedHyperlink"/>
    <w:basedOn w:val="DefaultParagraphFont"/>
    <w:uiPriority w:val="99"/>
    <w:semiHidden/>
    <w:unhideWhenUsed/>
    <w:rsid w:val="00AC70B4"/>
    <w:rPr>
      <w:color w:val="800080" w:themeColor="followedHyperlink"/>
      <w:u w:val="single"/>
    </w:rPr>
  </w:style>
  <w:style w:type="paragraph" w:customStyle="1" w:styleId="References">
    <w:name w:val="References"/>
    <w:basedOn w:val="Normal"/>
    <w:rsid w:val="003A19E6"/>
    <w:pPr>
      <w:numPr>
        <w:numId w:val="13"/>
      </w:numPr>
      <w:autoSpaceDE w:val="0"/>
      <w:autoSpaceDN w:val="0"/>
      <w:snapToGrid w:val="0"/>
      <w:spacing w:after="60"/>
      <w:jc w:val="both"/>
    </w:pPr>
    <w:rPr>
      <w:rFonts w:eastAsia="SimSun"/>
      <w:szCs w:val="16"/>
    </w:rPr>
  </w:style>
  <w:style w:type="character" w:styleId="PlaceholderText">
    <w:name w:val="Placeholder Text"/>
    <w:basedOn w:val="DefaultParagraphFont"/>
    <w:uiPriority w:val="99"/>
    <w:semiHidden/>
    <w:rsid w:val="00B57AF5"/>
    <w:rPr>
      <w:color w:val="808080"/>
    </w:rPr>
  </w:style>
  <w:style w:type="paragraph" w:styleId="ListParagraph">
    <w:name w:val="List Paragraph"/>
    <w:basedOn w:val="Normal"/>
    <w:uiPriority w:val="34"/>
    <w:qFormat/>
    <w:rsid w:val="00A51EE4"/>
    <w:pPr>
      <w:ind w:left="720"/>
      <w:contextualSpacing/>
    </w:pPr>
    <w:rPr>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unhideWhenUsed/>
    <w:rsid w:val="009D5027"/>
    <w:rPr>
      <w:szCs w:val="20"/>
    </w:rPr>
  </w:style>
  <w:style w:type="character" w:customStyle="1" w:styleId="CommentTextChar">
    <w:name w:val="Comment Text Char"/>
    <w:basedOn w:val="DefaultParagraphFont"/>
    <w:link w:val="CommentText"/>
    <w:uiPriority w:val="99"/>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Caption">
    <w:name w:val="caption"/>
    <w:basedOn w:val="Normal"/>
    <w:next w:val="Normal"/>
    <w:uiPriority w:val="35"/>
    <w:unhideWhenUsed/>
    <w:qFormat/>
    <w:rsid w:val="00BB2282"/>
    <w:pPr>
      <w:spacing w:after="200"/>
    </w:pPr>
    <w:rPr>
      <w:b/>
      <w:bCs/>
      <w:color w:val="4F81BD" w:themeColor="accent1"/>
      <w:sz w:val="18"/>
      <w:szCs w:val="18"/>
    </w:rPr>
  </w:style>
  <w:style w:type="character" w:styleId="Hyperlink">
    <w:name w:val="Hyperlink"/>
    <w:basedOn w:val="DefaultParagraphFont"/>
    <w:uiPriority w:val="99"/>
    <w:semiHidden/>
    <w:unhideWhenUsed/>
    <w:rsid w:val="003313EA"/>
    <w:rPr>
      <w:color w:val="0000FF"/>
      <w:u w:val="single"/>
    </w:rPr>
  </w:style>
  <w:style w:type="character" w:styleId="FollowedHyperlink">
    <w:name w:val="FollowedHyperlink"/>
    <w:basedOn w:val="DefaultParagraphFont"/>
    <w:uiPriority w:val="99"/>
    <w:semiHidden/>
    <w:unhideWhenUsed/>
    <w:rsid w:val="00AC70B4"/>
    <w:rPr>
      <w:color w:val="800080" w:themeColor="followedHyperlink"/>
      <w:u w:val="single"/>
    </w:rPr>
  </w:style>
  <w:style w:type="paragraph" w:customStyle="1" w:styleId="References">
    <w:name w:val="References"/>
    <w:basedOn w:val="Normal"/>
    <w:rsid w:val="003A19E6"/>
    <w:pPr>
      <w:numPr>
        <w:numId w:val="13"/>
      </w:numPr>
      <w:autoSpaceDE w:val="0"/>
      <w:autoSpaceDN w:val="0"/>
      <w:snapToGrid w:val="0"/>
      <w:spacing w:after="60"/>
      <w:jc w:val="both"/>
    </w:pPr>
    <w:rPr>
      <w:rFonts w:eastAsia="SimSun"/>
      <w:szCs w:val="16"/>
    </w:rPr>
  </w:style>
  <w:style w:type="character" w:styleId="PlaceholderText">
    <w:name w:val="Placeholder Text"/>
    <w:basedOn w:val="DefaultParagraphFont"/>
    <w:uiPriority w:val="99"/>
    <w:semiHidden/>
    <w:rsid w:val="00B57AF5"/>
    <w:rPr>
      <w:color w:val="808080"/>
    </w:rPr>
  </w:style>
  <w:style w:type="paragraph" w:styleId="ListParagraph">
    <w:name w:val="List Paragraph"/>
    <w:basedOn w:val="Normal"/>
    <w:uiPriority w:val="34"/>
    <w:qFormat/>
    <w:rsid w:val="00A51EE4"/>
    <w:pPr>
      <w:ind w:left="720"/>
      <w:contextualSpacing/>
    </w:pPr>
    <w:rPr>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304697399">
      <w:bodyDiv w:val="1"/>
      <w:marLeft w:val="0"/>
      <w:marRight w:val="0"/>
      <w:marTop w:val="0"/>
      <w:marBottom w:val="0"/>
      <w:divBdr>
        <w:top w:val="none" w:sz="0" w:space="0" w:color="auto"/>
        <w:left w:val="none" w:sz="0" w:space="0" w:color="auto"/>
        <w:bottom w:val="none" w:sz="0" w:space="0" w:color="auto"/>
        <w:right w:val="none" w:sz="0" w:space="0" w:color="auto"/>
      </w:divBdr>
    </w:div>
    <w:div w:id="386689872">
      <w:bodyDiv w:val="1"/>
      <w:marLeft w:val="0"/>
      <w:marRight w:val="0"/>
      <w:marTop w:val="0"/>
      <w:marBottom w:val="0"/>
      <w:divBdr>
        <w:top w:val="none" w:sz="0" w:space="0" w:color="auto"/>
        <w:left w:val="none" w:sz="0" w:space="0" w:color="auto"/>
        <w:bottom w:val="none" w:sz="0" w:space="0" w:color="auto"/>
        <w:right w:val="none" w:sz="0" w:space="0" w:color="auto"/>
      </w:divBdr>
    </w:div>
    <w:div w:id="557475587">
      <w:bodyDiv w:val="1"/>
      <w:marLeft w:val="0"/>
      <w:marRight w:val="0"/>
      <w:marTop w:val="0"/>
      <w:marBottom w:val="0"/>
      <w:divBdr>
        <w:top w:val="none" w:sz="0" w:space="0" w:color="auto"/>
        <w:left w:val="none" w:sz="0" w:space="0" w:color="auto"/>
        <w:bottom w:val="none" w:sz="0" w:space="0" w:color="auto"/>
        <w:right w:val="none" w:sz="0" w:space="0" w:color="auto"/>
      </w:divBdr>
      <w:divsChild>
        <w:div w:id="464740375">
          <w:marLeft w:val="720"/>
          <w:marRight w:val="0"/>
          <w:marTop w:val="115"/>
          <w:marBottom w:val="0"/>
          <w:divBdr>
            <w:top w:val="none" w:sz="0" w:space="0" w:color="auto"/>
            <w:left w:val="none" w:sz="0" w:space="0" w:color="auto"/>
            <w:bottom w:val="none" w:sz="0" w:space="0" w:color="auto"/>
            <w:right w:val="none" w:sz="0" w:space="0" w:color="auto"/>
          </w:divBdr>
        </w:div>
        <w:div w:id="1332417019">
          <w:marLeft w:val="720"/>
          <w:marRight w:val="0"/>
          <w:marTop w:val="115"/>
          <w:marBottom w:val="0"/>
          <w:divBdr>
            <w:top w:val="none" w:sz="0" w:space="0" w:color="auto"/>
            <w:left w:val="none" w:sz="0" w:space="0" w:color="auto"/>
            <w:bottom w:val="none" w:sz="0" w:space="0" w:color="auto"/>
            <w:right w:val="none" w:sz="0" w:space="0" w:color="auto"/>
          </w:divBdr>
        </w:div>
        <w:div w:id="458763260">
          <w:marLeft w:val="835"/>
          <w:marRight w:val="0"/>
          <w:marTop w:val="96"/>
          <w:marBottom w:val="0"/>
          <w:divBdr>
            <w:top w:val="none" w:sz="0" w:space="0" w:color="auto"/>
            <w:left w:val="none" w:sz="0" w:space="0" w:color="auto"/>
            <w:bottom w:val="none" w:sz="0" w:space="0" w:color="auto"/>
            <w:right w:val="none" w:sz="0" w:space="0" w:color="auto"/>
          </w:divBdr>
        </w:div>
        <w:div w:id="933515806">
          <w:marLeft w:val="835"/>
          <w:marRight w:val="0"/>
          <w:marTop w:val="96"/>
          <w:marBottom w:val="0"/>
          <w:divBdr>
            <w:top w:val="none" w:sz="0" w:space="0" w:color="auto"/>
            <w:left w:val="none" w:sz="0" w:space="0" w:color="auto"/>
            <w:bottom w:val="none" w:sz="0" w:space="0" w:color="auto"/>
            <w:right w:val="none" w:sz="0" w:space="0" w:color="auto"/>
          </w:divBdr>
        </w:div>
        <w:div w:id="1264263309">
          <w:marLeft w:val="835"/>
          <w:marRight w:val="0"/>
          <w:marTop w:val="96"/>
          <w:marBottom w:val="0"/>
          <w:divBdr>
            <w:top w:val="none" w:sz="0" w:space="0" w:color="auto"/>
            <w:left w:val="none" w:sz="0" w:space="0" w:color="auto"/>
            <w:bottom w:val="none" w:sz="0" w:space="0" w:color="auto"/>
            <w:right w:val="none" w:sz="0" w:space="0" w:color="auto"/>
          </w:divBdr>
        </w:div>
        <w:div w:id="1890721764">
          <w:marLeft w:val="720"/>
          <w:marRight w:val="0"/>
          <w:marTop w:val="115"/>
          <w:marBottom w:val="0"/>
          <w:divBdr>
            <w:top w:val="none" w:sz="0" w:space="0" w:color="auto"/>
            <w:left w:val="none" w:sz="0" w:space="0" w:color="auto"/>
            <w:bottom w:val="none" w:sz="0" w:space="0" w:color="auto"/>
            <w:right w:val="none" w:sz="0" w:space="0" w:color="auto"/>
          </w:divBdr>
        </w:div>
        <w:div w:id="1393388836">
          <w:marLeft w:val="720"/>
          <w:marRight w:val="0"/>
          <w:marTop w:val="115"/>
          <w:marBottom w:val="0"/>
          <w:divBdr>
            <w:top w:val="none" w:sz="0" w:space="0" w:color="auto"/>
            <w:left w:val="none" w:sz="0" w:space="0" w:color="auto"/>
            <w:bottom w:val="none" w:sz="0" w:space="0" w:color="auto"/>
            <w:right w:val="none" w:sz="0" w:space="0" w:color="auto"/>
          </w:divBdr>
        </w:div>
        <w:div w:id="2117290420">
          <w:marLeft w:val="835"/>
          <w:marRight w:val="0"/>
          <w:marTop w:val="96"/>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729621358">
      <w:bodyDiv w:val="1"/>
      <w:marLeft w:val="0"/>
      <w:marRight w:val="0"/>
      <w:marTop w:val="0"/>
      <w:marBottom w:val="0"/>
      <w:divBdr>
        <w:top w:val="none" w:sz="0" w:space="0" w:color="auto"/>
        <w:left w:val="none" w:sz="0" w:space="0" w:color="auto"/>
        <w:bottom w:val="none" w:sz="0" w:space="0" w:color="auto"/>
        <w:right w:val="none" w:sz="0" w:space="0" w:color="auto"/>
      </w:divBdr>
      <w:divsChild>
        <w:div w:id="2001276216">
          <w:marLeft w:val="274"/>
          <w:marRight w:val="0"/>
          <w:marTop w:val="86"/>
          <w:marBottom w:val="0"/>
          <w:divBdr>
            <w:top w:val="none" w:sz="0" w:space="0" w:color="auto"/>
            <w:left w:val="none" w:sz="0" w:space="0" w:color="auto"/>
            <w:bottom w:val="none" w:sz="0" w:space="0" w:color="auto"/>
            <w:right w:val="none" w:sz="0" w:space="0" w:color="auto"/>
          </w:divBdr>
        </w:div>
        <w:div w:id="1253318685">
          <w:marLeft w:val="835"/>
          <w:marRight w:val="0"/>
          <w:marTop w:val="67"/>
          <w:marBottom w:val="0"/>
          <w:divBdr>
            <w:top w:val="none" w:sz="0" w:space="0" w:color="auto"/>
            <w:left w:val="none" w:sz="0" w:space="0" w:color="auto"/>
            <w:bottom w:val="none" w:sz="0" w:space="0" w:color="auto"/>
            <w:right w:val="none" w:sz="0" w:space="0" w:color="auto"/>
          </w:divBdr>
        </w:div>
        <w:div w:id="1248735807">
          <w:marLeft w:val="835"/>
          <w:marRight w:val="0"/>
          <w:marTop w:val="67"/>
          <w:marBottom w:val="0"/>
          <w:divBdr>
            <w:top w:val="none" w:sz="0" w:space="0" w:color="auto"/>
            <w:left w:val="none" w:sz="0" w:space="0" w:color="auto"/>
            <w:bottom w:val="none" w:sz="0" w:space="0" w:color="auto"/>
            <w:right w:val="none" w:sz="0" w:space="0" w:color="auto"/>
          </w:divBdr>
        </w:div>
        <w:div w:id="1856261026">
          <w:marLeft w:val="835"/>
          <w:marRight w:val="0"/>
          <w:marTop w:val="67"/>
          <w:marBottom w:val="0"/>
          <w:divBdr>
            <w:top w:val="none" w:sz="0" w:space="0" w:color="auto"/>
            <w:left w:val="none" w:sz="0" w:space="0" w:color="auto"/>
            <w:bottom w:val="none" w:sz="0" w:space="0" w:color="auto"/>
            <w:right w:val="none" w:sz="0" w:space="0" w:color="auto"/>
          </w:divBdr>
        </w:div>
      </w:divsChild>
    </w:div>
    <w:div w:id="1086533206">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42317411">
      <w:bodyDiv w:val="1"/>
      <w:marLeft w:val="0"/>
      <w:marRight w:val="0"/>
      <w:marTop w:val="0"/>
      <w:marBottom w:val="0"/>
      <w:divBdr>
        <w:top w:val="none" w:sz="0" w:space="0" w:color="auto"/>
        <w:left w:val="none" w:sz="0" w:space="0" w:color="auto"/>
        <w:bottom w:val="none" w:sz="0" w:space="0" w:color="auto"/>
        <w:right w:val="none" w:sz="0" w:space="0" w:color="auto"/>
      </w:divBdr>
      <w:divsChild>
        <w:div w:id="320623684">
          <w:marLeft w:val="274"/>
          <w:marRight w:val="0"/>
          <w:marTop w:val="86"/>
          <w:marBottom w:val="0"/>
          <w:divBdr>
            <w:top w:val="none" w:sz="0" w:space="0" w:color="auto"/>
            <w:left w:val="none" w:sz="0" w:space="0" w:color="auto"/>
            <w:bottom w:val="none" w:sz="0" w:space="0" w:color="auto"/>
            <w:right w:val="none" w:sz="0" w:space="0" w:color="auto"/>
          </w:divBdr>
        </w:div>
      </w:divsChild>
    </w:div>
    <w:div w:id="1506361728">
      <w:bodyDiv w:val="1"/>
      <w:marLeft w:val="0"/>
      <w:marRight w:val="0"/>
      <w:marTop w:val="0"/>
      <w:marBottom w:val="0"/>
      <w:divBdr>
        <w:top w:val="none" w:sz="0" w:space="0" w:color="auto"/>
        <w:left w:val="none" w:sz="0" w:space="0" w:color="auto"/>
        <w:bottom w:val="none" w:sz="0" w:space="0" w:color="auto"/>
        <w:right w:val="none" w:sz="0" w:space="0" w:color="auto"/>
      </w:divBdr>
    </w:div>
    <w:div w:id="1714382406">
      <w:bodyDiv w:val="1"/>
      <w:marLeft w:val="0"/>
      <w:marRight w:val="0"/>
      <w:marTop w:val="0"/>
      <w:marBottom w:val="0"/>
      <w:divBdr>
        <w:top w:val="none" w:sz="0" w:space="0" w:color="auto"/>
        <w:left w:val="none" w:sz="0" w:space="0" w:color="auto"/>
        <w:bottom w:val="none" w:sz="0" w:space="0" w:color="auto"/>
        <w:right w:val="none" w:sz="0" w:space="0" w:color="auto"/>
      </w:divBdr>
      <w:divsChild>
        <w:div w:id="678316461">
          <w:marLeft w:val="274"/>
          <w:marRight w:val="0"/>
          <w:marTop w:val="86"/>
          <w:marBottom w:val="0"/>
          <w:divBdr>
            <w:top w:val="none" w:sz="0" w:space="0" w:color="auto"/>
            <w:left w:val="none" w:sz="0" w:space="0" w:color="auto"/>
            <w:bottom w:val="none" w:sz="0" w:space="0" w:color="auto"/>
            <w:right w:val="none" w:sz="0" w:space="0" w:color="auto"/>
          </w:divBdr>
        </w:div>
        <w:div w:id="601883721">
          <w:marLeft w:val="835"/>
          <w:marRight w:val="0"/>
          <w:marTop w:val="67"/>
          <w:marBottom w:val="0"/>
          <w:divBdr>
            <w:top w:val="none" w:sz="0" w:space="0" w:color="auto"/>
            <w:left w:val="none" w:sz="0" w:space="0" w:color="auto"/>
            <w:bottom w:val="none" w:sz="0" w:space="0" w:color="auto"/>
            <w:right w:val="none" w:sz="0" w:space="0" w:color="auto"/>
          </w:divBdr>
        </w:div>
      </w:divsChild>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85561038">
      <w:bodyDiv w:val="1"/>
      <w:marLeft w:val="0"/>
      <w:marRight w:val="0"/>
      <w:marTop w:val="0"/>
      <w:marBottom w:val="0"/>
      <w:divBdr>
        <w:top w:val="none" w:sz="0" w:space="0" w:color="auto"/>
        <w:left w:val="none" w:sz="0" w:space="0" w:color="auto"/>
        <w:bottom w:val="none" w:sz="0" w:space="0" w:color="auto"/>
        <w:right w:val="none" w:sz="0" w:space="0" w:color="auto"/>
      </w:divBdr>
    </w:div>
    <w:div w:id="193089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SAQRZK7RPU5V-1-2200</_dlc_DocId>
    <_dlc_DocIdUrl xmlns="08b2df90-05d3-4030-90d4-c9feeb4a1cd9">
      <Url>https://ericoll.internal.ericsson.com/sites/NSA/_layouts/DocIdRedir.aspx?ID=SAQRZK7RPU5V-1-2200</Url>
      <Description>SAQRZK7RPU5V-1-2200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1A747-3567-4216-BE3E-06537B5C6F69}">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9979F60-EB62-422F-878F-99E0A5AAE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03C50-009F-4186-9592-C8E08C4DF953}">
  <ds:schemaRefs>
    <ds:schemaRef ds:uri="Microsoft.SharePoint.Taxonomy.ContentTypeSync"/>
  </ds:schemaRefs>
</ds:datastoreItem>
</file>

<file path=customXml/itemProps4.xml><?xml version="1.0" encoding="utf-8"?>
<ds:datastoreItem xmlns:ds="http://schemas.openxmlformats.org/officeDocument/2006/customXml" ds:itemID="{2AE45DA4-6C61-4B8E-829D-91DB88B8AAA7}">
  <ds:schemaRefs>
    <ds:schemaRef ds:uri="http://schemas.microsoft.com/sharepoint/events"/>
  </ds:schemaRefs>
</ds:datastoreItem>
</file>

<file path=customXml/itemProps5.xml><?xml version="1.0" encoding="utf-8"?>
<ds:datastoreItem xmlns:ds="http://schemas.openxmlformats.org/officeDocument/2006/customXml" ds:itemID="{EF2AFD80-A9DE-411A-970E-76E5A9316695}">
  <ds:schemaRefs>
    <ds:schemaRef ds:uri="http://schemas.microsoft.com/sharepoint/v3/contenttype/forms"/>
  </ds:schemaRefs>
</ds:datastoreItem>
</file>

<file path=customXml/itemProps6.xml><?xml version="1.0" encoding="utf-8"?>
<ds:datastoreItem xmlns:ds="http://schemas.openxmlformats.org/officeDocument/2006/customXml" ds:itemID="{BB97627E-7565-4091-9A9C-E28C0A5FF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1735</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cp:lastPrinted>2016-05-04T08:07:00Z</cp:lastPrinted>
  <dcterms:created xsi:type="dcterms:W3CDTF">2016-08-12T19:27:00Z</dcterms:created>
  <dcterms:modified xsi:type="dcterms:W3CDTF">2016-08-12T19:27:00Z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7e1d274b-105d-4756-9074-6a786c3f02aa</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