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655AF" w14:textId="55AE76E2"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rsidR="008B74BA">
        <w:t>167053</w:t>
      </w:r>
    </w:p>
    <w:p w14:paraId="39D1DF0C" w14:textId="77777777" w:rsidR="00A85E54" w:rsidRPr="000833FA" w:rsidRDefault="00C75368" w:rsidP="00A85E54">
      <w:pPr>
        <w:pStyle w:val="Header"/>
        <w:rPr>
          <w:color w:val="000000"/>
        </w:rPr>
      </w:pPr>
      <w:r>
        <w:t>Gothenburg, Sweden, August 22 – 26, 2016</w:t>
      </w:r>
    </w:p>
    <w:p w14:paraId="4366930F" w14:textId="77777777" w:rsidR="00A85E54" w:rsidRPr="000833FA" w:rsidRDefault="00A85E54" w:rsidP="00A85E54">
      <w:pPr>
        <w:pStyle w:val="Header"/>
      </w:pPr>
    </w:p>
    <w:p w14:paraId="5124716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7E1E6249" w14:textId="77777777" w:rsidR="00FE5799" w:rsidRPr="00EE6641" w:rsidRDefault="00FE5799" w:rsidP="00FE5799">
      <w:pPr>
        <w:pStyle w:val="Header"/>
        <w:tabs>
          <w:tab w:val="clear" w:pos="4536"/>
          <w:tab w:val="left" w:pos="1800"/>
        </w:tabs>
      </w:pPr>
      <w:r w:rsidRPr="0003368D">
        <w:t>Title:</w:t>
      </w:r>
      <w:bookmarkStart w:id="1" w:name="Title"/>
      <w:bookmarkEnd w:id="1"/>
      <w:r w:rsidRPr="0003368D">
        <w:tab/>
      </w:r>
      <w:r w:rsidR="00037C51">
        <w:t xml:space="preserve">On </w:t>
      </w:r>
      <w:r w:rsidR="00793153">
        <w:t xml:space="preserve">the </w:t>
      </w:r>
      <w:r w:rsidR="00793153" w:rsidRPr="00EE6641">
        <w:t>number of HARQ processes</w:t>
      </w:r>
    </w:p>
    <w:p w14:paraId="6EAD98BB" w14:textId="4039096E" w:rsidR="00FE5799" w:rsidRPr="00EE6641" w:rsidRDefault="00FE5799" w:rsidP="00FE5799">
      <w:pPr>
        <w:pStyle w:val="Header"/>
        <w:tabs>
          <w:tab w:val="left" w:pos="1800"/>
        </w:tabs>
      </w:pPr>
      <w:r w:rsidRPr="00EE6641">
        <w:t>Agenda Item:</w:t>
      </w:r>
      <w:bookmarkStart w:id="2" w:name="Source"/>
      <w:bookmarkEnd w:id="2"/>
      <w:r w:rsidRPr="00EE6641">
        <w:tab/>
      </w:r>
      <w:r w:rsidR="00BA522B" w:rsidRPr="00EE6641">
        <w:t>8</w:t>
      </w:r>
      <w:r w:rsidR="00037C51" w:rsidRPr="00EE6641">
        <w:t>.1.</w:t>
      </w:r>
      <w:r w:rsidR="00EE6641" w:rsidRPr="00EE6641">
        <w:t>3</w:t>
      </w:r>
      <w:r w:rsidR="00037C51" w:rsidRPr="00EE6641">
        <w:t>.2</w:t>
      </w:r>
    </w:p>
    <w:p w14:paraId="14C934D9" w14:textId="77777777" w:rsidR="00FE5799" w:rsidRPr="0003368D" w:rsidRDefault="00FE5799" w:rsidP="00FE5799">
      <w:pPr>
        <w:pStyle w:val="Header"/>
        <w:tabs>
          <w:tab w:val="left" w:pos="1800"/>
        </w:tabs>
      </w:pPr>
      <w:r w:rsidRPr="00EE6641">
        <w:t>Document for:</w:t>
      </w:r>
      <w:r w:rsidRPr="00EE6641">
        <w:tab/>
      </w:r>
      <w:bookmarkStart w:id="3" w:name="DocumentFor"/>
      <w:bookmarkEnd w:id="3"/>
      <w:r w:rsidRPr="00EE6641">
        <w:t>Discussion and</w:t>
      </w:r>
      <w:r>
        <w:t xml:space="preserve"> Decision</w:t>
      </w:r>
    </w:p>
    <w:p w14:paraId="05FD2680" w14:textId="77777777" w:rsidR="00FE5799" w:rsidRPr="002100D2" w:rsidRDefault="00FE5799" w:rsidP="00FE5799">
      <w:pPr>
        <w:pBdr>
          <w:bottom w:val="single" w:sz="4" w:space="1" w:color="auto"/>
        </w:pBdr>
        <w:tabs>
          <w:tab w:val="left" w:pos="2552"/>
        </w:tabs>
      </w:pPr>
    </w:p>
    <w:p w14:paraId="5BBAC2C8" w14:textId="77777777" w:rsidR="00F8152C" w:rsidRDefault="00F8152C" w:rsidP="00F8152C">
      <w:pPr>
        <w:pStyle w:val="Heading1"/>
        <w:tabs>
          <w:tab w:val="clear" w:pos="4536"/>
          <w:tab w:val="num" w:pos="567"/>
        </w:tabs>
        <w:spacing w:before="180"/>
        <w:ind w:left="562" w:hanging="562"/>
      </w:pPr>
      <w:r>
        <w:t>Introduction</w:t>
      </w:r>
    </w:p>
    <w:p w14:paraId="26CF5B09" w14:textId="77777777" w:rsidR="000A7050" w:rsidRDefault="000A7050" w:rsidP="000A7050">
      <w:pPr>
        <w:pStyle w:val="BodyText"/>
      </w:pPr>
      <w:r>
        <w:t>NR is likely to support hybrid-ARQ with soft combining and incremental redundancy, both in downlink and uplink. The number of HARQ processes is therefore a valid question.</w:t>
      </w:r>
    </w:p>
    <w:p w14:paraId="7BE41CB7" w14:textId="77777777" w:rsidR="000A7050" w:rsidRDefault="000A7050" w:rsidP="000A7050">
      <w:pPr>
        <w:pStyle w:val="Heading1"/>
        <w:tabs>
          <w:tab w:val="clear" w:pos="4536"/>
          <w:tab w:val="num" w:pos="567"/>
        </w:tabs>
        <w:spacing w:before="180"/>
        <w:ind w:left="562" w:hanging="562"/>
      </w:pPr>
      <w:r>
        <w:t>Discussion</w:t>
      </w:r>
    </w:p>
    <w:p w14:paraId="792E9E60" w14:textId="77777777" w:rsidR="000A7050" w:rsidRDefault="000A7050" w:rsidP="000A7050">
      <w:pPr>
        <w:pStyle w:val="BodyText"/>
      </w:pPr>
      <w:r>
        <w:t xml:space="preserve">The number of HARQ processes is of interest for </w:t>
      </w:r>
    </w:p>
    <w:p w14:paraId="0C7EB97F" w14:textId="77777777" w:rsidR="000A7050" w:rsidRDefault="000A7050" w:rsidP="000A7050">
      <w:pPr>
        <w:pStyle w:val="BodyText"/>
        <w:numPr>
          <w:ilvl w:val="0"/>
          <w:numId w:val="13"/>
        </w:numPr>
      </w:pPr>
      <w:r>
        <w:t>control signaling design</w:t>
      </w:r>
    </w:p>
    <w:p w14:paraId="749EF0E9" w14:textId="77777777" w:rsidR="000A7050" w:rsidRPr="000A7050" w:rsidRDefault="000A7050" w:rsidP="000A7050">
      <w:pPr>
        <w:pStyle w:val="BodyText"/>
        <w:numPr>
          <w:ilvl w:val="0"/>
          <w:numId w:val="13"/>
        </w:numPr>
      </w:pPr>
      <w:proofErr w:type="gramStart"/>
      <w:r>
        <w:t>amount</w:t>
      </w:r>
      <w:proofErr w:type="gramEnd"/>
      <w:r>
        <w:t xml:space="preserve"> of buffer memory required in the receiver.</w:t>
      </w:r>
    </w:p>
    <w:p w14:paraId="108D0831" w14:textId="77777777" w:rsidR="000A7050" w:rsidRDefault="000A7050" w:rsidP="000A7050">
      <w:pPr>
        <w:pStyle w:val="BodyText"/>
      </w:pPr>
      <w:r>
        <w:t xml:space="preserve">From a downlink perspective, an as small number of HARQ processes as possible is desirable in order to minimize the amount of buffer memory with a single process being preferably from this perspective. </w:t>
      </w:r>
      <w:r w:rsidR="000D6B77">
        <w:t>Although</w:t>
      </w:r>
      <w:r>
        <w:t xml:space="preserve"> theoretically possible</w:t>
      </w:r>
      <w:r w:rsidR="000D6B77">
        <w:t xml:space="preserve"> in half-duplex operation (TDD)</w:t>
      </w:r>
      <w:r>
        <w:t xml:space="preserve">, assuming a </w:t>
      </w:r>
      <w:proofErr w:type="spellStart"/>
      <w:r>
        <w:t>eNodeB</w:t>
      </w:r>
      <w:proofErr w:type="spellEnd"/>
      <w:r>
        <w:t xml:space="preserve"> processing structure similar to the one in the UE and using back-to-back </w:t>
      </w:r>
      <w:r w:rsidR="000D6B77">
        <w:t>retransmissions</w:t>
      </w:r>
      <w:r>
        <w:t xml:space="preserve"> as illustrated in </w:t>
      </w:r>
      <w:r w:rsidR="000D6B77">
        <w:fldChar w:fldCharType="begin"/>
      </w:r>
      <w:r w:rsidR="000D6B77">
        <w:instrText xml:space="preserve"> REF _Ref458438155 \h </w:instrText>
      </w:r>
      <w:r w:rsidR="000D6B77">
        <w:fldChar w:fldCharType="separate"/>
      </w:r>
      <w:r w:rsidR="000D6B77">
        <w:t xml:space="preserve">Figure </w:t>
      </w:r>
      <w:r w:rsidR="000D6B77">
        <w:rPr>
          <w:noProof/>
        </w:rPr>
        <w:t>1</w:t>
      </w:r>
      <w:r w:rsidR="000D6B77">
        <w:fldChar w:fldCharType="end"/>
      </w:r>
      <w:r>
        <w:t>, it is not possible to use this as basis for the NR design for several reasons, for example:</w:t>
      </w:r>
    </w:p>
    <w:p w14:paraId="0D8008DC" w14:textId="77777777" w:rsidR="000A7050" w:rsidRDefault="000A7050" w:rsidP="000A7050">
      <w:pPr>
        <w:pStyle w:val="BodyText"/>
        <w:numPr>
          <w:ilvl w:val="0"/>
          <w:numId w:val="14"/>
        </w:numPr>
      </w:pPr>
      <w:r>
        <w:t xml:space="preserve">many deployments exploit remote radio units connected via CPRI, which adds to the overall latency, </w:t>
      </w:r>
    </w:p>
    <w:p w14:paraId="03E09739" w14:textId="77777777" w:rsidR="000A7050" w:rsidRDefault="000A7050" w:rsidP="000A7050">
      <w:pPr>
        <w:pStyle w:val="BodyText"/>
        <w:numPr>
          <w:ilvl w:val="0"/>
          <w:numId w:val="14"/>
        </w:numPr>
      </w:pPr>
      <w:r>
        <w:t>downlink transmissions, including retransmissions, are scheduled and the scheduling operation needs to be accounted for, and</w:t>
      </w:r>
    </w:p>
    <w:p w14:paraId="5A161B21" w14:textId="2B25EA88" w:rsidR="000A7050" w:rsidRDefault="000A7050" w:rsidP="000A7050">
      <w:pPr>
        <w:pStyle w:val="BodyText"/>
        <w:numPr>
          <w:ilvl w:val="0"/>
          <w:numId w:val="14"/>
        </w:numPr>
      </w:pPr>
      <w:r>
        <w:t>“</w:t>
      </w:r>
      <w:proofErr w:type="gramStart"/>
      <w:r>
        <w:t>immediate</w:t>
      </w:r>
      <w:proofErr w:type="gramEnd"/>
      <w:r>
        <w:t xml:space="preserve">” acknowledgements in TDD are not always possible </w:t>
      </w:r>
      <w:r w:rsidR="000D6B77">
        <w:fldChar w:fldCharType="begin"/>
      </w:r>
      <w:r w:rsidR="000D6B77">
        <w:instrText xml:space="preserve"> REF _Ref458022433 \r \h </w:instrText>
      </w:r>
      <w:r w:rsidR="000D6B77">
        <w:fldChar w:fldCharType="separate"/>
      </w:r>
      <w:r w:rsidR="000D6B77">
        <w:t>[1]</w:t>
      </w:r>
      <w:r w:rsidR="000D6B77">
        <w:fldChar w:fldCharType="end"/>
      </w:r>
      <w:r w:rsidR="00130034">
        <w:t>, e.g. in large cells</w:t>
      </w:r>
      <w:r w:rsidR="00976DF8">
        <w:t xml:space="preserve"> where a longer duration of the acknowledgement is required</w:t>
      </w:r>
      <w:r w:rsidR="00130034">
        <w:t xml:space="preserve"> or if coexistence with LTE FS2 is needed</w:t>
      </w:r>
      <w:r w:rsidR="000D6B77">
        <w:t>.</w:t>
      </w:r>
    </w:p>
    <w:p w14:paraId="1D1BAE63" w14:textId="77777777" w:rsidR="000D6B77" w:rsidRDefault="000D6B77" w:rsidP="000A7050">
      <w:pPr>
        <w:pStyle w:val="BodyText"/>
      </w:pPr>
      <w:r>
        <w:t>Furthermore, in case of FDD with contiguous transmission, at least two processes are required.</w:t>
      </w:r>
    </w:p>
    <w:p w14:paraId="49FDC6EF" w14:textId="0EF85AFC" w:rsidR="000D6B77" w:rsidRDefault="000D6B77" w:rsidP="000A7050">
      <w:pPr>
        <w:pStyle w:val="BodyText"/>
      </w:pPr>
      <w:r>
        <w:t>Limitations in the UE buffering capabilities can instead be handled such that the larger the number of HARQ processes, the smaller the amount of soft bits that can be stored between retransmissions. In essence, the network has to “pay the price” in soft combining performance in case of slower retransmissions.</w:t>
      </w:r>
    </w:p>
    <w:p w14:paraId="27C596CB" w14:textId="77777777" w:rsidR="000D6B77" w:rsidRDefault="000D6B77" w:rsidP="000D6B77">
      <w:pPr>
        <w:pStyle w:val="BodyText"/>
        <w:keepNext/>
      </w:pPr>
      <w:r w:rsidRPr="000D6B77">
        <w:rPr>
          <w:noProof/>
          <w:lang w:val="sv-SE" w:eastAsia="sv-SE"/>
        </w:rPr>
        <w:drawing>
          <wp:inline distT="0" distB="0" distL="0" distR="0" wp14:anchorId="78BF66CC" wp14:editId="61D78689">
            <wp:extent cx="4261449" cy="116618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1541" cy="1166214"/>
                    </a:xfrm>
                    <a:prstGeom prst="rect">
                      <a:avLst/>
                    </a:prstGeom>
                    <a:noFill/>
                    <a:ln>
                      <a:noFill/>
                    </a:ln>
                  </pic:spPr>
                </pic:pic>
              </a:graphicData>
            </a:graphic>
          </wp:inline>
        </w:drawing>
      </w:r>
    </w:p>
    <w:p w14:paraId="6236A6A9" w14:textId="77777777" w:rsidR="000D6B77" w:rsidRDefault="000D6B77" w:rsidP="000D6B77">
      <w:pPr>
        <w:pStyle w:val="Caption"/>
        <w:jc w:val="both"/>
      </w:pPr>
      <w:bookmarkStart w:id="4" w:name="_Ref458438155"/>
      <w:r>
        <w:t xml:space="preserve">Figure </w:t>
      </w:r>
      <w:r>
        <w:fldChar w:fldCharType="begin"/>
      </w:r>
      <w:r>
        <w:instrText xml:space="preserve"> SEQ Figure \* ARABIC </w:instrText>
      </w:r>
      <w:r>
        <w:fldChar w:fldCharType="separate"/>
      </w:r>
      <w:r>
        <w:rPr>
          <w:noProof/>
        </w:rPr>
        <w:t>1</w:t>
      </w:r>
      <w:r>
        <w:fldChar w:fldCharType="end"/>
      </w:r>
      <w:bookmarkEnd w:id="4"/>
      <w:r>
        <w:t>: Back-to-back retransmissions in case of TDD.</w:t>
      </w:r>
    </w:p>
    <w:p w14:paraId="65A49515" w14:textId="77777777" w:rsidR="000D6B77" w:rsidRDefault="000D6B77" w:rsidP="000D6B77">
      <w:pPr>
        <w:pStyle w:val="Heading1"/>
        <w:tabs>
          <w:tab w:val="clear" w:pos="4536"/>
          <w:tab w:val="num" w:pos="567"/>
        </w:tabs>
        <w:spacing w:before="180"/>
        <w:ind w:left="562" w:hanging="562"/>
      </w:pPr>
      <w:r>
        <w:t>Conclusion</w:t>
      </w:r>
    </w:p>
    <w:p w14:paraId="75F831D9" w14:textId="77777777" w:rsidR="000A7050" w:rsidRDefault="000D6B77" w:rsidP="000A7050">
      <w:pPr>
        <w:pStyle w:val="BodyText"/>
      </w:pPr>
      <w:r>
        <w:t>More than one HARQ process is needed in the downlink.</w:t>
      </w:r>
    </w:p>
    <w:p w14:paraId="4D9D4F43" w14:textId="77777777" w:rsidR="000A7050" w:rsidRPr="00510266" w:rsidRDefault="000A7050" w:rsidP="000A7050">
      <w:pPr>
        <w:pStyle w:val="Heading1"/>
        <w:tabs>
          <w:tab w:val="clear" w:pos="4536"/>
          <w:tab w:val="num" w:pos="567"/>
        </w:tabs>
        <w:ind w:left="567"/>
      </w:pPr>
      <w:r w:rsidRPr="00510266">
        <w:t>References</w:t>
      </w:r>
    </w:p>
    <w:p w14:paraId="26F699E1" w14:textId="211394F8" w:rsidR="000A7050" w:rsidRPr="00BF3CBC" w:rsidRDefault="000A7050" w:rsidP="000A7050">
      <w:pPr>
        <w:numPr>
          <w:ilvl w:val="0"/>
          <w:numId w:val="2"/>
        </w:numPr>
        <w:jc w:val="both"/>
        <w:rPr>
          <w:szCs w:val="20"/>
          <w:lang w:val="it-IT"/>
        </w:rPr>
      </w:pPr>
      <w:bookmarkStart w:id="5" w:name="_Ref458022433"/>
      <w:r>
        <w:t>R1-</w:t>
      </w:r>
      <w:r w:rsidR="00976DF8">
        <w:t>167039</w:t>
      </w:r>
      <w:r>
        <w:t>, “</w:t>
      </w:r>
      <w:r w:rsidRPr="000A7050">
        <w:t>On different HARQ reporting modes</w:t>
      </w:r>
      <w:r>
        <w:t>”, Ericsson</w:t>
      </w:r>
      <w:bookmarkEnd w:id="5"/>
    </w:p>
    <w:p w14:paraId="5D7A0CBA" w14:textId="77777777" w:rsidR="000A7050" w:rsidRPr="00A44E49" w:rsidRDefault="000A7050" w:rsidP="000A7050">
      <w:pPr>
        <w:pStyle w:val="BodyText"/>
        <w:rPr>
          <w:lang w:val="it-IT"/>
        </w:rPr>
      </w:pPr>
    </w:p>
    <w:p w14:paraId="2E471A0E" w14:textId="77777777" w:rsidR="000A7050" w:rsidRPr="000A7050" w:rsidRDefault="000A7050" w:rsidP="000A7050">
      <w:pPr>
        <w:pStyle w:val="BodyText"/>
        <w:rPr>
          <w:lang w:val="it-IT"/>
        </w:rPr>
      </w:pPr>
    </w:p>
    <w:sectPr w:rsidR="000A7050" w:rsidRPr="000A70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9111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80304" w14:textId="77777777" w:rsidR="003B388E" w:rsidRDefault="003B388E">
      <w:r>
        <w:separator/>
      </w:r>
    </w:p>
  </w:endnote>
  <w:endnote w:type="continuationSeparator" w:id="0">
    <w:p w14:paraId="60F4DAC3" w14:textId="77777777" w:rsidR="003B388E" w:rsidRDefault="003B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5CB2F" w14:textId="77777777"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2D346" w14:textId="77777777"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53BE0" w14:textId="77777777"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2A44A" w14:textId="77777777" w:rsidR="003B388E" w:rsidRDefault="003B388E">
      <w:r>
        <w:separator/>
      </w:r>
    </w:p>
  </w:footnote>
  <w:footnote w:type="continuationSeparator" w:id="0">
    <w:p w14:paraId="0FEE26E2" w14:textId="77777777" w:rsidR="003B388E" w:rsidRDefault="003B3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2BFAA" w14:textId="77777777"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71D84" w14:textId="77777777" w:rsidR="004D4F57" w:rsidRDefault="003B388E"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92B43" w14:textId="77777777"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02C"/>
    <w:multiLevelType w:val="hybridMultilevel"/>
    <w:tmpl w:val="8F4243C2"/>
    <w:lvl w:ilvl="0" w:tplc="064E218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C9E0316"/>
    <w:multiLevelType w:val="hybridMultilevel"/>
    <w:tmpl w:val="13201B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98D598E"/>
    <w:multiLevelType w:val="hybridMultilevel"/>
    <w:tmpl w:val="B2B8F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5"/>
  </w:num>
  <w:num w:numId="3">
    <w:abstractNumId w:val="3"/>
  </w:num>
  <w:num w:numId="4">
    <w:abstractNumId w:val="7"/>
  </w:num>
  <w:num w:numId="5">
    <w:abstractNumId w:val="4"/>
  </w:num>
  <w:num w:numId="6">
    <w:abstractNumId w:val="1"/>
  </w:num>
  <w:num w:numId="7">
    <w:abstractNumId w:val="10"/>
  </w:num>
  <w:num w:numId="8">
    <w:abstractNumId w:val="12"/>
  </w:num>
  <w:num w:numId="9">
    <w:abstractNumId w:val="9"/>
  </w:num>
  <w:num w:numId="10">
    <w:abstractNumId w:val="8"/>
  </w:num>
  <w:num w:numId="11">
    <w:abstractNumId w:val="6"/>
  </w:num>
  <w:num w:numId="12">
    <w:abstractNumId w:val="0"/>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95971"/>
    <w:rsid w:val="000A258F"/>
    <w:rsid w:val="000A7050"/>
    <w:rsid w:val="000D6B77"/>
    <w:rsid w:val="000F4AF3"/>
    <w:rsid w:val="00112E18"/>
    <w:rsid w:val="00114B6A"/>
    <w:rsid w:val="00130034"/>
    <w:rsid w:val="00141448"/>
    <w:rsid w:val="00162455"/>
    <w:rsid w:val="00175D32"/>
    <w:rsid w:val="0017779E"/>
    <w:rsid w:val="00195FDC"/>
    <w:rsid w:val="0021013F"/>
    <w:rsid w:val="00264E3E"/>
    <w:rsid w:val="00290099"/>
    <w:rsid w:val="00334853"/>
    <w:rsid w:val="003602B7"/>
    <w:rsid w:val="00377B9E"/>
    <w:rsid w:val="003875A3"/>
    <w:rsid w:val="003B388E"/>
    <w:rsid w:val="003D24B3"/>
    <w:rsid w:val="00422F7B"/>
    <w:rsid w:val="00463305"/>
    <w:rsid w:val="004B57FD"/>
    <w:rsid w:val="004C6604"/>
    <w:rsid w:val="004F3A03"/>
    <w:rsid w:val="00505D01"/>
    <w:rsid w:val="0054011B"/>
    <w:rsid w:val="0055264E"/>
    <w:rsid w:val="0058278C"/>
    <w:rsid w:val="00592A75"/>
    <w:rsid w:val="005C439D"/>
    <w:rsid w:val="0061336B"/>
    <w:rsid w:val="006A286A"/>
    <w:rsid w:val="0075384C"/>
    <w:rsid w:val="00793153"/>
    <w:rsid w:val="007A01C0"/>
    <w:rsid w:val="007A7B94"/>
    <w:rsid w:val="00834DE7"/>
    <w:rsid w:val="00835FF4"/>
    <w:rsid w:val="008B23D4"/>
    <w:rsid w:val="008B74BA"/>
    <w:rsid w:val="00926002"/>
    <w:rsid w:val="00976DF8"/>
    <w:rsid w:val="009A240E"/>
    <w:rsid w:val="009A6BB8"/>
    <w:rsid w:val="009B2E48"/>
    <w:rsid w:val="00A47015"/>
    <w:rsid w:val="00A81AA1"/>
    <w:rsid w:val="00A85E54"/>
    <w:rsid w:val="00AA13EF"/>
    <w:rsid w:val="00B368D9"/>
    <w:rsid w:val="00B96B6C"/>
    <w:rsid w:val="00BA2CDD"/>
    <w:rsid w:val="00BA522B"/>
    <w:rsid w:val="00BA76BC"/>
    <w:rsid w:val="00C11DBF"/>
    <w:rsid w:val="00C1560A"/>
    <w:rsid w:val="00C326A6"/>
    <w:rsid w:val="00C61496"/>
    <w:rsid w:val="00C75368"/>
    <w:rsid w:val="00C93774"/>
    <w:rsid w:val="00CA6DE0"/>
    <w:rsid w:val="00CE28B2"/>
    <w:rsid w:val="00CF2225"/>
    <w:rsid w:val="00CF67BE"/>
    <w:rsid w:val="00D02349"/>
    <w:rsid w:val="00D03119"/>
    <w:rsid w:val="00D04257"/>
    <w:rsid w:val="00D26287"/>
    <w:rsid w:val="00D45749"/>
    <w:rsid w:val="00DA110D"/>
    <w:rsid w:val="00DA289B"/>
    <w:rsid w:val="00DB4258"/>
    <w:rsid w:val="00DE3421"/>
    <w:rsid w:val="00E63D88"/>
    <w:rsid w:val="00EC6CA5"/>
    <w:rsid w:val="00EE6641"/>
    <w:rsid w:val="00F14168"/>
    <w:rsid w:val="00F37D49"/>
    <w:rsid w:val="00F621B3"/>
    <w:rsid w:val="00F8152C"/>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A67CA-42EB-478C-9973-37E8DF3F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2016-08-12T12:53:00Z</dcterms:created>
  <dcterms:modified xsi:type="dcterms:W3CDTF">2016-08-12T12:53:00Z</dcterms:modified>
</cp:coreProperties>
</file>