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54" w:rsidRPr="00446F9D" w:rsidRDefault="00A85E54" w:rsidP="00A85E54">
      <w:pPr>
        <w:pStyle w:val="Header"/>
        <w:tabs>
          <w:tab w:val="clear" w:pos="4536"/>
        </w:tabs>
        <w:rPr>
          <w:i/>
        </w:rPr>
      </w:pPr>
      <w:bookmarkStart w:id="0" w:name="_GoBack"/>
      <w:bookmarkEnd w:id="0"/>
      <w:r w:rsidRPr="00446F9D">
        <w:t>TSG-RAN WG1 #</w:t>
      </w:r>
      <w:r w:rsidR="0056282E">
        <w:t>86</w:t>
      </w:r>
      <w:r w:rsidRPr="00446F9D">
        <w:tab/>
        <w:t>R1-</w:t>
      </w:r>
      <w:r>
        <w:t>16</w:t>
      </w:r>
      <w:r w:rsidR="003A3E47">
        <w:t>7040</w:t>
      </w:r>
    </w:p>
    <w:p w:rsidR="00A85E54" w:rsidRPr="000833FA" w:rsidRDefault="0056282E" w:rsidP="00A85E54">
      <w:pPr>
        <w:pStyle w:val="Header"/>
        <w:rPr>
          <w:color w:val="000000"/>
        </w:rPr>
      </w:pPr>
      <w:r>
        <w:t>Gothenburg, Sweden, August 22 – 26,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037C51" w:rsidRPr="00E220C0">
        <w:t xml:space="preserve">On </w:t>
      </w:r>
      <w:r w:rsidR="0056282E" w:rsidRPr="00E220C0">
        <w:t>scalable numerology</w:t>
      </w:r>
    </w:p>
    <w:p w:rsidR="00FE5799" w:rsidRPr="00E220C0" w:rsidRDefault="00FE5799" w:rsidP="00FE5799">
      <w:pPr>
        <w:pStyle w:val="Header"/>
        <w:tabs>
          <w:tab w:val="left" w:pos="1800"/>
        </w:tabs>
      </w:pPr>
      <w:r w:rsidRPr="00E220C0">
        <w:t>Agenda Item:</w:t>
      </w:r>
      <w:bookmarkStart w:id="2" w:name="Source"/>
      <w:bookmarkEnd w:id="2"/>
      <w:r w:rsidRPr="00E220C0">
        <w:tab/>
      </w:r>
      <w:r w:rsidR="00D516DD" w:rsidRPr="00E220C0">
        <w:t>8</w:t>
      </w:r>
      <w:r w:rsidR="008F77A7" w:rsidRPr="00E220C0">
        <w:t>.1.3</w:t>
      </w:r>
      <w:r w:rsidR="0056282E" w:rsidRPr="00E220C0">
        <w:t>.1</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56282E" w:rsidRDefault="0056282E" w:rsidP="0056282E">
      <w:pPr>
        <w:pStyle w:val="BodyText"/>
      </w:pPr>
      <w:r>
        <w:t>At RAN1#85, a scalable numerology with the subcarrier spacing given by</w:t>
      </w:r>
    </w:p>
    <w:p w:rsidR="0056282E" w:rsidRDefault="00BF7E13" w:rsidP="0056282E">
      <w:pPr>
        <w:pStyle w:val="BodyText"/>
      </w:pPr>
      <m:oMathPara>
        <m:oMath>
          <m:sSub>
            <m:sSubPr>
              <m:ctrlPr>
                <w:rPr>
                  <w:rFonts w:ascii="Cambria Math" w:hAnsi="Cambria Math"/>
                  <w:i/>
                </w:rPr>
              </m:ctrlPr>
            </m:sSubPr>
            <m:e>
              <m:r>
                <w:rPr>
                  <w:rFonts w:ascii="Cambria Math" w:hAnsi="Cambria Math"/>
                </w:rPr>
                <m:t>f</m:t>
              </m:r>
            </m:e>
            <m:sub>
              <m:r>
                <m:rPr>
                  <m:sty m:val="p"/>
                </m:rPr>
                <w:rPr>
                  <w:rFonts w:ascii="Cambria Math" w:hAnsi="Cambria Math"/>
                </w:rPr>
                <m:t>sc</m:t>
              </m:r>
            </m:sub>
          </m:sSub>
          <m:r>
            <w:rPr>
              <w:rFonts w:ascii="Cambria Math" w:hAnsi="Cambria Math"/>
            </w:rPr>
            <m:t>=15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 </m:t>
          </m:r>
          <m:r>
            <m:rPr>
              <m:sty m:val="p"/>
            </m:rPr>
            <w:rPr>
              <w:rFonts w:ascii="Cambria Math" w:hAnsi="Cambria Math"/>
            </w:rPr>
            <m:t>kHz</m:t>
          </m:r>
        </m:oMath>
      </m:oMathPara>
    </w:p>
    <w:p w:rsidR="0056282E" w:rsidRPr="00AE3947" w:rsidRDefault="0056282E" w:rsidP="0056282E">
      <w:pPr>
        <w:pStyle w:val="BodyText"/>
      </w:pPr>
      <w:proofErr w:type="gramStart"/>
      <w:r>
        <w:t>was</w:t>
      </w:r>
      <w:proofErr w:type="gramEnd"/>
      <w:r>
        <w:t xml:space="preserve"> </w:t>
      </w:r>
      <w:r w:rsidR="00AE3947">
        <w:t>agreed.</w:t>
      </w:r>
      <w:r w:rsidR="009E70EF">
        <w:t xml:space="preserve"> Furthermore, for </w:t>
      </w:r>
      <w:r w:rsidR="009E70EF">
        <w:rPr>
          <w:i/>
        </w:rPr>
        <w:t>n</w:t>
      </w:r>
      <w:r w:rsidR="009E70EF">
        <w:t xml:space="preserve">=0, the OFDM symbol boundaries are aligned with the LTE </w:t>
      </w:r>
      <w:r w:rsidR="00A3059E">
        <w:t xml:space="preserve">symbol boundaries assuming </w:t>
      </w:r>
      <w:r w:rsidR="009E70EF">
        <w:t xml:space="preserve">for normal cyclic prefix. </w:t>
      </w:r>
      <w:r w:rsidR="00AE3947">
        <w:t xml:space="preserve"> However, </w:t>
      </w:r>
      <w:r w:rsidR="009E70EF">
        <w:t xml:space="preserve">other than </w:t>
      </w:r>
      <w:r w:rsidR="009E70EF" w:rsidRPr="00A3059E">
        <w:rPr>
          <w:i/>
        </w:rPr>
        <w:t>n</w:t>
      </w:r>
      <w:r w:rsidR="009E70EF">
        <w:t xml:space="preserve">=0, </w:t>
      </w:r>
      <w:r w:rsidR="00AE3947" w:rsidRPr="009E70EF">
        <w:t>the</w:t>
      </w:r>
      <w:r w:rsidR="00AE3947">
        <w:t xml:space="preserve"> set of values for </w:t>
      </w:r>
      <w:r w:rsidR="00AE3947">
        <w:rPr>
          <w:i/>
        </w:rPr>
        <w:t>n</w:t>
      </w:r>
      <w:r w:rsidR="00AE3947">
        <w:t xml:space="preserve"> has not been </w:t>
      </w:r>
      <w:r w:rsidR="009E70EF">
        <w:t>agreed upon</w:t>
      </w:r>
      <w:r w:rsidR="00AE3947">
        <w:t>.</w:t>
      </w:r>
    </w:p>
    <w:p w:rsidR="00FE5799" w:rsidRDefault="00037C51" w:rsidP="00FE5799">
      <w:pPr>
        <w:pStyle w:val="Heading1"/>
        <w:spacing w:before="180"/>
        <w:ind w:left="562" w:hanging="562"/>
      </w:pPr>
      <w:r>
        <w:t>Discussion</w:t>
      </w:r>
    </w:p>
    <w:p w:rsidR="00A3059E" w:rsidRDefault="00A3059E" w:rsidP="00A3059E">
      <w:pPr>
        <w:pStyle w:val="BodyText"/>
        <w:numPr>
          <w:ilvl w:val="0"/>
          <w:numId w:val="10"/>
        </w:numPr>
      </w:pPr>
      <m:oMath>
        <m:r>
          <w:rPr>
            <w:rFonts w:ascii="Cambria Math" w:hAnsi="Cambria Math"/>
          </w:rPr>
          <m:t>n=-2</m:t>
        </m:r>
      </m:oMath>
      <w:r>
        <w:br/>
      </w:r>
      <w:proofErr w:type="gramStart"/>
      <w:r>
        <w:t>A lower</w:t>
      </w:r>
      <w:proofErr w:type="gramEnd"/>
      <w:r>
        <w:t xml:space="preserve"> subcarrier spacing than 15 kHz (and a correspondingly longer cyclic prefix) is beneficial to support MBSFN transmission as well as uplink transmissions where perfect timing synchronization is not achievable. Such lower subcarrier spacing can be achieved by choosing negative values of </w:t>
      </w:r>
      <w:r w:rsidRPr="00A3059E">
        <w:rPr>
          <w:i/>
        </w:rPr>
        <w:t>n</w:t>
      </w:r>
      <w:r>
        <w:t xml:space="preserve">.  For example, </w:t>
      </w:r>
      <m:oMath>
        <m:r>
          <w:rPr>
            <w:rFonts w:ascii="Cambria Math" w:hAnsi="Cambria Math"/>
          </w:rPr>
          <m:t>n=-2</m:t>
        </m:r>
      </m:oMath>
      <w:r>
        <w:t xml:space="preserve"> results in a subcarrier spacing of 3.75 </w:t>
      </w:r>
      <w:proofErr w:type="gramStart"/>
      <w:r>
        <w:t>kHz</w:t>
      </w:r>
      <w:proofErr w:type="gramEnd"/>
      <w:r>
        <w:t xml:space="preserve"> which is in the same range as the subcarrier spacings used in various digital broadcast standards such as DVB, as well as being in line with NB-IoT. Hen</w:t>
      </w:r>
      <w:proofErr w:type="spellStart"/>
      <w:r>
        <w:t>ce</w:t>
      </w:r>
      <w:proofErr w:type="spellEnd"/>
      <w:r>
        <w:t xml:space="preserve">, </w:t>
      </w:r>
      <m:oMath>
        <m:r>
          <w:rPr>
            <w:rFonts w:ascii="Cambria Math" w:hAnsi="Cambria Math"/>
          </w:rPr>
          <m:t>n=-2</m:t>
        </m:r>
      </m:oMath>
      <w:r>
        <w:t xml:space="preserve"> should be included in the set of scale factors. </w:t>
      </w:r>
    </w:p>
    <w:p w:rsidR="00EA172F" w:rsidRPr="00214784" w:rsidRDefault="00EA172F" w:rsidP="00E57CED">
      <w:pPr>
        <w:pStyle w:val="BodyText"/>
        <w:numPr>
          <w:ilvl w:val="0"/>
          <w:numId w:val="10"/>
        </w:numPr>
      </w:pPr>
      <m:oMath>
        <m:r>
          <w:rPr>
            <w:rFonts w:ascii="Cambria Math" w:hAnsi="Cambria Math"/>
          </w:rPr>
          <m:t>n=0</m:t>
        </m:r>
      </m:oMath>
      <w:r w:rsidR="00E57CED">
        <w:br/>
      </w:r>
      <w:r>
        <w:t>Already part of the working assumption.</w:t>
      </w:r>
    </w:p>
    <w:p w:rsidR="009E70EF" w:rsidRDefault="00A3059E" w:rsidP="009E70EF">
      <w:pPr>
        <w:pStyle w:val="BodyText"/>
        <w:numPr>
          <w:ilvl w:val="0"/>
          <w:numId w:val="10"/>
        </w:numPr>
      </w:pPr>
      <m:oMath>
        <m:r>
          <w:rPr>
            <w:rFonts w:ascii="Cambria Math" w:hAnsi="Cambria Math"/>
          </w:rPr>
          <m:t>n=1</m:t>
        </m:r>
      </m:oMath>
      <w:r>
        <w:br/>
      </w:r>
      <w:r w:rsidR="009E70EF">
        <w:t xml:space="preserve">In many scenarios the LTE cyclic prefix of 4.7 µs is unnecessarily large and a cyclic prefix of around 2 µs is found to be sufficient even for relatively large cell sizes </w:t>
      </w:r>
      <w:r w:rsidR="009E70EF">
        <w:fldChar w:fldCharType="begin"/>
      </w:r>
      <w:r w:rsidR="009E70EF">
        <w:instrText xml:space="preserve"> REF _Ref449604093 \r \h </w:instrText>
      </w:r>
      <w:r w:rsidR="009E70EF">
        <w:fldChar w:fldCharType="separate"/>
      </w:r>
      <w:r w:rsidR="009E70EF">
        <w:t>[1]</w:t>
      </w:r>
      <w:r w:rsidR="009E70EF">
        <w:fldChar w:fldCharType="end"/>
      </w:r>
      <w:r w:rsidR="009E70EF">
        <w:t>.</w:t>
      </w:r>
      <w:r w:rsidR="002D0AB6">
        <w:t xml:space="preserve"> </w:t>
      </w:r>
      <w:r w:rsidR="009E70EF">
        <w:t xml:space="preserve">Hence, </w:t>
      </w:r>
      <m:oMath>
        <m:r>
          <w:rPr>
            <w:rFonts w:ascii="Cambria Math" w:hAnsi="Cambria Math"/>
          </w:rPr>
          <m:t>n=1</m:t>
        </m:r>
      </m:oMath>
      <w:r w:rsidR="009E70EF">
        <w:t xml:space="preserve"> </w:t>
      </w:r>
      <w:r w:rsidR="00A41E84">
        <w:t>should be inclu</w:t>
      </w:r>
      <w:r w:rsidR="002D0AB6">
        <w:t>ded in the set of scale factors, enabling larger carrier bandwidth as a given FFT size and a lower latency than LTE.</w:t>
      </w:r>
    </w:p>
    <w:p w:rsidR="00A41E84" w:rsidRDefault="00A3059E" w:rsidP="00A3059E">
      <w:pPr>
        <w:pStyle w:val="BodyText"/>
        <w:numPr>
          <w:ilvl w:val="0"/>
          <w:numId w:val="10"/>
        </w:numPr>
      </w:pPr>
      <m:oMath>
        <m:r>
          <w:rPr>
            <w:rFonts w:ascii="Cambria Math" w:hAnsi="Cambria Math"/>
          </w:rPr>
          <m:t xml:space="preserve">n=2 </m:t>
        </m:r>
        <m:r>
          <m:rPr>
            <m:sty m:val="p"/>
          </m:rPr>
          <w:rPr>
            <w:rFonts w:ascii="Cambria Math" w:hAnsi="Cambria Math"/>
          </w:rPr>
          <m:t>and/or</m:t>
        </m:r>
        <m:r>
          <w:rPr>
            <w:rFonts w:ascii="Cambria Math" w:hAnsi="Cambria Math"/>
          </w:rPr>
          <m:t xml:space="preserve"> n=3</m:t>
        </m:r>
      </m:oMath>
      <w:r>
        <w:br/>
      </w:r>
      <w:r w:rsidR="00A41E84">
        <w:t xml:space="preserve">At higher carrier frequencies, </w:t>
      </w:r>
      <w:r w:rsidR="002D0AB6">
        <w:t>higher</w:t>
      </w:r>
      <w:r w:rsidR="00A41E84">
        <w:t xml:space="preserve"> subcarrier spacing is beneficial from a phase-noise perspective. </w:t>
      </w:r>
      <w:r w:rsidR="002D0AB6">
        <w:t xml:space="preserve">Furthermore, at higher frequencies a larger carrier bandwidth than the LTE’s 20 MHz is feasible, favoring a larger subcarrier spacing given a fixed FFT size. Finally, in local-area deployments a cyclic prefix around 1 µs or less is sufficient. Hence, </w:t>
      </w:r>
      <m:oMath>
        <m:r>
          <w:rPr>
            <w:rFonts w:ascii="Cambria Math" w:hAnsi="Cambria Math"/>
          </w:rPr>
          <m:t>n=2</m:t>
        </m:r>
      </m:oMath>
      <w:r w:rsidR="002D0AB6">
        <w:t xml:space="preserve"> and</w:t>
      </w:r>
      <w:r w:rsidR="00A757B8">
        <w:t>/or</w:t>
      </w:r>
      <w:r w:rsidR="002D0AB6">
        <w:t xml:space="preserve"> </w:t>
      </w:r>
      <m:oMath>
        <m:r>
          <w:rPr>
            <w:rFonts w:ascii="Cambria Math" w:hAnsi="Cambria Math"/>
          </w:rPr>
          <m:t>n=3</m:t>
        </m:r>
      </m:oMath>
      <w:r w:rsidR="002D0AB6">
        <w:t xml:space="preserve"> should be included in the set of scale factors.</w:t>
      </w:r>
    </w:p>
    <w:p w:rsidR="00214784" w:rsidRPr="00214784" w:rsidRDefault="00A3059E" w:rsidP="009E70EF">
      <w:pPr>
        <w:pStyle w:val="BodyText"/>
        <w:numPr>
          <w:ilvl w:val="0"/>
          <w:numId w:val="10"/>
        </w:numPr>
      </w:pPr>
      <m:oMath>
        <m:r>
          <w:rPr>
            <w:rFonts w:ascii="Cambria Math" w:hAnsi="Cambria Math"/>
          </w:rPr>
          <m:t>n&gt;3</m:t>
        </m:r>
      </m:oMath>
      <w:r>
        <w:br/>
      </w:r>
      <w:r w:rsidR="00214784">
        <w:t xml:space="preserve">For very high carrier frequencies, above e.g. 30 GHz, even higher subcarrier </w:t>
      </w:r>
      <w:proofErr w:type="spellStart"/>
      <w:r w:rsidR="00214784">
        <w:t>spacings</w:t>
      </w:r>
      <w:proofErr w:type="spellEnd"/>
      <w:r w:rsidR="00214784">
        <w:t xml:space="preserve"> than what is </w:t>
      </w:r>
      <w:proofErr w:type="gramStart"/>
      <w:r w:rsidR="002E6A70">
        <w:t>achieved</w:t>
      </w:r>
      <w:proofErr w:type="gramEnd"/>
      <w:r w:rsidR="00214784">
        <w:t xml:space="preserve"> with </w:t>
      </w:r>
      <w:r w:rsidR="00214784" w:rsidRPr="00A3059E">
        <w:rPr>
          <w:i/>
        </w:rPr>
        <w:t>n=</w:t>
      </w:r>
      <w:r w:rsidR="009F4079">
        <w:t>3</w:t>
      </w:r>
      <w:r w:rsidR="00214784">
        <w:t xml:space="preserve"> may provide benefits. It is thus important not to preclude even higher values </w:t>
      </w:r>
      <w:proofErr w:type="gramStart"/>
      <w:r>
        <w:t xml:space="preserve">than </w:t>
      </w:r>
      <w:proofErr w:type="gramEnd"/>
      <m:oMath>
        <m:r>
          <w:rPr>
            <w:rFonts w:ascii="Cambria Math" w:hAnsi="Cambria Math"/>
          </w:rPr>
          <m:t>n=3</m:t>
        </m:r>
      </m:oMath>
      <w:r w:rsidR="00214784">
        <w:t>.</w:t>
      </w:r>
    </w:p>
    <w:p w:rsidR="00FE5799" w:rsidRDefault="00FE5799" w:rsidP="00BA76BC">
      <w:pPr>
        <w:pStyle w:val="Heading1"/>
        <w:spacing w:before="180"/>
        <w:ind w:left="562" w:hanging="562"/>
      </w:pPr>
      <w:r>
        <w:t>Conclusion</w:t>
      </w:r>
    </w:p>
    <w:p w:rsidR="00214784" w:rsidRPr="00214784" w:rsidRDefault="00214784" w:rsidP="00214784">
      <w:pPr>
        <w:pStyle w:val="BodyText"/>
      </w:pPr>
      <w:r>
        <w:t xml:space="preserve">NR should support at </w:t>
      </w:r>
      <w:proofErr w:type="gramStart"/>
      <w:r>
        <w:t xml:space="preserve">least </w:t>
      </w:r>
      <w:proofErr w:type="gramEnd"/>
      <m:oMath>
        <m:r>
          <w:rPr>
            <w:rFonts w:ascii="Cambria Math" w:hAnsi="Cambria Math"/>
          </w:rPr>
          <m:t>n∈</m:t>
        </m:r>
        <m:d>
          <m:dPr>
            <m:begChr m:val="{"/>
            <m:endChr m:val="}"/>
            <m:ctrlPr>
              <w:rPr>
                <w:rFonts w:ascii="Cambria Math" w:hAnsi="Cambria Math"/>
                <w:i/>
              </w:rPr>
            </m:ctrlPr>
          </m:dPr>
          <m:e>
            <m:r>
              <w:rPr>
                <w:rFonts w:ascii="Cambria Math" w:hAnsi="Cambria Math"/>
              </w:rPr>
              <m:t>-2, 0, 1, 2, 3</m:t>
            </m:r>
          </m:e>
        </m:d>
      </m:oMath>
      <w:r w:rsidR="00815566">
        <w:t xml:space="preserve">, </w:t>
      </w:r>
      <w:r w:rsidR="00A3059E">
        <w:t xml:space="preserve">corresponding </w:t>
      </w:r>
      <w:r w:rsidR="00815566">
        <w:t xml:space="preserve">to subcarrier </w:t>
      </w:r>
      <w:proofErr w:type="spellStart"/>
      <w:r w:rsidR="00815566">
        <w:t>spacings</w:t>
      </w:r>
      <w:proofErr w:type="spellEnd"/>
      <w:r w:rsidR="00815566">
        <w:t xml:space="preserve"> of 3.75, 15, 30, 60, 120 kHz.</w:t>
      </w:r>
      <w:r>
        <w:t xml:space="preserve"> </w:t>
      </w:r>
    </w:p>
    <w:p w:rsidR="00BA76BC" w:rsidRDefault="009E70EF" w:rsidP="009E70EF">
      <w:pPr>
        <w:pStyle w:val="Heading1"/>
        <w:spacing w:before="180"/>
        <w:ind w:left="562" w:hanging="562"/>
      </w:pPr>
      <w:r>
        <w:t>References</w:t>
      </w:r>
    </w:p>
    <w:p w:rsidR="009E70EF" w:rsidRPr="00425E34" w:rsidRDefault="009E70EF" w:rsidP="009E70EF">
      <w:pPr>
        <w:numPr>
          <w:ilvl w:val="0"/>
          <w:numId w:val="2"/>
        </w:numPr>
        <w:jc w:val="both"/>
        <w:rPr>
          <w:szCs w:val="20"/>
          <w:lang w:val="it-IT"/>
        </w:rPr>
      </w:pPr>
      <w:bookmarkStart w:id="4" w:name="_Ref445818173"/>
      <w:bookmarkStart w:id="5" w:name="_Ref449604093"/>
      <w:r>
        <w:t xml:space="preserve">R1-164621, </w:t>
      </w:r>
      <w:bookmarkEnd w:id="4"/>
      <w:r>
        <w:t>“</w:t>
      </w:r>
      <w:r w:rsidRPr="009E70EF">
        <w:t>On a 30kHz subcarrier spacing option for NR</w:t>
      </w:r>
      <w:r>
        <w:t>”, Ericsson</w:t>
      </w:r>
      <w:bookmarkEnd w:id="5"/>
    </w:p>
    <w:p w:rsidR="009E70EF" w:rsidRPr="009E70EF" w:rsidRDefault="009E70EF" w:rsidP="009E70EF">
      <w:pPr>
        <w:pStyle w:val="BodyText"/>
        <w:rPr>
          <w:lang w:val="it-IT"/>
        </w:rPr>
      </w:pPr>
    </w:p>
    <w:sectPr w:rsidR="009E70EF" w:rsidRPr="009E70E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E13" w:rsidRDefault="00BF7E13">
      <w:r>
        <w:separator/>
      </w:r>
    </w:p>
  </w:endnote>
  <w:endnote w:type="continuationSeparator" w:id="0">
    <w:p w:rsidR="00BF7E13" w:rsidRDefault="00BF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E13" w:rsidRDefault="00BF7E13">
      <w:r>
        <w:separator/>
      </w:r>
    </w:p>
  </w:footnote>
  <w:footnote w:type="continuationSeparator" w:id="0">
    <w:p w:rsidR="00BF7E13" w:rsidRDefault="00BF7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BF7E13"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3"/>
  </w:num>
  <w:num w:numId="3">
    <w:abstractNumId w:val="1"/>
  </w:num>
  <w:num w:numId="4">
    <w:abstractNumId w:val="4"/>
  </w:num>
  <w:num w:numId="5">
    <w:abstractNumId w:val="2"/>
  </w:num>
  <w:num w:numId="6">
    <w:abstractNumId w:val="0"/>
  </w:num>
  <w:num w:numId="7">
    <w:abstractNumId w:val="5"/>
  </w:num>
  <w:num w:numId="8">
    <w:abstractNumId w:val="7"/>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A258F"/>
    <w:rsid w:val="00112E18"/>
    <w:rsid w:val="00114B6A"/>
    <w:rsid w:val="00141448"/>
    <w:rsid w:val="00175D32"/>
    <w:rsid w:val="00191E60"/>
    <w:rsid w:val="001B4110"/>
    <w:rsid w:val="001C5CE9"/>
    <w:rsid w:val="0021013F"/>
    <w:rsid w:val="00214784"/>
    <w:rsid w:val="00290099"/>
    <w:rsid w:val="002D0AB6"/>
    <w:rsid w:val="002E6A70"/>
    <w:rsid w:val="00304706"/>
    <w:rsid w:val="003875A3"/>
    <w:rsid w:val="003A3E47"/>
    <w:rsid w:val="00422F7B"/>
    <w:rsid w:val="004B57FD"/>
    <w:rsid w:val="0054164C"/>
    <w:rsid w:val="00541E43"/>
    <w:rsid w:val="0055264E"/>
    <w:rsid w:val="0056282E"/>
    <w:rsid w:val="005C439D"/>
    <w:rsid w:val="0061336B"/>
    <w:rsid w:val="0062673F"/>
    <w:rsid w:val="006A286A"/>
    <w:rsid w:val="006B271B"/>
    <w:rsid w:val="0075384C"/>
    <w:rsid w:val="007A01C0"/>
    <w:rsid w:val="00815566"/>
    <w:rsid w:val="00834DE7"/>
    <w:rsid w:val="008B23D4"/>
    <w:rsid w:val="008F77A7"/>
    <w:rsid w:val="0097401A"/>
    <w:rsid w:val="009A6BB8"/>
    <w:rsid w:val="009B2E48"/>
    <w:rsid w:val="009E70EF"/>
    <w:rsid w:val="009F4079"/>
    <w:rsid w:val="00A3059E"/>
    <w:rsid w:val="00A41E84"/>
    <w:rsid w:val="00A47015"/>
    <w:rsid w:val="00A757B8"/>
    <w:rsid w:val="00A81AA1"/>
    <w:rsid w:val="00A85E54"/>
    <w:rsid w:val="00AA0A42"/>
    <w:rsid w:val="00AA13EF"/>
    <w:rsid w:val="00AE3947"/>
    <w:rsid w:val="00B368D9"/>
    <w:rsid w:val="00BA2CDD"/>
    <w:rsid w:val="00BA3D9B"/>
    <w:rsid w:val="00BA76BC"/>
    <w:rsid w:val="00BF7E13"/>
    <w:rsid w:val="00C1560A"/>
    <w:rsid w:val="00C326A6"/>
    <w:rsid w:val="00C50B3C"/>
    <w:rsid w:val="00C61496"/>
    <w:rsid w:val="00C93774"/>
    <w:rsid w:val="00CE02E7"/>
    <w:rsid w:val="00CE28B2"/>
    <w:rsid w:val="00CF2225"/>
    <w:rsid w:val="00CF67BE"/>
    <w:rsid w:val="00D02349"/>
    <w:rsid w:val="00D03119"/>
    <w:rsid w:val="00D04257"/>
    <w:rsid w:val="00D516DD"/>
    <w:rsid w:val="00DA110D"/>
    <w:rsid w:val="00DE3421"/>
    <w:rsid w:val="00E0407B"/>
    <w:rsid w:val="00E220C0"/>
    <w:rsid w:val="00E57CED"/>
    <w:rsid w:val="00E63D88"/>
    <w:rsid w:val="00E83054"/>
    <w:rsid w:val="00EA148A"/>
    <w:rsid w:val="00EA172F"/>
    <w:rsid w:val="00F37D49"/>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2E67C-B18F-4BF5-8EC8-A2B80355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2016-08-12T12:48:00Z</dcterms:created>
  <dcterms:modified xsi:type="dcterms:W3CDTF">2016-08-12T12:48:00Z</dcterms:modified>
</cp:coreProperties>
</file>