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34" w:rsidRPr="008B1083" w:rsidRDefault="002D5934" w:rsidP="002D5934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lang w:eastAsia="ko-KR"/>
        </w:rPr>
      </w:pPr>
      <w:bookmarkStart w:id="0" w:name="OLE_LINK1"/>
      <w:bookmarkStart w:id="1" w:name="OLE_LINK2"/>
      <w:r w:rsidRPr="008B1083">
        <w:rPr>
          <w:rFonts w:ascii="Times New Roman" w:hAnsi="Times New Roman"/>
          <w:b/>
        </w:rPr>
        <w:t xml:space="preserve">3GPP TSG </w:t>
      </w:r>
      <w:r w:rsidRPr="008B1083">
        <w:rPr>
          <w:rFonts w:ascii="Times New Roman" w:hAnsi="Times New Roman"/>
          <w:b/>
          <w:lang w:eastAsia="ko-KR"/>
        </w:rPr>
        <w:t>RAN WG1 #</w:t>
      </w:r>
      <w:proofErr w:type="gramStart"/>
      <w:r w:rsidRPr="008B1083">
        <w:rPr>
          <w:rFonts w:ascii="Times New Roman" w:hAnsi="Times New Roman"/>
          <w:b/>
          <w:lang w:eastAsia="ko-KR"/>
        </w:rPr>
        <w:t>8</w:t>
      </w:r>
      <w:r w:rsidR="00535720" w:rsidRPr="008B1083">
        <w:rPr>
          <w:rFonts w:ascii="Times New Roman" w:hAnsi="Times New Roman"/>
          <w:b/>
          <w:lang w:eastAsia="ko-KR"/>
        </w:rPr>
        <w:t>5</w:t>
      </w:r>
      <w:r w:rsidRPr="008B1083">
        <w:rPr>
          <w:rFonts w:ascii="Times New Roman" w:hAnsi="Times New Roman"/>
          <w:b/>
          <w:lang w:eastAsia="ko-KR"/>
        </w:rPr>
        <w:tab/>
      </w:r>
      <w:r w:rsidR="006329A8" w:rsidRPr="006329A8">
        <w:rPr>
          <w:rFonts w:ascii="Times New Roman" w:hAnsi="Times New Roman"/>
          <w:b/>
          <w:i/>
          <w:lang w:eastAsia="ko-KR"/>
        </w:rPr>
        <w:t>R1-164804</w:t>
      </w:r>
      <w:proofErr w:type="gramEnd"/>
    </w:p>
    <w:bookmarkEnd w:id="0"/>
    <w:bookmarkEnd w:id="1"/>
    <w:p w:rsidR="002D5934" w:rsidRPr="008B1083" w:rsidRDefault="00535720" w:rsidP="002D5934">
      <w:pPr>
        <w:pStyle w:val="CRCoverPage"/>
        <w:spacing w:after="240"/>
        <w:outlineLvl w:val="0"/>
        <w:rPr>
          <w:rFonts w:ascii="Times New Roman" w:hAnsi="Times New Roman"/>
          <w:b/>
          <w:noProof/>
        </w:rPr>
      </w:pPr>
      <w:r w:rsidRPr="008B1083">
        <w:rPr>
          <w:rFonts w:ascii="Times New Roman" w:hAnsi="Times New Roman"/>
          <w:b/>
          <w:noProof/>
          <w:lang w:eastAsia="ko-KR"/>
        </w:rPr>
        <w:t>Najing</w:t>
      </w:r>
      <w:r w:rsidR="002D5934" w:rsidRPr="008B1083">
        <w:rPr>
          <w:rFonts w:ascii="Times New Roman" w:hAnsi="Times New Roman"/>
          <w:b/>
          <w:noProof/>
          <w:lang w:eastAsia="ko-KR"/>
        </w:rPr>
        <w:t xml:space="preserve">, </w:t>
      </w:r>
      <w:r w:rsidRPr="008B1083">
        <w:rPr>
          <w:rFonts w:ascii="Times New Roman" w:hAnsi="Times New Roman"/>
          <w:b/>
          <w:noProof/>
          <w:lang w:eastAsia="ko-KR"/>
        </w:rPr>
        <w:t>China</w:t>
      </w:r>
      <w:r w:rsidR="002D5934" w:rsidRPr="008B1083">
        <w:rPr>
          <w:rFonts w:ascii="Times New Roman" w:hAnsi="Times New Roman"/>
          <w:b/>
          <w:noProof/>
          <w:lang w:eastAsia="ko-KR"/>
        </w:rPr>
        <w:t xml:space="preserve">, </w:t>
      </w:r>
      <w:r w:rsidRPr="008B1083">
        <w:rPr>
          <w:rFonts w:ascii="Times New Roman" w:hAnsi="Times New Roman"/>
          <w:b/>
          <w:noProof/>
          <w:lang w:eastAsia="ko-KR"/>
        </w:rPr>
        <w:t xml:space="preserve">23rd </w:t>
      </w:r>
      <w:r w:rsidR="002D5934" w:rsidRPr="008B1083">
        <w:rPr>
          <w:rFonts w:ascii="Times New Roman" w:hAnsi="Times New Roman"/>
          <w:b/>
          <w:noProof/>
          <w:lang w:eastAsia="ko-KR"/>
        </w:rPr>
        <w:t xml:space="preserve">– </w:t>
      </w:r>
      <w:r w:rsidRPr="008B1083">
        <w:rPr>
          <w:rFonts w:ascii="Times New Roman" w:hAnsi="Times New Roman"/>
          <w:b/>
          <w:noProof/>
          <w:lang w:eastAsia="ko-KR"/>
        </w:rPr>
        <w:t>27</w:t>
      </w:r>
      <w:r w:rsidR="002D5934" w:rsidRPr="008B1083">
        <w:rPr>
          <w:rFonts w:ascii="Times New Roman" w:hAnsi="Times New Roman"/>
          <w:b/>
          <w:noProof/>
          <w:lang w:eastAsia="ko-KR"/>
        </w:rPr>
        <w:t xml:space="preserve">th </w:t>
      </w:r>
      <w:r w:rsidRPr="008B1083">
        <w:rPr>
          <w:rFonts w:ascii="Times New Roman" w:hAnsi="Times New Roman"/>
          <w:b/>
          <w:noProof/>
          <w:lang w:eastAsia="ko-KR"/>
        </w:rPr>
        <w:t>May</w:t>
      </w:r>
      <w:r w:rsidR="002D5934" w:rsidRPr="008B1083">
        <w:rPr>
          <w:rFonts w:ascii="Times New Roman" w:hAnsi="Times New Roman"/>
          <w:b/>
          <w:noProof/>
          <w:lang w:eastAsia="ko-KR"/>
        </w:rPr>
        <w:t xml:space="preserve"> 2016</w:t>
      </w:r>
    </w:p>
    <w:p w:rsidR="002D5934" w:rsidRPr="008B1083" w:rsidRDefault="002D5934" w:rsidP="00535720">
      <w:pPr>
        <w:tabs>
          <w:tab w:val="left" w:pos="1985"/>
        </w:tabs>
        <w:ind w:left="1700" w:hangingChars="850" w:hanging="1700"/>
        <w:rPr>
          <w:lang w:eastAsia="ko-KR"/>
        </w:rPr>
      </w:pPr>
      <w:r w:rsidRPr="008B1083">
        <w:rPr>
          <w:b/>
        </w:rPr>
        <w:t>Agenda item:</w:t>
      </w:r>
      <w:r w:rsidRPr="008B1083">
        <w:tab/>
      </w:r>
      <w:bookmarkStart w:id="2" w:name="Source"/>
      <w:bookmarkEnd w:id="2"/>
      <w:r w:rsidR="00B71D6D" w:rsidRPr="00B71D6D">
        <w:rPr>
          <w:lang w:eastAsia="ko-KR"/>
        </w:rPr>
        <w:t>7.2.1</w:t>
      </w:r>
      <w:bookmarkStart w:id="3" w:name="_GoBack"/>
      <w:bookmarkEnd w:id="3"/>
    </w:p>
    <w:p w:rsidR="002D5934" w:rsidRPr="008B1083" w:rsidRDefault="002D5934" w:rsidP="00535720">
      <w:pPr>
        <w:tabs>
          <w:tab w:val="left" w:pos="1985"/>
        </w:tabs>
        <w:ind w:left="1700" w:hangingChars="850" w:hanging="1700"/>
        <w:rPr>
          <w:lang w:eastAsia="ko-KR"/>
        </w:rPr>
      </w:pPr>
      <w:r w:rsidRPr="008B1083">
        <w:rPr>
          <w:b/>
        </w:rPr>
        <w:t xml:space="preserve">Source: </w:t>
      </w:r>
      <w:r w:rsidRPr="008B1083">
        <w:rPr>
          <w:b/>
        </w:rPr>
        <w:tab/>
      </w:r>
      <w:r w:rsidRPr="008B1083">
        <w:t>Samsung</w:t>
      </w:r>
    </w:p>
    <w:p w:rsidR="002D5934" w:rsidRPr="00E454E6" w:rsidRDefault="002D5934" w:rsidP="00535720">
      <w:pPr>
        <w:tabs>
          <w:tab w:val="left" w:pos="1985"/>
        </w:tabs>
        <w:ind w:left="1700" w:hangingChars="850" w:hanging="1700"/>
        <w:rPr>
          <w:lang w:eastAsia="ko-KR"/>
        </w:rPr>
      </w:pPr>
      <w:r w:rsidRPr="008B1083">
        <w:rPr>
          <w:b/>
        </w:rPr>
        <w:t xml:space="preserve">Title: </w:t>
      </w:r>
      <w:r w:rsidRPr="008B1083">
        <w:rPr>
          <w:b/>
        </w:rPr>
        <w:tab/>
      </w:r>
      <w:r w:rsidR="00E454E6" w:rsidRPr="00E454E6">
        <w:t>Discussion on recommended split of low and high penetration loss for NR</w:t>
      </w:r>
    </w:p>
    <w:p w:rsidR="002D5934" w:rsidRPr="008B1083" w:rsidRDefault="002D5934" w:rsidP="00535720">
      <w:pPr>
        <w:pBdr>
          <w:bottom w:val="single" w:sz="6" w:space="1" w:color="auto"/>
        </w:pBdr>
        <w:tabs>
          <w:tab w:val="left" w:pos="1985"/>
        </w:tabs>
        <w:ind w:left="1700" w:right="-442" w:hangingChars="850" w:hanging="1700"/>
        <w:rPr>
          <w:lang w:eastAsia="ko-KR"/>
        </w:rPr>
      </w:pPr>
      <w:r w:rsidRPr="008B1083">
        <w:rPr>
          <w:b/>
        </w:rPr>
        <w:t>Document for:</w:t>
      </w:r>
      <w:r w:rsidRPr="008B1083">
        <w:tab/>
      </w:r>
      <w:bookmarkStart w:id="4" w:name="DocumentFor"/>
      <w:bookmarkEnd w:id="4"/>
      <w:r w:rsidRPr="008B1083">
        <w:t>Discussion</w:t>
      </w:r>
      <w:r w:rsidRPr="008B1083">
        <w:rPr>
          <w:lang w:eastAsia="ko-KR"/>
        </w:rPr>
        <w:t xml:space="preserve"> and Decision</w:t>
      </w:r>
    </w:p>
    <w:p w:rsidR="002D5934" w:rsidRPr="002024AA" w:rsidRDefault="002D5934" w:rsidP="002D5934">
      <w:pPr>
        <w:pStyle w:val="Heading1"/>
        <w:rPr>
          <w:rFonts w:ascii="Times New Roman" w:hAnsi="Times New Roman"/>
          <w:b/>
          <w:sz w:val="22"/>
          <w:szCs w:val="20"/>
        </w:rPr>
      </w:pPr>
      <w:r w:rsidRPr="002024AA">
        <w:rPr>
          <w:rFonts w:ascii="Times New Roman" w:hAnsi="Times New Roman"/>
          <w:b/>
          <w:sz w:val="22"/>
          <w:szCs w:val="20"/>
        </w:rPr>
        <w:t>Introduction</w:t>
      </w:r>
    </w:p>
    <w:p w:rsidR="00AA4759" w:rsidRPr="008B1083" w:rsidRDefault="00535720" w:rsidP="00AA4759">
      <w:pPr>
        <w:pStyle w:val="BodyText"/>
        <w:rPr>
          <w:rFonts w:ascii="Times New Roman" w:eastAsia="SimSun" w:hAnsi="Times New Roman"/>
          <w:szCs w:val="20"/>
          <w:lang w:val="en-US" w:eastAsia="zh-CN"/>
        </w:rPr>
      </w:pPr>
      <w:r w:rsidRPr="008B1083">
        <w:rPr>
          <w:rFonts w:ascii="Times New Roman" w:hAnsi="Times New Roman"/>
          <w:szCs w:val="20"/>
        </w:rPr>
        <w:t xml:space="preserve">In </w:t>
      </w:r>
      <w:r w:rsidRPr="008B1083">
        <w:rPr>
          <w:rFonts w:ascii="Times New Roman" w:hAnsi="Times New Roman"/>
          <w:szCs w:val="20"/>
        </w:rPr>
        <w:fldChar w:fldCharType="begin"/>
      </w:r>
      <w:r w:rsidRPr="008B1083">
        <w:rPr>
          <w:rFonts w:ascii="Times New Roman" w:hAnsi="Times New Roman"/>
          <w:szCs w:val="20"/>
        </w:rPr>
        <w:instrText xml:space="preserve"> REF _Ref447007752 \n \h </w:instrText>
      </w:r>
      <w:r w:rsidRPr="008B1083">
        <w:rPr>
          <w:rFonts w:ascii="Times New Roman" w:hAnsi="Times New Roman"/>
        </w:rPr>
        <w:instrText xml:space="preserve"> \* MERGEFORMAT </w:instrText>
      </w:r>
      <w:r w:rsidRPr="008B1083">
        <w:rPr>
          <w:rFonts w:ascii="Times New Roman" w:hAnsi="Times New Roman"/>
          <w:szCs w:val="20"/>
        </w:rPr>
      </w:r>
      <w:r w:rsidRPr="008B1083">
        <w:rPr>
          <w:rFonts w:ascii="Times New Roman" w:hAnsi="Times New Roman"/>
          <w:szCs w:val="20"/>
        </w:rPr>
        <w:fldChar w:fldCharType="separate"/>
      </w:r>
      <w:r w:rsidRPr="008B1083">
        <w:rPr>
          <w:rFonts w:ascii="Times New Roman" w:hAnsi="Times New Roman"/>
          <w:szCs w:val="20"/>
        </w:rPr>
        <w:t>[1]</w:t>
      </w:r>
      <w:r w:rsidRPr="008B1083">
        <w:rPr>
          <w:rFonts w:ascii="Times New Roman" w:hAnsi="Times New Roman"/>
          <w:szCs w:val="20"/>
        </w:rPr>
        <w:fldChar w:fldCharType="end"/>
      </w:r>
      <w:r w:rsidRPr="008B1083">
        <w:rPr>
          <w:rFonts w:ascii="Times New Roman" w:hAnsi="Times New Roman"/>
          <w:szCs w:val="20"/>
        </w:rPr>
        <w:t xml:space="preserve">, penetration loss model is agreed, where </w:t>
      </w:r>
      <w:r w:rsidRPr="008B1083">
        <w:rPr>
          <w:rFonts w:ascii="Times New Roman" w:hAnsi="Times New Roman"/>
        </w:rPr>
        <w:t xml:space="preserve">a low-loss and a high-loss model are introduced to capture </w:t>
      </w:r>
      <w:r w:rsidR="00AA4759" w:rsidRPr="008B1083">
        <w:rPr>
          <w:rFonts w:ascii="Times New Roman" w:hAnsi="Times New Roman"/>
        </w:rPr>
        <w:t>two</w:t>
      </w:r>
      <w:r w:rsidRPr="008B1083">
        <w:rPr>
          <w:rFonts w:ascii="Times New Roman" w:hAnsi="Times New Roman"/>
        </w:rPr>
        <w:t xml:space="preserve"> types of </w:t>
      </w:r>
      <w:r w:rsidR="00AA4759" w:rsidRPr="008B1083">
        <w:rPr>
          <w:rFonts w:ascii="Times New Roman" w:hAnsi="Times New Roman"/>
        </w:rPr>
        <w:t xml:space="preserve">composition of </w:t>
      </w:r>
      <w:r w:rsidRPr="008B1083">
        <w:rPr>
          <w:rFonts w:ascii="Times New Roman" w:hAnsi="Times New Roman"/>
        </w:rPr>
        <w:t xml:space="preserve">building </w:t>
      </w:r>
      <w:r w:rsidR="00AA4759" w:rsidRPr="008B1083">
        <w:rPr>
          <w:rFonts w:ascii="Times New Roman" w:hAnsi="Times New Roman"/>
        </w:rPr>
        <w:t>material.</w:t>
      </w:r>
      <w:r w:rsidRPr="008B1083">
        <w:rPr>
          <w:rFonts w:ascii="Times New Roman" w:hAnsi="Times New Roman"/>
          <w:szCs w:val="20"/>
        </w:rPr>
        <w:t xml:space="preserve"> </w:t>
      </w:r>
      <w:r w:rsidR="00AA4759" w:rsidRPr="008B1083">
        <w:rPr>
          <w:rFonts w:ascii="Times New Roman" w:eastAsia="SimSun" w:hAnsi="Times New Roman"/>
          <w:szCs w:val="20"/>
          <w:lang w:val="en-US" w:eastAsia="zh-CN"/>
        </w:rPr>
        <w:t xml:space="preserve">This contribution proposes details on usage of the two types of penetration loss in simulation.  </w:t>
      </w:r>
    </w:p>
    <w:p w:rsidR="002D5934" w:rsidRPr="002024AA" w:rsidRDefault="00AA4759" w:rsidP="002D5934">
      <w:pPr>
        <w:pStyle w:val="Heading1"/>
        <w:rPr>
          <w:rFonts w:ascii="Times New Roman" w:hAnsi="Times New Roman"/>
          <w:b/>
          <w:sz w:val="22"/>
          <w:szCs w:val="20"/>
        </w:rPr>
      </w:pPr>
      <w:r w:rsidRPr="002024AA">
        <w:rPr>
          <w:rFonts w:ascii="Times New Roman" w:hAnsi="Times New Roman"/>
          <w:b/>
          <w:sz w:val="22"/>
          <w:szCs w:val="20"/>
        </w:rPr>
        <w:t xml:space="preserve">Building penetration loss </w:t>
      </w:r>
    </w:p>
    <w:p w:rsidR="002024AA" w:rsidRDefault="00AA4759" w:rsidP="002024AA">
      <w:pPr>
        <w:jc w:val="both"/>
        <w:rPr>
          <w:rFonts w:eastAsiaTheme="minorEastAsia"/>
          <w:lang w:eastAsia="zh-CN"/>
        </w:rPr>
      </w:pPr>
      <w:r w:rsidRPr="008B1083">
        <w:rPr>
          <w:lang w:eastAsia="ko-KR"/>
        </w:rPr>
        <w:t xml:space="preserve">The </w:t>
      </w:r>
      <w:r w:rsidR="002024AA">
        <w:rPr>
          <w:lang w:eastAsia="ko-KR"/>
        </w:rPr>
        <w:t xml:space="preserve">penetration loss of </w:t>
      </w:r>
      <w:r w:rsidR="002024AA" w:rsidRPr="008B1083">
        <w:t xml:space="preserve">residential buildings </w:t>
      </w:r>
      <w:r w:rsidR="002024AA">
        <w:t xml:space="preserve">is captured by </w:t>
      </w:r>
      <w:r w:rsidRPr="008B1083">
        <w:rPr>
          <w:lang w:eastAsia="ko-KR"/>
        </w:rPr>
        <w:t xml:space="preserve">low-loss model in </w:t>
      </w:r>
      <w:r w:rsidRPr="008B1083">
        <w:fldChar w:fldCharType="begin"/>
      </w:r>
      <w:r w:rsidRPr="008B1083">
        <w:instrText xml:space="preserve"> REF _Ref447007752 \n \h  \* MERGEFORMAT </w:instrText>
      </w:r>
      <w:r w:rsidRPr="008B1083">
        <w:fldChar w:fldCharType="separate"/>
      </w:r>
      <w:r w:rsidRPr="008B1083">
        <w:t>[1]</w:t>
      </w:r>
      <w:r w:rsidRPr="008B1083">
        <w:fldChar w:fldCharType="end"/>
      </w:r>
      <w:r w:rsidR="002024AA">
        <w:t xml:space="preserve">, which can be interpreted as </w:t>
      </w:r>
      <w:r w:rsidRPr="008B1083">
        <w:t xml:space="preserve">30% of the </w:t>
      </w:r>
      <w:r w:rsidR="002024AA">
        <w:t xml:space="preserve">building </w:t>
      </w:r>
      <w:r w:rsidRPr="008B1083">
        <w:t>surface is s</w:t>
      </w:r>
      <w:r w:rsidRPr="008B1083">
        <w:rPr>
          <w:lang w:eastAsia="ja-JP"/>
        </w:rPr>
        <w:t xml:space="preserve">tandard multi-pane glass and 70% of the surface is concrete. </w:t>
      </w:r>
      <w:r w:rsidR="002024AA" w:rsidRPr="008B1083">
        <w:rPr>
          <w:lang w:eastAsia="ko-KR"/>
        </w:rPr>
        <w:t xml:space="preserve">The </w:t>
      </w:r>
      <w:r w:rsidR="002024AA">
        <w:rPr>
          <w:lang w:eastAsia="ko-KR"/>
        </w:rPr>
        <w:t xml:space="preserve">penetration loss of </w:t>
      </w:r>
      <w:r w:rsidR="002024AA">
        <w:t xml:space="preserve">commercial </w:t>
      </w:r>
      <w:r w:rsidR="002024AA" w:rsidRPr="008B1083">
        <w:t xml:space="preserve">buildings </w:t>
      </w:r>
      <w:r w:rsidR="002024AA">
        <w:t xml:space="preserve">is approximated by either </w:t>
      </w:r>
      <w:r w:rsidR="002024AA" w:rsidRPr="008B1083">
        <w:rPr>
          <w:lang w:eastAsia="ko-KR"/>
        </w:rPr>
        <w:t>low-loss model</w:t>
      </w:r>
      <w:r w:rsidR="002024AA">
        <w:rPr>
          <w:lang w:eastAsia="ko-KR"/>
        </w:rPr>
        <w:t xml:space="preserve"> or high-loss model</w:t>
      </w:r>
      <w:r w:rsidR="002024AA">
        <w:rPr>
          <w:rFonts w:eastAsiaTheme="minorEastAsia" w:hint="eastAsia"/>
          <w:lang w:eastAsia="zh-CN"/>
        </w:rPr>
        <w:t>, where the type of window glasses plays a key role.</w:t>
      </w:r>
      <w:r w:rsidR="002024AA">
        <w:rPr>
          <w:lang w:eastAsia="ko-KR"/>
        </w:rPr>
        <w:t xml:space="preserve"> For modern commercial buildings that deploy IRR glasses</w:t>
      </w:r>
      <w:r w:rsidR="002024AA">
        <w:rPr>
          <w:rFonts w:eastAsiaTheme="minorEastAsia" w:hint="eastAsia"/>
          <w:lang w:eastAsia="zh-CN"/>
        </w:rPr>
        <w:t xml:space="preserve"> (e.g., </w:t>
      </w:r>
      <w:r w:rsidR="002024AA">
        <w:rPr>
          <w:rFonts w:eastAsiaTheme="minorEastAsia" w:hint="eastAsia"/>
          <w:color w:val="000000"/>
          <w:szCs w:val="24"/>
          <w:lang w:eastAsia="zh-CN"/>
        </w:rPr>
        <w:t>t</w:t>
      </w:r>
      <w:r w:rsidR="002024AA">
        <w:rPr>
          <w:rFonts w:eastAsia="Times New Roman"/>
          <w:color w:val="000000"/>
          <w:szCs w:val="24"/>
        </w:rPr>
        <w:t>inted, reflective</w:t>
      </w:r>
      <w:r w:rsidR="002024AA">
        <w:rPr>
          <w:rFonts w:eastAsiaTheme="minorEastAsia" w:hint="eastAsia"/>
          <w:color w:val="000000"/>
          <w:szCs w:val="24"/>
          <w:lang w:eastAsia="zh-CN"/>
        </w:rPr>
        <w:t xml:space="preserve"> or </w:t>
      </w:r>
      <w:r w:rsidR="002024AA">
        <w:t>low-emissivity</w:t>
      </w:r>
      <w:r w:rsidR="002024AA">
        <w:rPr>
          <w:rFonts w:eastAsiaTheme="minorEastAsia" w:hint="eastAsia"/>
          <w:lang w:eastAsia="zh-CN"/>
        </w:rPr>
        <w:t xml:space="preserve"> windows)</w:t>
      </w:r>
      <w:r w:rsidR="002024AA">
        <w:rPr>
          <w:lang w:eastAsia="ko-KR"/>
        </w:rPr>
        <w:t>, the high-loss model is suitable</w:t>
      </w:r>
      <w:r w:rsidR="002024AA">
        <w:t xml:space="preserve"> which </w:t>
      </w:r>
      <w:r w:rsidR="002024AA">
        <w:rPr>
          <w:rFonts w:eastAsiaTheme="minorEastAsia" w:hint="eastAsia"/>
          <w:lang w:eastAsia="zh-CN"/>
        </w:rPr>
        <w:t>assumes</w:t>
      </w:r>
      <w:r w:rsidR="002024AA" w:rsidRPr="008B1083">
        <w:t xml:space="preserve"> 70% of the surface </w:t>
      </w:r>
      <w:r w:rsidR="002024AA">
        <w:t>as</w:t>
      </w:r>
      <w:r w:rsidR="002024AA" w:rsidRPr="008B1083">
        <w:t xml:space="preserve"> </w:t>
      </w:r>
      <w:r w:rsidR="002024AA" w:rsidRPr="008B1083">
        <w:rPr>
          <w:lang w:eastAsia="ja-JP"/>
        </w:rPr>
        <w:t xml:space="preserve">IRR glass and 30% of the surface </w:t>
      </w:r>
      <w:r w:rsidR="002024AA">
        <w:rPr>
          <w:lang w:eastAsia="ja-JP"/>
        </w:rPr>
        <w:t>as</w:t>
      </w:r>
      <w:r w:rsidR="002024AA" w:rsidRPr="008B1083">
        <w:rPr>
          <w:lang w:eastAsia="ja-JP"/>
        </w:rPr>
        <w:t xml:space="preserve"> concrete</w:t>
      </w:r>
      <w:r w:rsidR="002024AA">
        <w:rPr>
          <w:lang w:eastAsia="ja-JP"/>
        </w:rPr>
        <w:t xml:space="preserve">. For conventional commercial buildings that deploy standard glasses, the low-loss model </w:t>
      </w:r>
      <w:r w:rsidR="002024AA">
        <w:rPr>
          <w:rFonts w:eastAsiaTheme="minorEastAsia" w:hint="eastAsia"/>
          <w:lang w:eastAsia="zh-CN"/>
        </w:rPr>
        <w:t>can be</w:t>
      </w:r>
      <w:r w:rsidR="002024AA">
        <w:rPr>
          <w:lang w:eastAsia="ja-JP"/>
        </w:rPr>
        <w:t xml:space="preserve"> used as a simplification. </w:t>
      </w:r>
    </w:p>
    <w:p w:rsidR="002024AA" w:rsidRDefault="002024AA" w:rsidP="002024A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Percentage of different window types in the United State (similar in Europe) is studied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_Ref450739412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where standard glass consists of 85% and IRR glass consists 15%</w:t>
      </w:r>
      <w:r>
        <w:rPr>
          <w:rFonts w:eastAsiaTheme="minorEastAsia"/>
          <w:lang w:eastAsia="zh-CN"/>
        </w:rPr>
        <w:t xml:space="preserve"> among all residential and commercial buildings</w:t>
      </w:r>
      <w:r>
        <w:rPr>
          <w:rFonts w:eastAsiaTheme="minorEastAsia" w:hint="eastAsia"/>
          <w:lang w:eastAsia="zh-CN"/>
        </w:rPr>
        <w:t xml:space="preserve">. Therefore, it is reasonable to mix the usage of low-loss and high-loss according to percentage deployed in practice. </w:t>
      </w:r>
    </w:p>
    <w:p w:rsidR="002E5DBE" w:rsidRDefault="008B1083" w:rsidP="002024AA">
      <w:pPr>
        <w:jc w:val="both"/>
        <w:rPr>
          <w:lang w:eastAsia="ja-JP"/>
        </w:rPr>
      </w:pPr>
      <w:r>
        <w:rPr>
          <w:lang w:eastAsia="ja-JP"/>
        </w:rPr>
        <w:t>In different deployment scenarios</w:t>
      </w:r>
      <w:r w:rsidR="002E5DBE">
        <w:rPr>
          <w:lang w:eastAsia="ja-JP"/>
        </w:rPr>
        <w:t>, the perc</w:t>
      </w:r>
      <w:r w:rsidR="002024AA">
        <w:rPr>
          <w:lang w:eastAsia="ja-JP"/>
        </w:rPr>
        <w:t xml:space="preserve">entage of residential buildings, modern and conventional </w:t>
      </w:r>
      <w:r w:rsidR="002E5DBE">
        <w:rPr>
          <w:lang w:eastAsia="ja-JP"/>
        </w:rPr>
        <w:t xml:space="preserve">commercial buildings varies. </w:t>
      </w:r>
      <w:r w:rsidR="002024AA">
        <w:rPr>
          <w:lang w:eastAsia="ja-JP"/>
        </w:rPr>
        <w:t>For example, Urban Micro (</w:t>
      </w:r>
      <w:proofErr w:type="spellStart"/>
      <w:r w:rsidR="002024AA">
        <w:rPr>
          <w:lang w:eastAsia="ja-JP"/>
        </w:rPr>
        <w:t>UMi</w:t>
      </w:r>
      <w:proofErr w:type="spellEnd"/>
      <w:r w:rsidR="002024AA">
        <w:rPr>
          <w:lang w:eastAsia="ja-JP"/>
        </w:rPr>
        <w:t>) captures downtown area that has more commercial buildings than uptown area, which can be captured by Urban Macro (</w:t>
      </w:r>
      <w:proofErr w:type="spellStart"/>
      <w:r w:rsidR="002024AA">
        <w:rPr>
          <w:lang w:eastAsia="ja-JP"/>
        </w:rPr>
        <w:t>UMa</w:t>
      </w:r>
      <w:proofErr w:type="spellEnd"/>
      <w:r w:rsidR="002024AA">
        <w:rPr>
          <w:lang w:eastAsia="ja-JP"/>
        </w:rPr>
        <w:t xml:space="preserve">). Since commercial buildings have higher probability of deploying IRR glasses </w:t>
      </w:r>
      <w:r w:rsidR="002024AA">
        <w:rPr>
          <w:rFonts w:eastAsiaTheme="minorEastAsia"/>
          <w:lang w:eastAsia="zh-CN"/>
        </w:rPr>
        <w:fldChar w:fldCharType="begin"/>
      </w:r>
      <w:r w:rsidR="002024AA">
        <w:rPr>
          <w:rFonts w:eastAsiaTheme="minorEastAsia"/>
          <w:lang w:eastAsia="zh-CN"/>
        </w:rPr>
        <w:instrText xml:space="preserve"> </w:instrText>
      </w:r>
      <w:r w:rsidR="002024AA">
        <w:rPr>
          <w:rFonts w:eastAsiaTheme="minorEastAsia" w:hint="eastAsia"/>
          <w:lang w:eastAsia="zh-CN"/>
        </w:rPr>
        <w:instrText>REF _Ref450739412 \n \h</w:instrText>
      </w:r>
      <w:r w:rsidR="002024AA">
        <w:rPr>
          <w:rFonts w:eastAsiaTheme="minorEastAsia"/>
          <w:lang w:eastAsia="zh-CN"/>
        </w:rPr>
        <w:instrText xml:space="preserve"> </w:instrText>
      </w:r>
      <w:r w:rsidR="002024AA">
        <w:rPr>
          <w:rFonts w:eastAsiaTheme="minorEastAsia"/>
          <w:lang w:eastAsia="zh-CN"/>
        </w:rPr>
      </w:r>
      <w:r w:rsidR="002024AA">
        <w:rPr>
          <w:rFonts w:eastAsiaTheme="minorEastAsia"/>
          <w:lang w:eastAsia="zh-CN"/>
        </w:rPr>
        <w:fldChar w:fldCharType="separate"/>
      </w:r>
      <w:r w:rsidR="002024AA">
        <w:rPr>
          <w:rFonts w:eastAsiaTheme="minorEastAsia"/>
          <w:lang w:eastAsia="zh-CN"/>
        </w:rPr>
        <w:t>[2]</w:t>
      </w:r>
      <w:r w:rsidR="002024AA">
        <w:rPr>
          <w:rFonts w:eastAsiaTheme="minorEastAsia"/>
          <w:lang w:eastAsia="zh-CN"/>
        </w:rPr>
        <w:fldChar w:fldCharType="end"/>
      </w:r>
      <w:r w:rsidR="002024AA">
        <w:rPr>
          <w:rFonts w:eastAsiaTheme="minorEastAsia"/>
          <w:lang w:eastAsia="zh-CN"/>
        </w:rPr>
        <w:t xml:space="preserve">, </w:t>
      </w:r>
      <w:r w:rsidR="002E5DBE">
        <w:rPr>
          <w:lang w:eastAsia="ja-JP"/>
        </w:rPr>
        <w:t>it is desirable to make the percentage of the two mode</w:t>
      </w:r>
      <w:r w:rsidR="002024AA">
        <w:rPr>
          <w:lang w:eastAsia="ja-JP"/>
        </w:rPr>
        <w:t>ls scenario dependent</w:t>
      </w:r>
      <w:r w:rsidR="002E5DBE">
        <w:rPr>
          <w:lang w:eastAsia="ja-JP"/>
        </w:rPr>
        <w:t xml:space="preserve">.  </w:t>
      </w:r>
    </w:p>
    <w:p w:rsidR="002D5934" w:rsidRPr="002024AA" w:rsidRDefault="002D5934" w:rsidP="002D5934">
      <w:pPr>
        <w:pStyle w:val="Heading1"/>
        <w:rPr>
          <w:rFonts w:ascii="Times New Roman" w:hAnsi="Times New Roman"/>
          <w:b/>
          <w:sz w:val="22"/>
          <w:szCs w:val="20"/>
        </w:rPr>
      </w:pPr>
      <w:bookmarkStart w:id="5" w:name="_Ref446598642"/>
      <w:r w:rsidRPr="002024AA">
        <w:rPr>
          <w:rFonts w:ascii="Times New Roman" w:hAnsi="Times New Roman"/>
          <w:b/>
          <w:sz w:val="22"/>
          <w:szCs w:val="20"/>
        </w:rPr>
        <w:t>Conclusions</w:t>
      </w:r>
      <w:bookmarkEnd w:id="5"/>
    </w:p>
    <w:p w:rsidR="00535720" w:rsidRDefault="002024AA" w:rsidP="00535720">
      <w:r>
        <w:t xml:space="preserve">Detailed usage of </w:t>
      </w:r>
      <w:r w:rsidRPr="008B1083">
        <w:t xml:space="preserve">penetration loss model is </w:t>
      </w:r>
      <w:r>
        <w:t>discussed in this contribution:</w:t>
      </w:r>
    </w:p>
    <w:p w:rsidR="00A13DF2" w:rsidRPr="002024AA" w:rsidRDefault="00A13DF2" w:rsidP="00A13DF2">
      <w:pPr>
        <w:pStyle w:val="2222"/>
        <w:spacing w:after="120" w:line="288" w:lineRule="auto"/>
        <w:ind w:firstLineChars="0" w:firstLine="0"/>
        <w:rPr>
          <w:b/>
          <w:lang w:eastAsia="ja-JP"/>
        </w:rPr>
      </w:pPr>
      <w:r>
        <w:rPr>
          <w:b/>
          <w:lang w:eastAsia="ja-JP"/>
        </w:rPr>
        <w:t>Proposal</w:t>
      </w:r>
      <w:r w:rsidRPr="002024AA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For </w:t>
      </w:r>
      <w:proofErr w:type="spellStart"/>
      <w:r>
        <w:rPr>
          <w:b/>
          <w:lang w:eastAsia="ja-JP"/>
        </w:rPr>
        <w:t>UMi</w:t>
      </w:r>
      <w:proofErr w:type="spellEnd"/>
      <w:r>
        <w:rPr>
          <w:b/>
          <w:lang w:eastAsia="ja-JP"/>
        </w:rPr>
        <w:t xml:space="preserve">, </w:t>
      </w:r>
      <w:r>
        <w:rPr>
          <w:rFonts w:eastAsiaTheme="minorEastAsia" w:cs="Times New Roman" w:hint="eastAsia"/>
          <w:b/>
          <w:lang w:eastAsia="zh-CN"/>
        </w:rPr>
        <w:t>the</w:t>
      </w:r>
      <w:r w:rsidRPr="002024AA">
        <w:rPr>
          <w:b/>
          <w:lang w:eastAsia="ja-JP"/>
        </w:rPr>
        <w:t xml:space="preserve"> low-loss </w:t>
      </w:r>
      <w:r>
        <w:rPr>
          <w:rFonts w:eastAsiaTheme="minorEastAsia" w:hint="eastAsia"/>
          <w:b/>
          <w:lang w:eastAsia="zh-CN"/>
        </w:rPr>
        <w:t>model is used 8</w:t>
      </w:r>
      <w:r>
        <w:rPr>
          <w:rFonts w:eastAsiaTheme="minorEastAsia"/>
          <w:b/>
          <w:lang w:eastAsia="zh-CN"/>
        </w:rPr>
        <w:t>0</w:t>
      </w:r>
      <w:r>
        <w:rPr>
          <w:rFonts w:eastAsiaTheme="minorEastAsia" w:hint="eastAsia"/>
          <w:b/>
          <w:lang w:eastAsia="zh-CN"/>
        </w:rPr>
        <w:t xml:space="preserve">% probability and the </w:t>
      </w:r>
      <w:r w:rsidRPr="002024AA">
        <w:rPr>
          <w:b/>
          <w:lang w:eastAsia="ja-JP"/>
        </w:rPr>
        <w:t xml:space="preserve">high-loss </w:t>
      </w:r>
      <w:r>
        <w:rPr>
          <w:b/>
          <w:lang w:eastAsia="ja-JP"/>
        </w:rPr>
        <w:t>model</w:t>
      </w:r>
      <w:r>
        <w:rPr>
          <w:rFonts w:eastAsiaTheme="minorEastAsia" w:hint="eastAsia"/>
          <w:b/>
          <w:lang w:eastAsia="zh-CN"/>
        </w:rPr>
        <w:t xml:space="preserve"> is used </w:t>
      </w:r>
      <w:r>
        <w:rPr>
          <w:rFonts w:eastAsiaTheme="minorEastAsia"/>
          <w:b/>
          <w:lang w:eastAsia="zh-CN"/>
        </w:rPr>
        <w:t>20</w:t>
      </w:r>
      <w:r>
        <w:rPr>
          <w:rFonts w:eastAsiaTheme="minorEastAsia" w:hint="eastAsia"/>
          <w:b/>
          <w:lang w:eastAsia="zh-CN"/>
        </w:rPr>
        <w:t>% probability</w:t>
      </w:r>
      <w:r>
        <w:rPr>
          <w:rFonts w:eastAsiaTheme="minorEastAsia"/>
          <w:b/>
          <w:lang w:eastAsia="zh-CN"/>
        </w:rPr>
        <w:t xml:space="preserve">; </w:t>
      </w:r>
      <w:r>
        <w:rPr>
          <w:b/>
          <w:lang w:eastAsia="ja-JP"/>
        </w:rPr>
        <w:t xml:space="preserve">for </w:t>
      </w:r>
      <w:proofErr w:type="spellStart"/>
      <w:r>
        <w:rPr>
          <w:b/>
          <w:lang w:eastAsia="ja-JP"/>
        </w:rPr>
        <w:t>UMa</w:t>
      </w:r>
      <w:proofErr w:type="spellEnd"/>
      <w:r>
        <w:rPr>
          <w:b/>
          <w:lang w:eastAsia="ja-JP"/>
        </w:rPr>
        <w:t xml:space="preserve">, </w:t>
      </w:r>
      <w:r>
        <w:rPr>
          <w:rFonts w:eastAsiaTheme="minorEastAsia" w:cs="Times New Roman" w:hint="eastAsia"/>
          <w:b/>
          <w:lang w:eastAsia="zh-CN"/>
        </w:rPr>
        <w:t>the</w:t>
      </w:r>
      <w:r w:rsidRPr="002024AA">
        <w:rPr>
          <w:b/>
          <w:lang w:eastAsia="ja-JP"/>
        </w:rPr>
        <w:t xml:space="preserve"> low-loss </w:t>
      </w:r>
      <w:r>
        <w:rPr>
          <w:rFonts w:eastAsiaTheme="minorEastAsia" w:hint="eastAsia"/>
          <w:b/>
          <w:lang w:eastAsia="zh-CN"/>
        </w:rPr>
        <w:t xml:space="preserve">model is used </w:t>
      </w:r>
      <w:r>
        <w:rPr>
          <w:rFonts w:eastAsiaTheme="minorEastAsia"/>
          <w:b/>
          <w:lang w:eastAsia="zh-CN"/>
        </w:rPr>
        <w:t>90</w:t>
      </w:r>
      <w:r>
        <w:rPr>
          <w:rFonts w:eastAsiaTheme="minorEastAsia" w:hint="eastAsia"/>
          <w:b/>
          <w:lang w:eastAsia="zh-CN"/>
        </w:rPr>
        <w:t xml:space="preserve">% probability and the </w:t>
      </w:r>
      <w:r w:rsidRPr="002024AA">
        <w:rPr>
          <w:b/>
          <w:lang w:eastAsia="ja-JP"/>
        </w:rPr>
        <w:t xml:space="preserve">high-loss </w:t>
      </w:r>
      <w:r>
        <w:rPr>
          <w:b/>
          <w:lang w:eastAsia="ja-JP"/>
        </w:rPr>
        <w:t>model</w:t>
      </w:r>
      <w:r>
        <w:rPr>
          <w:rFonts w:eastAsiaTheme="minorEastAsia" w:hint="eastAsia"/>
          <w:b/>
          <w:lang w:eastAsia="zh-CN"/>
        </w:rPr>
        <w:t xml:space="preserve"> is used </w:t>
      </w:r>
      <w:r>
        <w:rPr>
          <w:rFonts w:eastAsiaTheme="minorEastAsia"/>
          <w:b/>
          <w:lang w:eastAsia="zh-CN"/>
        </w:rPr>
        <w:t>10</w:t>
      </w:r>
      <w:r>
        <w:rPr>
          <w:rFonts w:eastAsiaTheme="minorEastAsia" w:hint="eastAsia"/>
          <w:b/>
          <w:lang w:eastAsia="zh-CN"/>
        </w:rPr>
        <w:t>% probability</w:t>
      </w:r>
      <w:r>
        <w:rPr>
          <w:rFonts w:eastAsiaTheme="minorEastAsia"/>
          <w:b/>
          <w:lang w:eastAsia="zh-CN"/>
        </w:rPr>
        <w:t xml:space="preserve">. </w:t>
      </w:r>
    </w:p>
    <w:p w:rsidR="002D5934" w:rsidRPr="002024AA" w:rsidRDefault="002D5934" w:rsidP="002D5934">
      <w:pPr>
        <w:pStyle w:val="Heading1"/>
        <w:numPr>
          <w:ilvl w:val="0"/>
          <w:numId w:val="0"/>
        </w:numPr>
        <w:ind w:left="799" w:hanging="799"/>
        <w:rPr>
          <w:rFonts w:ascii="Times New Roman" w:hAnsi="Times New Roman"/>
          <w:b/>
          <w:sz w:val="22"/>
          <w:szCs w:val="20"/>
        </w:rPr>
      </w:pPr>
      <w:r w:rsidRPr="002024AA">
        <w:rPr>
          <w:rFonts w:ascii="Times New Roman" w:hAnsi="Times New Roman"/>
          <w:b/>
          <w:sz w:val="22"/>
          <w:szCs w:val="20"/>
        </w:rPr>
        <w:t>References</w:t>
      </w:r>
    </w:p>
    <w:p w:rsidR="002D5934" w:rsidRPr="008B1083" w:rsidRDefault="00A13DF2" w:rsidP="00A13DF2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3DF2">
        <w:rPr>
          <w:rFonts w:cs="Times New Roman"/>
          <w:lang w:eastAsia="ko-KR"/>
        </w:rPr>
        <w:t>R1-162712</w:t>
      </w:r>
      <w:r>
        <w:rPr>
          <w:rFonts w:cs="Times New Roman"/>
          <w:lang w:eastAsia="ko-KR"/>
        </w:rPr>
        <w:t>,</w:t>
      </w:r>
      <w:r w:rsidRPr="00A13DF2">
        <w:rPr>
          <w:rFonts w:cs="Times New Roman"/>
          <w:lang w:eastAsia="ko-KR"/>
        </w:rPr>
        <w:tab/>
        <w:t>TP for TR38.900 Section 7.4</w:t>
      </w:r>
    </w:p>
    <w:p w:rsidR="002D5934" w:rsidRPr="008B1083" w:rsidRDefault="002024AA" w:rsidP="002024AA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47008666"/>
      <w:bookmarkStart w:id="7" w:name="_Ref450739412"/>
      <w:r w:rsidRPr="002024AA">
        <w:rPr>
          <w:rFonts w:cs="Times New Roman"/>
          <w:lang w:eastAsia="ko-KR"/>
        </w:rPr>
        <w:t>R1-163408</w:t>
      </w:r>
      <w:r w:rsidR="002D5934" w:rsidRPr="008B1083">
        <w:rPr>
          <w:rFonts w:cs="Times New Roman"/>
          <w:lang w:eastAsia="ko-KR"/>
        </w:rPr>
        <w:t xml:space="preserve">, </w:t>
      </w:r>
      <w:bookmarkEnd w:id="6"/>
      <w:r w:rsidRPr="002024AA">
        <w:rPr>
          <w:rFonts w:cs="Times New Roman"/>
          <w:lang w:eastAsia="ko-KR"/>
        </w:rPr>
        <w:t xml:space="preserve">Additional Considerations on Building Penetration Loss </w:t>
      </w:r>
      <w:proofErr w:type="spellStart"/>
      <w:r w:rsidRPr="002024AA">
        <w:rPr>
          <w:rFonts w:cs="Times New Roman"/>
          <w:lang w:eastAsia="ko-KR"/>
        </w:rPr>
        <w:t>Modeling</w:t>
      </w:r>
      <w:proofErr w:type="spellEnd"/>
      <w:r w:rsidRPr="002024AA">
        <w:rPr>
          <w:rFonts w:cs="Times New Roman"/>
          <w:lang w:eastAsia="ko-KR"/>
        </w:rPr>
        <w:t xml:space="preserve"> for 5G System Performance Evaluation</w:t>
      </w:r>
      <w:r>
        <w:rPr>
          <w:rFonts w:cs="Times New Roman"/>
          <w:lang w:eastAsia="ko-KR"/>
        </w:rPr>
        <w:t xml:space="preserve">, </w:t>
      </w:r>
      <w:r w:rsidRPr="002024AA">
        <w:rPr>
          <w:rFonts w:cs="Times New Roman"/>
          <w:lang w:eastAsia="ko-KR"/>
        </w:rPr>
        <w:t>Straight Path</w:t>
      </w:r>
      <w:r>
        <w:rPr>
          <w:rFonts w:cs="Times New Roman"/>
          <w:lang w:eastAsia="ko-KR"/>
        </w:rPr>
        <w:t>, Apr</w:t>
      </w:r>
      <w:r w:rsidR="002D5934" w:rsidRPr="008B1083">
        <w:rPr>
          <w:rFonts w:cs="Times New Roman"/>
          <w:lang w:eastAsia="ko-KR"/>
        </w:rPr>
        <w:t>. 2016</w:t>
      </w:r>
      <w:bookmarkEnd w:id="7"/>
      <w:r>
        <w:rPr>
          <w:rFonts w:cs="Times New Roman"/>
          <w:lang w:eastAsia="ko-KR"/>
        </w:rPr>
        <w:t>.</w:t>
      </w:r>
    </w:p>
    <w:p w:rsidR="002348A3" w:rsidRPr="008B1083" w:rsidRDefault="00504459" w:rsidP="002024AA">
      <w:pPr>
        <w:pStyle w:val="2222"/>
        <w:spacing w:after="120" w:line="288" w:lineRule="auto"/>
        <w:ind w:left="357" w:firstLineChars="0" w:firstLine="0"/>
        <w:jc w:val="left"/>
        <w:rPr>
          <w:rFonts w:cs="Times New Roman"/>
          <w:lang w:eastAsia="ko-KR"/>
        </w:rPr>
      </w:pPr>
      <w:r w:rsidRPr="008B1083">
        <w:rPr>
          <w:rFonts w:cs="Times New Roman"/>
        </w:rPr>
        <w:br/>
      </w:r>
    </w:p>
    <w:p w:rsidR="002D5934" w:rsidRPr="008B1083" w:rsidRDefault="002D5934" w:rsidP="002D5934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:rsidR="00A36B66" w:rsidRPr="008B1083" w:rsidRDefault="00A36B66"/>
    <w:sectPr w:rsidR="00A36B66" w:rsidRPr="008B1083" w:rsidSect="002A3E5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4A5" w:rsidRDefault="00E654A5">
      <w:pPr>
        <w:spacing w:after="0"/>
      </w:pPr>
      <w:r>
        <w:separator/>
      </w:r>
    </w:p>
  </w:endnote>
  <w:endnote w:type="continuationSeparator" w:id="0">
    <w:p w:rsidR="00E654A5" w:rsidRDefault="00E654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4A5" w:rsidRDefault="00E654A5">
      <w:pPr>
        <w:spacing w:after="0"/>
      </w:pPr>
      <w:r>
        <w:separator/>
      </w:r>
    </w:p>
  </w:footnote>
  <w:footnote w:type="continuationSeparator" w:id="0">
    <w:p w:rsidR="00E654A5" w:rsidRDefault="00E654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983" w:rsidRDefault="005E59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05D"/>
    <w:multiLevelType w:val="hybridMultilevel"/>
    <w:tmpl w:val="B380A460"/>
    <w:lvl w:ilvl="0" w:tplc="C548E3C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9115C56"/>
    <w:multiLevelType w:val="hybridMultilevel"/>
    <w:tmpl w:val="10E0BA00"/>
    <w:lvl w:ilvl="0" w:tplc="2E282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60FF4">
      <w:start w:val="1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28C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C1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AA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AF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6B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E7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F4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34"/>
    <w:rsid w:val="00063ED7"/>
    <w:rsid w:val="00171B0F"/>
    <w:rsid w:val="001F0E0A"/>
    <w:rsid w:val="00201FF9"/>
    <w:rsid w:val="002024AA"/>
    <w:rsid w:val="002123C6"/>
    <w:rsid w:val="002348A3"/>
    <w:rsid w:val="002A3E53"/>
    <w:rsid w:val="002D5934"/>
    <w:rsid w:val="002E5DBE"/>
    <w:rsid w:val="00394637"/>
    <w:rsid w:val="004963C4"/>
    <w:rsid w:val="004A6F62"/>
    <w:rsid w:val="004B5EB2"/>
    <w:rsid w:val="004F3594"/>
    <w:rsid w:val="00504459"/>
    <w:rsid w:val="00535720"/>
    <w:rsid w:val="005412DF"/>
    <w:rsid w:val="00552C09"/>
    <w:rsid w:val="005567A5"/>
    <w:rsid w:val="00561AC4"/>
    <w:rsid w:val="00564B32"/>
    <w:rsid w:val="005E5983"/>
    <w:rsid w:val="00610940"/>
    <w:rsid w:val="00631E3E"/>
    <w:rsid w:val="006329A8"/>
    <w:rsid w:val="00647911"/>
    <w:rsid w:val="00650366"/>
    <w:rsid w:val="006C51AC"/>
    <w:rsid w:val="00776EDC"/>
    <w:rsid w:val="007E4767"/>
    <w:rsid w:val="007F6231"/>
    <w:rsid w:val="0081074B"/>
    <w:rsid w:val="00833B3B"/>
    <w:rsid w:val="008B1083"/>
    <w:rsid w:val="008E4466"/>
    <w:rsid w:val="009731EE"/>
    <w:rsid w:val="009C2D62"/>
    <w:rsid w:val="00A13DF2"/>
    <w:rsid w:val="00A36B66"/>
    <w:rsid w:val="00AA4759"/>
    <w:rsid w:val="00B16AF0"/>
    <w:rsid w:val="00B71D6D"/>
    <w:rsid w:val="00BB10C0"/>
    <w:rsid w:val="00BE7FCB"/>
    <w:rsid w:val="00C3294C"/>
    <w:rsid w:val="00C43C08"/>
    <w:rsid w:val="00D50ADB"/>
    <w:rsid w:val="00D53198"/>
    <w:rsid w:val="00E454E6"/>
    <w:rsid w:val="00E654A5"/>
    <w:rsid w:val="00EA5E55"/>
    <w:rsid w:val="00F32D12"/>
    <w:rsid w:val="00FF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3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D5934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2D5934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2D5934"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2D5934"/>
    <w:rPr>
      <w:rFonts w:ascii="Arial" w:eastAsia="Batang" w:hAnsi="Arial" w:cs="Times New Roman"/>
      <w:sz w:val="24"/>
      <w:szCs w:val="3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D5934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D5934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2D593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D5934"/>
    <w:pPr>
      <w:ind w:leftChars="400" w:left="800"/>
    </w:pPr>
  </w:style>
  <w:style w:type="table" w:styleId="TableGrid">
    <w:name w:val="Table Grid"/>
    <w:basedOn w:val="TableNormal"/>
    <w:rsid w:val="002D593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2D5934"/>
    <w:rPr>
      <w:b/>
      <w:bCs/>
    </w:rPr>
  </w:style>
  <w:style w:type="character" w:styleId="CommentReference">
    <w:name w:val="annotation reference"/>
    <w:rsid w:val="002D5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5934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2D5934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2D5934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D5934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D5934"/>
    <w:pPr>
      <w:spacing w:line="336" w:lineRule="auto"/>
      <w:ind w:firstLineChars="200" w:firstLine="200"/>
      <w:jc w:val="both"/>
    </w:pPr>
    <w:rPr>
      <w:rFonts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2D5934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3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34"/>
    <w:rPr>
      <w:rFonts w:ascii="Tahoma" w:eastAsia="Malgun Gothic" w:hAnsi="Tahoma" w:cs="Tahoma"/>
      <w:sz w:val="16"/>
      <w:szCs w:val="16"/>
      <w:lang w:val="en-GB" w:eastAsia="en-US"/>
    </w:rPr>
  </w:style>
  <w:style w:type="paragraph" w:styleId="Index1">
    <w:name w:val="index 1"/>
    <w:basedOn w:val="Normal"/>
    <w:semiHidden/>
    <w:rsid w:val="00535720"/>
    <w:pPr>
      <w:keepLines/>
      <w:spacing w:after="0"/>
    </w:pPr>
  </w:style>
  <w:style w:type="paragraph" w:customStyle="1" w:styleId="TAN">
    <w:name w:val="TAN"/>
    <w:basedOn w:val="Normal"/>
    <w:rsid w:val="00535720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CaptionChar">
    <w:name w:val="Caption Char"/>
    <w:aliases w:val="cap Char"/>
    <w:link w:val="Caption"/>
    <w:rsid w:val="00535720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3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D5934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2D5934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2D5934"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2D5934"/>
    <w:rPr>
      <w:rFonts w:ascii="Arial" w:eastAsia="Batang" w:hAnsi="Arial" w:cs="Times New Roman"/>
      <w:sz w:val="24"/>
      <w:szCs w:val="3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D5934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D5934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2D593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D5934"/>
    <w:pPr>
      <w:ind w:leftChars="400" w:left="800"/>
    </w:pPr>
  </w:style>
  <w:style w:type="table" w:styleId="TableGrid">
    <w:name w:val="Table Grid"/>
    <w:basedOn w:val="TableNormal"/>
    <w:rsid w:val="002D593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2D5934"/>
    <w:rPr>
      <w:b/>
      <w:bCs/>
    </w:rPr>
  </w:style>
  <w:style w:type="character" w:styleId="CommentReference">
    <w:name w:val="annotation reference"/>
    <w:rsid w:val="002D5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5934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2D5934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2D5934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D5934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D5934"/>
    <w:pPr>
      <w:spacing w:line="336" w:lineRule="auto"/>
      <w:ind w:firstLineChars="200" w:firstLine="200"/>
      <w:jc w:val="both"/>
    </w:pPr>
    <w:rPr>
      <w:rFonts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2D5934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3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34"/>
    <w:rPr>
      <w:rFonts w:ascii="Tahoma" w:eastAsia="Malgun Gothic" w:hAnsi="Tahoma" w:cs="Tahoma"/>
      <w:sz w:val="16"/>
      <w:szCs w:val="16"/>
      <w:lang w:val="en-GB" w:eastAsia="en-US"/>
    </w:rPr>
  </w:style>
  <w:style w:type="paragraph" w:styleId="Index1">
    <w:name w:val="index 1"/>
    <w:basedOn w:val="Normal"/>
    <w:semiHidden/>
    <w:rsid w:val="00535720"/>
    <w:pPr>
      <w:keepLines/>
      <w:spacing w:after="0"/>
    </w:pPr>
  </w:style>
  <w:style w:type="paragraph" w:customStyle="1" w:styleId="TAN">
    <w:name w:val="TAN"/>
    <w:basedOn w:val="Normal"/>
    <w:rsid w:val="00535720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CaptionChar">
    <w:name w:val="Caption Char"/>
    <w:aliases w:val="cap Char"/>
    <w:link w:val="Caption"/>
    <w:rsid w:val="00535720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Najing, China, 23rd – 27th May 2016</vt:lpstr>
      <vt:lpstr>Introduction</vt:lpstr>
      <vt:lpstr>Building penetration loss </vt:lpstr>
      <vt:lpstr>Conclusions</vt:lpstr>
      <vt:lpstr>References</vt:lpstr>
    </vt:vector>
  </TitlesOfParts>
  <Company>SRA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Li</dc:creator>
  <cp:lastModifiedBy>Yang Li</cp:lastModifiedBy>
  <cp:revision>6</cp:revision>
  <dcterms:created xsi:type="dcterms:W3CDTF">2016-05-11T14:57:00Z</dcterms:created>
  <dcterms:modified xsi:type="dcterms:W3CDTF">2016-05-12T22:50:00Z</dcterms:modified>
</cp:coreProperties>
</file>