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rsidR="00DF03D2">
        <w:t>85</w:t>
      </w:r>
      <w:r w:rsidRPr="00446F9D">
        <w:tab/>
        <w:t>R1-</w:t>
      </w:r>
      <w:r w:rsidR="00DF03D2">
        <w:t>16</w:t>
      </w:r>
      <w:r w:rsidR="001C75E0">
        <w:t>4625</w:t>
      </w:r>
    </w:p>
    <w:p w:rsidR="00FE5799" w:rsidRPr="000833FA" w:rsidRDefault="00DF03D2" w:rsidP="00FE5799">
      <w:pPr>
        <w:pStyle w:val="Header"/>
        <w:rPr>
          <w:color w:val="000000"/>
        </w:rPr>
      </w:pPr>
      <w:r>
        <w:t>Nanjing</w:t>
      </w:r>
      <w:r w:rsidR="00FE5799" w:rsidRPr="000833FA">
        <w:t xml:space="preserve">, </w:t>
      </w:r>
      <w:r>
        <w:t>China</w:t>
      </w:r>
      <w:r w:rsidR="00FE5799" w:rsidRPr="000833FA">
        <w:t>,</w:t>
      </w:r>
      <w:r w:rsidR="00FE5799">
        <w:t xml:space="preserve"> </w:t>
      </w:r>
      <w:r>
        <w:t>May</w:t>
      </w:r>
      <w:r w:rsidR="00FE5799">
        <w:t xml:space="preserve"> </w:t>
      </w:r>
      <w:r>
        <w:t>23</w:t>
      </w:r>
      <w:r w:rsidR="00FE5799">
        <w:t xml:space="preserve"> – </w:t>
      </w:r>
      <w:r>
        <w:t>27</w:t>
      </w:r>
      <w:r w:rsidR="00FE5799">
        <w:t>,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0" w:name="Title"/>
      <w:bookmarkEnd w:id="0"/>
      <w:r w:rsidRPr="0003368D">
        <w:tab/>
      </w:r>
      <w:r w:rsidR="00156FE3">
        <w:t xml:space="preserve">Design principles for </w:t>
      </w:r>
      <w:r w:rsidR="00F83ECA">
        <w:t>system access</w:t>
      </w:r>
      <w:r w:rsidR="00156FE3">
        <w:t xml:space="preserve"> in a beam-centric system</w:t>
      </w:r>
    </w:p>
    <w:p w:rsidR="00FE5799" w:rsidRPr="0003368D" w:rsidRDefault="00FE5799" w:rsidP="00FE5799">
      <w:pPr>
        <w:pStyle w:val="Header"/>
        <w:tabs>
          <w:tab w:val="left" w:pos="1800"/>
        </w:tabs>
      </w:pPr>
      <w:r w:rsidRPr="0003368D">
        <w:t>Agenda Item:</w:t>
      </w:r>
      <w:bookmarkStart w:id="1" w:name="Source"/>
      <w:bookmarkEnd w:id="1"/>
      <w:r w:rsidRPr="0003368D">
        <w:tab/>
      </w:r>
      <w:r w:rsidR="00035E00">
        <w:t>7.1.6</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F83ECA" w:rsidRDefault="00F83ECA" w:rsidP="00F83ECA">
      <w:pPr>
        <w:pStyle w:val="BodyText"/>
      </w:pPr>
      <w:r>
        <w:t>System access is the procedures for a UE to identify and access the network. In LTE, it consists of the steps of</w:t>
      </w:r>
    </w:p>
    <w:p w:rsidR="00F83ECA" w:rsidRDefault="00F83ECA" w:rsidP="00F83ECA">
      <w:pPr>
        <w:pStyle w:val="BodyText"/>
        <w:numPr>
          <w:ilvl w:val="0"/>
          <w:numId w:val="10"/>
        </w:numPr>
      </w:pPr>
      <w:r>
        <w:t>Cell detection and synchronization using the PSS/SSS</w:t>
      </w:r>
    </w:p>
    <w:p w:rsidR="00F83ECA" w:rsidRDefault="00F83ECA" w:rsidP="00F83ECA">
      <w:pPr>
        <w:pStyle w:val="BodyText"/>
        <w:numPr>
          <w:ilvl w:val="0"/>
          <w:numId w:val="10"/>
        </w:numPr>
      </w:pPr>
      <w:r>
        <w:t>Acquisition of system information through MIB and (some of the) SIBs</w:t>
      </w:r>
    </w:p>
    <w:p w:rsidR="00F83ECA" w:rsidRDefault="00F83ECA" w:rsidP="00F83ECA">
      <w:pPr>
        <w:pStyle w:val="BodyText"/>
        <w:numPr>
          <w:ilvl w:val="0"/>
          <w:numId w:val="10"/>
        </w:numPr>
      </w:pPr>
      <w:r>
        <w:t xml:space="preserve">Random access </w:t>
      </w:r>
    </w:p>
    <w:p w:rsidR="008A482A" w:rsidRDefault="008A482A" w:rsidP="008A482A">
      <w:pPr>
        <w:pStyle w:val="BodyText"/>
      </w:pPr>
      <w:r>
        <w:t xml:space="preserve">LTE was designed primarily targeting macro-cell deployments in licensed spectrum up to a few of GHz. </w:t>
      </w:r>
      <w:r w:rsidR="00E15CDE">
        <w:t>However,</w:t>
      </w:r>
      <w:r>
        <w:t xml:space="preserve"> requirements on NR such as</w:t>
      </w:r>
      <w:r w:rsidR="005D774E">
        <w:t xml:space="preserve"> </w:t>
      </w:r>
      <w:r>
        <w:t xml:space="preserve">ultra-lean design minimizing the amount of always-on </w:t>
      </w:r>
      <w:proofErr w:type="gramStart"/>
      <w:r>
        <w:t>signals,</w:t>
      </w:r>
      <w:proofErr w:type="gramEnd"/>
      <w:r w:rsidR="005D774E">
        <w:t xml:space="preserve"> </w:t>
      </w:r>
      <w:r>
        <w:t xml:space="preserve">support for a wide range of frequencies, </w:t>
      </w:r>
      <w:r w:rsidR="005D774E">
        <w:t xml:space="preserve">and support for unlicensed spectrum </w:t>
      </w:r>
      <w:r w:rsidR="00E15CDE">
        <w:t>requires reconsidering some of the design principles for system access. In the following, some of these principles are discussed.</w:t>
      </w:r>
      <w:r w:rsidR="005D774E">
        <w:t xml:space="preserve"> A companion paper on the same topic from a RAN2 perspective is available in </w:t>
      </w:r>
      <w:r w:rsidR="005D774E">
        <w:fldChar w:fldCharType="begin"/>
      </w:r>
      <w:r w:rsidR="005D774E">
        <w:instrText xml:space="preserve"> REF _Ref450547741 \r \h </w:instrText>
      </w:r>
      <w:r w:rsidR="005D774E">
        <w:fldChar w:fldCharType="separate"/>
      </w:r>
      <w:r w:rsidR="005D774E">
        <w:t>[1]</w:t>
      </w:r>
      <w:r w:rsidR="005D774E">
        <w:fldChar w:fldCharType="end"/>
      </w:r>
      <w:r w:rsidR="005D774E">
        <w:t>.</w:t>
      </w:r>
    </w:p>
    <w:p w:rsidR="009F0894" w:rsidRDefault="009F0894" w:rsidP="009F0894">
      <w:pPr>
        <w:pStyle w:val="Heading1"/>
      </w:pPr>
      <w:r>
        <w:t>Discussion</w:t>
      </w:r>
    </w:p>
    <w:p w:rsidR="0029457C" w:rsidRDefault="0094179A" w:rsidP="0029457C">
      <w:pPr>
        <w:pStyle w:val="BodyText"/>
      </w:pPr>
      <w:r>
        <w:t>Ultra-lean design, that is, minimizing the amount of always-on signals has been agreed in RAN1 as one guiding design principle. This principle provides several benefits such as high energy efficiency</w:t>
      </w:r>
      <w:r w:rsidR="005D774E">
        <w:t xml:space="preserve"> </w:t>
      </w:r>
      <w:r w:rsidR="005D774E">
        <w:fldChar w:fldCharType="begin"/>
      </w:r>
      <w:r w:rsidR="005D774E">
        <w:instrText xml:space="preserve"> REF _Ref450547764 \r \h </w:instrText>
      </w:r>
      <w:r w:rsidR="005D774E">
        <w:fldChar w:fldCharType="separate"/>
      </w:r>
      <w:r w:rsidR="005D774E">
        <w:t>[2]</w:t>
      </w:r>
      <w:r w:rsidR="005D774E">
        <w:fldChar w:fldCharType="end"/>
      </w:r>
      <w:r>
        <w:t xml:space="preserve">, low inter-cell interference at low loads, and a high degree of future </w:t>
      </w:r>
      <w:proofErr w:type="spellStart"/>
      <w:r>
        <w:t>proofness</w:t>
      </w:r>
      <w:proofErr w:type="spellEnd"/>
      <w:r>
        <w:t>.</w:t>
      </w:r>
      <w:r w:rsidR="0020453D">
        <w:t xml:space="preserve"> </w:t>
      </w:r>
      <w:r>
        <w:t>The (small amount of) always-on signals required</w:t>
      </w:r>
      <w:r w:rsidR="0020453D">
        <w:t xml:space="preserve"> for system access</w:t>
      </w:r>
      <w:r>
        <w:t xml:space="preserve">, for example </w:t>
      </w:r>
      <w:r w:rsidR="0020453D">
        <w:t>synchronization</w:t>
      </w:r>
      <w:r>
        <w:t xml:space="preserve"> signals, discovery signals, and pa</w:t>
      </w:r>
      <w:r w:rsidR="00F82768">
        <w:t xml:space="preserve">rts of the system information, </w:t>
      </w:r>
      <w:r>
        <w:t xml:space="preserve">should be designed </w:t>
      </w:r>
      <w:r w:rsidR="0020453D">
        <w:t>to allow for a long DTX duration and a large DTX ratio while taking the impact on UE power consumption a</w:t>
      </w:r>
      <w:r w:rsidR="00402702">
        <w:t>nd implementation complexity in</w:t>
      </w:r>
      <w:r w:rsidR="0020453D">
        <w:t xml:space="preserve">to account. A long DTX duration is also beneficial when operating in unlicensed spectrum as regulations pose strict requirements </w:t>
      </w:r>
      <w:r w:rsidR="007021AF">
        <w:t xml:space="preserve">on the amount of </w:t>
      </w:r>
      <w:r w:rsidR="0020453D">
        <w:t>transmissions without LBT.</w:t>
      </w:r>
    </w:p>
    <w:p w:rsidR="0020453D" w:rsidRPr="007021AF" w:rsidRDefault="0020453D" w:rsidP="0029457C">
      <w:pPr>
        <w:pStyle w:val="BodyText"/>
        <w:rPr>
          <w:b/>
        </w:rPr>
      </w:pPr>
      <w:r w:rsidRPr="007021AF">
        <w:rPr>
          <w:b/>
        </w:rPr>
        <w:t xml:space="preserve">Proposal: </w:t>
      </w:r>
      <w:r w:rsidR="00A80C54">
        <w:rPr>
          <w:b/>
        </w:rPr>
        <w:t>DTX – a</w:t>
      </w:r>
      <w:r w:rsidRPr="007021AF">
        <w:rPr>
          <w:b/>
        </w:rPr>
        <w:t>ny always-on signals should allow for long DTX duration and large DTX ratios.</w:t>
      </w:r>
    </w:p>
    <w:p w:rsidR="0020453D" w:rsidRDefault="007021AF" w:rsidP="005129B3">
      <w:pPr>
        <w:pStyle w:val="BodyText"/>
      </w:pPr>
      <w:r>
        <w:t xml:space="preserve">NR is required to support a wide range of carrier frequencies, from sub-GHz up to very high frequencies close to 100 GHz. At the higher frequencies, the propagation conditions are more challenging. Beamforming to focus the transmitted energy to the UE will therefore be a cornerstone in the NR design to ensure sufficient area coverage, especially at higher frequencies. However, relying on beamforming to provide coverage implies some knowledge on the UE location or, in general, the spatial properties of the channel from the base station to the UE. When the UE location is not known, for example prior to initial access, highly focused beamforming cannot be used. Broadcasting information using a wide beam </w:t>
      </w:r>
      <w:r w:rsidR="005129B3">
        <w:t xml:space="preserve">will result in a worse link budget and a corresponding decrease in the number of bits possible to convey in a given time. Beam sweeping techniques have a similar limitation; </w:t>
      </w:r>
      <w:r w:rsidR="00235B9D">
        <w:t>although</w:t>
      </w:r>
      <w:r w:rsidR="005129B3">
        <w:t xml:space="preserve"> he link budget is </w:t>
      </w:r>
      <w:r w:rsidR="00235B9D">
        <w:t>maintained as a result of the focused beam</w:t>
      </w:r>
      <w:r w:rsidR="005129B3">
        <w:t>, the sweeping process takes time and limits the number of bits possible to convey for a given time period.</w:t>
      </w:r>
      <w:r w:rsidR="008316A5">
        <w:t xml:space="preserve"> Hence, the amount of broadcasted system information should be minimized to the bare minimum necessary for accessing the system in order not to cause coverage problems.</w:t>
      </w:r>
    </w:p>
    <w:p w:rsidR="008316A5" w:rsidRDefault="008316A5" w:rsidP="005129B3">
      <w:pPr>
        <w:pStyle w:val="BodyText"/>
        <w:rPr>
          <w:b/>
        </w:rPr>
      </w:pPr>
      <w:r w:rsidRPr="008316A5">
        <w:rPr>
          <w:b/>
        </w:rPr>
        <w:t xml:space="preserve">Proposal: Minimize the amount of </w:t>
      </w:r>
      <w:r>
        <w:rPr>
          <w:b/>
        </w:rPr>
        <w:t>broadcasted</w:t>
      </w:r>
      <w:r w:rsidRPr="008316A5">
        <w:rPr>
          <w:b/>
        </w:rPr>
        <w:t xml:space="preserve"> system information.</w:t>
      </w:r>
    </w:p>
    <w:p w:rsidR="008316A5" w:rsidRDefault="008316A5" w:rsidP="005129B3">
      <w:pPr>
        <w:pStyle w:val="BodyText"/>
      </w:pPr>
      <w:r w:rsidRPr="008316A5">
        <w:t xml:space="preserve">In order to benefit from advanced transmission techniques </w:t>
      </w:r>
      <w:r>
        <w:t>such as beamforming, it should be possible to deliver the bulk of the system information upon request from a UE. This also helps in minimizing the amount of always-on signals and to fulfill the ultra-lean design principle.</w:t>
      </w:r>
      <w:r w:rsidR="00020FB1">
        <w:t xml:space="preserve"> Both analog and digital beamforming should be possible implementation choices.</w:t>
      </w:r>
    </w:p>
    <w:p w:rsidR="00020FB1" w:rsidRDefault="008316A5" w:rsidP="005129B3">
      <w:pPr>
        <w:pStyle w:val="BodyText"/>
        <w:rPr>
          <w:b/>
        </w:rPr>
      </w:pPr>
      <w:r w:rsidRPr="008316A5">
        <w:rPr>
          <w:b/>
        </w:rPr>
        <w:t xml:space="preserve">Proposal: </w:t>
      </w:r>
      <w:r w:rsidR="00A80C54">
        <w:rPr>
          <w:b/>
        </w:rPr>
        <w:t>Beamforming - s</w:t>
      </w:r>
      <w:r w:rsidR="00020FB1">
        <w:rPr>
          <w:b/>
        </w:rPr>
        <w:t>upport beamforming</w:t>
      </w:r>
      <w:r w:rsidR="00A80C54">
        <w:rPr>
          <w:b/>
        </w:rPr>
        <w:t xml:space="preserve"> for system-information delivery</w:t>
      </w:r>
      <w:r w:rsidR="00020FB1">
        <w:rPr>
          <w:b/>
        </w:rPr>
        <w:t xml:space="preserve">.  </w:t>
      </w:r>
    </w:p>
    <w:p w:rsidR="00020FB1" w:rsidRDefault="00020FB1" w:rsidP="005129B3">
      <w:pPr>
        <w:pStyle w:val="BodyText"/>
        <w:rPr>
          <w:b/>
        </w:rPr>
      </w:pPr>
      <w:r>
        <w:rPr>
          <w:b/>
        </w:rPr>
        <w:t xml:space="preserve">Proposal: </w:t>
      </w:r>
      <w:r w:rsidR="008D66F0">
        <w:rPr>
          <w:b/>
        </w:rPr>
        <w:t>On demand delivery – t</w:t>
      </w:r>
      <w:r>
        <w:rPr>
          <w:b/>
        </w:rPr>
        <w:t xml:space="preserve">he bulk of system information is delivered </w:t>
      </w:r>
      <w:r w:rsidR="00A80C54">
        <w:rPr>
          <w:b/>
        </w:rPr>
        <w:t>on demand</w:t>
      </w:r>
      <w:r>
        <w:rPr>
          <w:b/>
        </w:rPr>
        <w:t>.</w:t>
      </w:r>
    </w:p>
    <w:p w:rsidR="00A80C54" w:rsidRDefault="00A80C54" w:rsidP="009F0894">
      <w:pPr>
        <w:pStyle w:val="BodyText"/>
      </w:pPr>
      <w:r>
        <w:t xml:space="preserve">Scalability, i.e. the possibility to add additional nodes to increase capacity and data rates in an area without a corresponding increase in system information overhead, is an important aspect taken the increasing interest in low-power nodes into account (“small cells”). One possibility to achieve this is to separate the (set of) node(s) delivering system information from those handling the actual user data transmission. Such separation also </w:t>
      </w:r>
      <w:r>
        <w:lastRenderedPageBreak/>
        <w:t>provides means to handle the challenging coverage at higher carrier frequencies. Instead of providing system information using NR nodes operating at high carrier frequencies (with a corresponding coverage challenge), system information can be provided by nodes, LTE or NR, transmitting at a lower frequency with less challen</w:t>
      </w:r>
      <w:r w:rsidR="00F82768">
        <w:t>ging</w:t>
      </w:r>
      <w:r>
        <w:t xml:space="preserve"> propagation conditions.</w:t>
      </w:r>
    </w:p>
    <w:p w:rsidR="00A80C54" w:rsidRPr="00A80C54" w:rsidRDefault="00A80C54" w:rsidP="00A80C54">
      <w:pPr>
        <w:pStyle w:val="BodyText"/>
        <w:rPr>
          <w:b/>
        </w:rPr>
      </w:pPr>
      <w:r w:rsidRPr="00A80C54">
        <w:rPr>
          <w:b/>
        </w:rPr>
        <w:t xml:space="preserve">Proposal: Scalability – it should be possible to </w:t>
      </w:r>
      <w:r w:rsidR="008D66F0" w:rsidRPr="00A80C54">
        <w:rPr>
          <w:b/>
        </w:rPr>
        <w:t>deeply</w:t>
      </w:r>
      <w:r w:rsidRPr="00A80C54">
        <w:rPr>
          <w:b/>
        </w:rPr>
        <w:t xml:space="preserve"> additional nodes without a corresponding increase in system information overhead.</w:t>
      </w:r>
    </w:p>
    <w:p w:rsidR="00FE5799" w:rsidRDefault="00FE5799" w:rsidP="00FE5799">
      <w:pPr>
        <w:pStyle w:val="Heading1"/>
      </w:pPr>
      <w:r>
        <w:t>Conclusion</w:t>
      </w:r>
    </w:p>
    <w:p w:rsidR="00A80C54" w:rsidRDefault="00A80C54" w:rsidP="00A80C54">
      <w:pPr>
        <w:pStyle w:val="BodyText"/>
      </w:pPr>
      <w:r>
        <w:t>It is proposed to capture the following proposals in the TR:</w:t>
      </w:r>
    </w:p>
    <w:p w:rsidR="00A80C54" w:rsidRPr="008D66F0" w:rsidRDefault="00A80C54" w:rsidP="008D66F0">
      <w:pPr>
        <w:pStyle w:val="BodyText"/>
        <w:numPr>
          <w:ilvl w:val="0"/>
          <w:numId w:val="12"/>
        </w:numPr>
      </w:pPr>
      <w:r w:rsidRPr="008D66F0">
        <w:t>DTX – any always-on signals should allow for long DTX duration and large DTX ratios.</w:t>
      </w:r>
    </w:p>
    <w:p w:rsidR="00A80C54" w:rsidRPr="008D66F0" w:rsidRDefault="00A80C54" w:rsidP="008D66F0">
      <w:pPr>
        <w:pStyle w:val="BodyText"/>
        <w:numPr>
          <w:ilvl w:val="0"/>
          <w:numId w:val="12"/>
        </w:numPr>
      </w:pPr>
      <w:r w:rsidRPr="008D66F0">
        <w:t>Minimize the amount of broadcasted system information.</w:t>
      </w:r>
    </w:p>
    <w:p w:rsidR="00A80C54" w:rsidRPr="008D66F0" w:rsidRDefault="00A80C54" w:rsidP="008D66F0">
      <w:pPr>
        <w:pStyle w:val="BodyText"/>
        <w:numPr>
          <w:ilvl w:val="0"/>
          <w:numId w:val="12"/>
        </w:numPr>
      </w:pPr>
      <w:r w:rsidRPr="008D66F0">
        <w:t>Beamforming</w:t>
      </w:r>
      <w:r w:rsidR="008D66F0" w:rsidRPr="008D66F0">
        <w:t xml:space="preserve"> – </w:t>
      </w:r>
      <w:r w:rsidRPr="008D66F0">
        <w:t xml:space="preserve">support beamforming for system-information delivery.  </w:t>
      </w:r>
    </w:p>
    <w:p w:rsidR="00A80C54" w:rsidRPr="008D66F0" w:rsidRDefault="008D66F0" w:rsidP="008D66F0">
      <w:pPr>
        <w:pStyle w:val="BodyText"/>
        <w:numPr>
          <w:ilvl w:val="0"/>
          <w:numId w:val="12"/>
        </w:numPr>
      </w:pPr>
      <w:r w:rsidRPr="008D66F0">
        <w:t>On demand delivery – t</w:t>
      </w:r>
      <w:r w:rsidR="00A80C54" w:rsidRPr="008D66F0">
        <w:t>he bulk of system information is delivered on demand.</w:t>
      </w:r>
    </w:p>
    <w:p w:rsidR="00A80C54" w:rsidRDefault="00A80C54" w:rsidP="008D66F0">
      <w:pPr>
        <w:pStyle w:val="BodyText"/>
        <w:numPr>
          <w:ilvl w:val="0"/>
          <w:numId w:val="12"/>
        </w:numPr>
      </w:pPr>
      <w:r w:rsidRPr="008D66F0">
        <w:t xml:space="preserve">Scalability – it should be possible to </w:t>
      </w:r>
      <w:r w:rsidR="008D66F0" w:rsidRPr="008D66F0">
        <w:t>deploy</w:t>
      </w:r>
      <w:r w:rsidRPr="008D66F0">
        <w:t xml:space="preserve"> additional nodes without a corresponding increase in system information overhead.</w:t>
      </w:r>
    </w:p>
    <w:p w:rsidR="005D774E" w:rsidRPr="00510266" w:rsidRDefault="005D774E" w:rsidP="005D774E">
      <w:pPr>
        <w:pStyle w:val="Heading1"/>
      </w:pPr>
      <w:r w:rsidRPr="00510266">
        <w:t>References</w:t>
      </w:r>
    </w:p>
    <w:p w:rsidR="005D774E" w:rsidRPr="00BA2CDD" w:rsidRDefault="005D774E" w:rsidP="005D774E">
      <w:pPr>
        <w:numPr>
          <w:ilvl w:val="0"/>
          <w:numId w:val="2"/>
        </w:numPr>
        <w:jc w:val="both"/>
        <w:rPr>
          <w:szCs w:val="20"/>
          <w:lang w:val="it-IT"/>
        </w:rPr>
      </w:pPr>
      <w:bookmarkStart w:id="3" w:name="_Ref450547741"/>
      <w:bookmarkStart w:id="4" w:name="_Ref450380759"/>
      <w:r>
        <w:rPr>
          <w:szCs w:val="20"/>
          <w:lang w:val="it-IT"/>
        </w:rPr>
        <w:t>R2-16xxxx, “</w:t>
      </w:r>
      <w:bookmarkStart w:id="5" w:name="_GoBack"/>
      <w:r w:rsidRPr="005D774E">
        <w:rPr>
          <w:szCs w:val="20"/>
          <w:lang w:val="it-IT"/>
        </w:rPr>
        <w:t>System information distribution</w:t>
      </w:r>
      <w:bookmarkEnd w:id="5"/>
      <w:r>
        <w:rPr>
          <w:szCs w:val="20"/>
          <w:lang w:val="it-IT"/>
        </w:rPr>
        <w:t>”, Ericsson</w:t>
      </w:r>
      <w:bookmarkEnd w:id="3"/>
    </w:p>
    <w:p w:rsidR="005D774E" w:rsidRDefault="005D774E" w:rsidP="005D774E">
      <w:pPr>
        <w:numPr>
          <w:ilvl w:val="0"/>
          <w:numId w:val="2"/>
        </w:numPr>
        <w:jc w:val="both"/>
      </w:pPr>
      <w:bookmarkStart w:id="6" w:name="_Ref450547764"/>
      <w:r>
        <w:t>R2-16xxxx, “Energy efficiency performance”, Ericsson</w:t>
      </w:r>
      <w:bookmarkEnd w:id="4"/>
      <w:bookmarkEnd w:id="6"/>
    </w:p>
    <w:p w:rsidR="005D774E" w:rsidRPr="005D774E" w:rsidRDefault="005D774E" w:rsidP="005D774E">
      <w:pPr>
        <w:pStyle w:val="BodyText"/>
        <w:rPr>
          <w:lang w:val="it-IT"/>
        </w:rPr>
      </w:pPr>
    </w:p>
    <w:p w:rsidR="00A80C54" w:rsidRPr="00A80C54" w:rsidRDefault="00A80C54" w:rsidP="00A80C54">
      <w:pPr>
        <w:pStyle w:val="BodyText"/>
      </w:pPr>
    </w:p>
    <w:sectPr w:rsidR="00A80C54" w:rsidRPr="00A80C5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39E" w:rsidRDefault="0045739E">
      <w:r>
        <w:separator/>
      </w:r>
    </w:p>
  </w:endnote>
  <w:endnote w:type="continuationSeparator" w:id="0">
    <w:p w:rsidR="0045739E" w:rsidRDefault="00457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39E" w:rsidRDefault="0045739E">
      <w:r>
        <w:separator/>
      </w:r>
    </w:p>
  </w:footnote>
  <w:footnote w:type="continuationSeparator" w:id="0">
    <w:p w:rsidR="0045739E" w:rsidRDefault="00457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45739E"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F390607"/>
    <w:multiLevelType w:val="hybridMultilevel"/>
    <w:tmpl w:val="BD1A3D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1C0587"/>
    <w:multiLevelType w:val="hybridMultilevel"/>
    <w:tmpl w:val="604481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527D5C12"/>
    <w:multiLevelType w:val="hybridMultilevel"/>
    <w:tmpl w:val="BED0CF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670E5480"/>
    <w:multiLevelType w:val="hybridMultilevel"/>
    <w:tmpl w:val="D21E6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68183FD7"/>
    <w:multiLevelType w:val="hybridMultilevel"/>
    <w:tmpl w:val="91CA7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4"/>
  </w:num>
  <w:num w:numId="3">
    <w:abstractNumId w:val="2"/>
  </w:num>
  <w:num w:numId="4">
    <w:abstractNumId w:val="7"/>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5"/>
  </w:num>
  <w:num w:numId="10">
    <w:abstractNumId w:val="3"/>
  </w:num>
  <w:num w:numId="11">
    <w:abstractNumId w:val="9"/>
  </w:num>
  <w:num w:numId="12">
    <w:abstractNumId w:val="8"/>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0FB1"/>
    <w:rsid w:val="00022E81"/>
    <w:rsid w:val="00035E00"/>
    <w:rsid w:val="00067D24"/>
    <w:rsid w:val="0009619C"/>
    <w:rsid w:val="000D4803"/>
    <w:rsid w:val="000E0F1D"/>
    <w:rsid w:val="001141C3"/>
    <w:rsid w:val="00156FE3"/>
    <w:rsid w:val="001639B5"/>
    <w:rsid w:val="001678D1"/>
    <w:rsid w:val="001B18F7"/>
    <w:rsid w:val="001C75E0"/>
    <w:rsid w:val="001D0503"/>
    <w:rsid w:val="0020453D"/>
    <w:rsid w:val="0022115C"/>
    <w:rsid w:val="00235B9D"/>
    <w:rsid w:val="0026076E"/>
    <w:rsid w:val="0029457C"/>
    <w:rsid w:val="00297704"/>
    <w:rsid w:val="002C1A1F"/>
    <w:rsid w:val="00334092"/>
    <w:rsid w:val="00391A0B"/>
    <w:rsid w:val="003D5908"/>
    <w:rsid w:val="00402702"/>
    <w:rsid w:val="0045739E"/>
    <w:rsid w:val="004823F8"/>
    <w:rsid w:val="004A3F44"/>
    <w:rsid w:val="004E0AB2"/>
    <w:rsid w:val="005129B3"/>
    <w:rsid w:val="005B038C"/>
    <w:rsid w:val="005D774E"/>
    <w:rsid w:val="005F758E"/>
    <w:rsid w:val="006A286A"/>
    <w:rsid w:val="006A2A53"/>
    <w:rsid w:val="007021AF"/>
    <w:rsid w:val="007B3530"/>
    <w:rsid w:val="008316A5"/>
    <w:rsid w:val="00841D53"/>
    <w:rsid w:val="008667D8"/>
    <w:rsid w:val="0087287C"/>
    <w:rsid w:val="00872E9C"/>
    <w:rsid w:val="008A482A"/>
    <w:rsid w:val="008C0A49"/>
    <w:rsid w:val="008D66F0"/>
    <w:rsid w:val="0092507A"/>
    <w:rsid w:val="00926105"/>
    <w:rsid w:val="0094179A"/>
    <w:rsid w:val="009960A5"/>
    <w:rsid w:val="009F0894"/>
    <w:rsid w:val="00A25086"/>
    <w:rsid w:val="00A42C1B"/>
    <w:rsid w:val="00A55C73"/>
    <w:rsid w:val="00A80C54"/>
    <w:rsid w:val="00AA5058"/>
    <w:rsid w:val="00B21130"/>
    <w:rsid w:val="00B368D9"/>
    <w:rsid w:val="00B72E60"/>
    <w:rsid w:val="00C1560A"/>
    <w:rsid w:val="00C82C6E"/>
    <w:rsid w:val="00C854D4"/>
    <w:rsid w:val="00D539B8"/>
    <w:rsid w:val="00D97F19"/>
    <w:rsid w:val="00DA4DEF"/>
    <w:rsid w:val="00DD0C9E"/>
    <w:rsid w:val="00DE33DA"/>
    <w:rsid w:val="00DF03D2"/>
    <w:rsid w:val="00E15CDE"/>
    <w:rsid w:val="00E66190"/>
    <w:rsid w:val="00E747B0"/>
    <w:rsid w:val="00EC7DC1"/>
    <w:rsid w:val="00EF36D7"/>
    <w:rsid w:val="00F002CD"/>
    <w:rsid w:val="00F062F2"/>
    <w:rsid w:val="00F307F4"/>
    <w:rsid w:val="00F42713"/>
    <w:rsid w:val="00F61907"/>
    <w:rsid w:val="00F64E0F"/>
    <w:rsid w:val="00F82768"/>
    <w:rsid w:val="00F83ECA"/>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customStyle="1" w:styleId="Reference">
    <w:name w:val="Reference"/>
    <w:basedOn w:val="Normal"/>
    <w:link w:val="ReferenceChar"/>
    <w:qFormat/>
    <w:rsid w:val="005D774E"/>
    <w:pPr>
      <w:numPr>
        <w:numId w:val="1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locked/>
    <w:rsid w:val="005D774E"/>
    <w:rPr>
      <w:rFonts w:ascii="Arial" w:eastAsia="Times New Roman" w:hAnsi="Arial" w:cs="Times New Roman"/>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customStyle="1" w:styleId="Reference">
    <w:name w:val="Reference"/>
    <w:basedOn w:val="Normal"/>
    <w:link w:val="ReferenceChar"/>
    <w:qFormat/>
    <w:rsid w:val="005D774E"/>
    <w:pPr>
      <w:numPr>
        <w:numId w:val="1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locked/>
    <w:rsid w:val="005D774E"/>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41607">
      <w:bodyDiv w:val="1"/>
      <w:marLeft w:val="0"/>
      <w:marRight w:val="0"/>
      <w:marTop w:val="0"/>
      <w:marBottom w:val="0"/>
      <w:divBdr>
        <w:top w:val="none" w:sz="0" w:space="0" w:color="auto"/>
        <w:left w:val="none" w:sz="0" w:space="0" w:color="auto"/>
        <w:bottom w:val="none" w:sz="0" w:space="0" w:color="auto"/>
        <w:right w:val="none" w:sz="0" w:space="0" w:color="auto"/>
      </w:divBdr>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8D440-485A-47EA-821A-7FB36BB8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833</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2016-05-11T08:28:00Z</dcterms:created>
  <dcterms:modified xsi:type="dcterms:W3CDTF">2016-05-13T13:02:00Z</dcterms:modified>
</cp:coreProperties>
</file>