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799" w:rsidRPr="00446F9D" w:rsidRDefault="00FE5799" w:rsidP="00FE5799">
      <w:pPr>
        <w:pStyle w:val="Header"/>
        <w:tabs>
          <w:tab w:val="clear" w:pos="4536"/>
        </w:tabs>
        <w:rPr>
          <w:i/>
        </w:rPr>
      </w:pPr>
      <w:r w:rsidRPr="00446F9D">
        <w:t>TSG-RAN WG1 #</w:t>
      </w:r>
      <w:r w:rsidR="008F6929">
        <w:t>85</w:t>
      </w:r>
      <w:r w:rsidRPr="00446F9D">
        <w:tab/>
        <w:t>R1-</w:t>
      </w:r>
      <w:r w:rsidR="008C639D">
        <w:t>164622</w:t>
      </w:r>
    </w:p>
    <w:p w:rsidR="00FE5799" w:rsidRPr="000833FA" w:rsidRDefault="008F6929" w:rsidP="00FE5799">
      <w:pPr>
        <w:pStyle w:val="Header"/>
        <w:rPr>
          <w:color w:val="000000"/>
        </w:rPr>
      </w:pPr>
      <w:r>
        <w:t>Nanjing, China</w:t>
      </w:r>
      <w:r w:rsidR="00FE5799" w:rsidRPr="000833FA">
        <w:t>,</w:t>
      </w:r>
      <w:r>
        <w:t xml:space="preserve"> May 23 – 27</w:t>
      </w:r>
      <w:r w:rsidR="00FE5799">
        <w:t>, 2016</w:t>
      </w:r>
    </w:p>
    <w:p w:rsidR="00FE5799" w:rsidRPr="000833FA" w:rsidRDefault="00FE5799" w:rsidP="00FE5799">
      <w:pPr>
        <w:pStyle w:val="Header"/>
      </w:pPr>
    </w:p>
    <w:p w:rsidR="00FE5799" w:rsidRPr="0003368D" w:rsidRDefault="00FE5799" w:rsidP="00FE5799">
      <w:pPr>
        <w:pStyle w:val="Header"/>
        <w:tabs>
          <w:tab w:val="clear" w:pos="4536"/>
          <w:tab w:val="left" w:pos="1800"/>
        </w:tabs>
        <w:ind w:left="1800" w:hanging="1800"/>
      </w:pPr>
      <w:r w:rsidRPr="0003368D">
        <w:t>Source:</w:t>
      </w:r>
      <w:r w:rsidRPr="0003368D">
        <w:tab/>
        <w:t>Ericsson</w:t>
      </w:r>
    </w:p>
    <w:p w:rsidR="00FE5799" w:rsidRPr="00F64D4A" w:rsidRDefault="00FE5799" w:rsidP="00FE5799">
      <w:pPr>
        <w:pStyle w:val="Header"/>
        <w:tabs>
          <w:tab w:val="clear" w:pos="4536"/>
          <w:tab w:val="left" w:pos="1800"/>
        </w:tabs>
      </w:pPr>
      <w:r w:rsidRPr="0003368D">
        <w:t>Title:</w:t>
      </w:r>
      <w:bookmarkStart w:id="0" w:name="Title"/>
      <w:bookmarkEnd w:id="0"/>
      <w:r w:rsidRPr="0003368D">
        <w:tab/>
      </w:r>
      <w:r w:rsidR="008F6929">
        <w:t>NR numerology</w:t>
      </w:r>
    </w:p>
    <w:p w:rsidR="00FE5799" w:rsidRPr="0003368D" w:rsidRDefault="00FE5799" w:rsidP="00FE5799">
      <w:pPr>
        <w:pStyle w:val="Header"/>
        <w:tabs>
          <w:tab w:val="left" w:pos="1800"/>
        </w:tabs>
      </w:pPr>
      <w:r w:rsidRPr="0003368D">
        <w:t>Agenda Item:</w:t>
      </w:r>
      <w:bookmarkStart w:id="1" w:name="Source"/>
      <w:bookmarkEnd w:id="1"/>
      <w:r w:rsidRPr="0003368D">
        <w:tab/>
      </w:r>
      <w:r w:rsidR="00B1745E">
        <w:t>7.1.4</w:t>
      </w:r>
    </w:p>
    <w:p w:rsidR="00FE5799" w:rsidRPr="0003368D" w:rsidRDefault="00FE5799" w:rsidP="00FE5799">
      <w:pPr>
        <w:pStyle w:val="Header"/>
        <w:tabs>
          <w:tab w:val="left" w:pos="1800"/>
        </w:tabs>
      </w:pPr>
      <w:r w:rsidRPr="0003368D">
        <w:t>Document for:</w:t>
      </w:r>
      <w:r w:rsidRPr="0003368D">
        <w:tab/>
      </w:r>
      <w:bookmarkStart w:id="2" w:name="DocumentFor"/>
      <w:bookmarkEnd w:id="2"/>
      <w:r w:rsidRPr="0003368D">
        <w:t xml:space="preserve">Discussion </w:t>
      </w:r>
      <w:r>
        <w:t>and Decision</w:t>
      </w:r>
    </w:p>
    <w:p w:rsidR="00FE5799" w:rsidRPr="00466379" w:rsidRDefault="00FE5799" w:rsidP="00FE5799">
      <w:pPr>
        <w:pBdr>
          <w:bottom w:val="single" w:sz="4" w:space="1" w:color="auto"/>
        </w:pBdr>
        <w:tabs>
          <w:tab w:val="left" w:pos="2552"/>
        </w:tabs>
        <w:rPr>
          <w:lang w:val="it-IT"/>
        </w:rPr>
      </w:pPr>
    </w:p>
    <w:p w:rsidR="00466379" w:rsidRDefault="00466379" w:rsidP="00466379">
      <w:pPr>
        <w:pStyle w:val="Heading1"/>
      </w:pPr>
      <w:r>
        <w:t>Background</w:t>
      </w:r>
    </w:p>
    <w:p w:rsidR="00466379" w:rsidRDefault="00466379" w:rsidP="00466379">
      <w:pPr>
        <w:pStyle w:val="BodyText"/>
      </w:pPr>
    </w:p>
    <w:p w:rsidR="00466379" w:rsidRDefault="00466379" w:rsidP="00466379">
      <w:pPr>
        <w:pStyle w:val="BodyText"/>
      </w:pPr>
      <w:r>
        <w:t>At RAN1 #84b, the following was agreed in terms of NR numerology:</w:t>
      </w:r>
    </w:p>
    <w:p w:rsidR="00466379" w:rsidRDefault="00466379" w:rsidP="00466379">
      <w:pPr>
        <w:pStyle w:val="BodyText"/>
        <w:pBdr>
          <w:bottom w:val="single" w:sz="6" w:space="1" w:color="auto"/>
        </w:pBdr>
      </w:pPr>
    </w:p>
    <w:p w:rsidR="00466379" w:rsidRPr="00582543" w:rsidRDefault="00466379" w:rsidP="00466379">
      <w:pPr>
        <w:rPr>
          <w:rFonts w:eastAsia="MS Mincho"/>
          <w:i/>
          <w:lang w:eastAsia="ja-JP"/>
        </w:rPr>
      </w:pPr>
      <w:r w:rsidRPr="00582543">
        <w:rPr>
          <w:rFonts w:eastAsia="MS Mincho"/>
          <w:i/>
          <w:lang w:eastAsia="ja-JP"/>
        </w:rPr>
        <w:t>Values of subcarrier-spacing are derived from a particular value of subcarrier-spacing multiplied by N where N is an integer</w:t>
      </w:r>
    </w:p>
    <w:p w:rsidR="00466379" w:rsidRPr="00582543" w:rsidRDefault="00466379" w:rsidP="00466379">
      <w:pPr>
        <w:numPr>
          <w:ilvl w:val="0"/>
          <w:numId w:val="6"/>
        </w:numPr>
        <w:rPr>
          <w:rFonts w:eastAsia="MS Mincho"/>
          <w:i/>
          <w:lang w:eastAsia="ja-JP"/>
        </w:rPr>
      </w:pPr>
      <w:r w:rsidRPr="00582543">
        <w:rPr>
          <w:rFonts w:eastAsia="MS Mincho"/>
          <w:i/>
          <w:lang w:eastAsia="ja-JP"/>
        </w:rPr>
        <w:t xml:space="preserve">Alt.1: Subcarrier-spacing values include 15 kHz subcarrier-spacing (i.e., </w:t>
      </w:r>
      <w:r>
        <w:rPr>
          <w:rFonts w:eastAsia="MS Mincho"/>
          <w:i/>
          <w:lang w:eastAsia="ja-JP"/>
        </w:rPr>
        <w:t>“LTE-</w:t>
      </w:r>
      <w:r w:rsidRPr="00582543">
        <w:rPr>
          <w:rFonts w:eastAsia="MS Mincho"/>
          <w:i/>
          <w:lang w:eastAsia="ja-JP"/>
        </w:rPr>
        <w:t>based</w:t>
      </w:r>
      <w:r>
        <w:rPr>
          <w:rFonts w:eastAsia="MS Mincho"/>
          <w:i/>
          <w:lang w:eastAsia="ja-JP"/>
        </w:rPr>
        <w:t>”</w:t>
      </w:r>
      <w:r w:rsidRPr="00582543">
        <w:rPr>
          <w:rFonts w:eastAsia="MS Mincho"/>
          <w:i/>
          <w:lang w:eastAsia="ja-JP"/>
        </w:rPr>
        <w:t xml:space="preserve"> numerology)</w:t>
      </w:r>
    </w:p>
    <w:p w:rsidR="00466379" w:rsidRPr="00582543" w:rsidRDefault="00466379" w:rsidP="00466379">
      <w:pPr>
        <w:numPr>
          <w:ilvl w:val="0"/>
          <w:numId w:val="6"/>
        </w:numPr>
        <w:rPr>
          <w:rFonts w:eastAsia="MS Mincho"/>
          <w:i/>
          <w:lang w:eastAsia="ja-JP"/>
        </w:rPr>
      </w:pPr>
      <w:r w:rsidRPr="00582543">
        <w:rPr>
          <w:rFonts w:eastAsia="MS Mincho"/>
          <w:i/>
          <w:lang w:eastAsia="ja-JP"/>
        </w:rPr>
        <w:t>Alt.2: Subcarrier-spacing values include 17.5 kHz subcarrier-spacing with uniform symbol duration including CP length</w:t>
      </w:r>
    </w:p>
    <w:p w:rsidR="00466379" w:rsidRPr="00582543" w:rsidRDefault="00466379" w:rsidP="00466379">
      <w:pPr>
        <w:numPr>
          <w:ilvl w:val="0"/>
          <w:numId w:val="6"/>
        </w:numPr>
        <w:rPr>
          <w:rFonts w:eastAsia="MS Mincho"/>
          <w:i/>
          <w:lang w:eastAsia="ja-JP"/>
        </w:rPr>
      </w:pPr>
      <w:r w:rsidRPr="00582543">
        <w:rPr>
          <w:rFonts w:eastAsia="MS Mincho"/>
          <w:i/>
          <w:lang w:eastAsia="ja-JP"/>
        </w:rPr>
        <w:t>Alt.3: Subcarrier-spacing values include 17.06 kHz subcarrier-spacing with uniform symbol duration including CP length</w:t>
      </w:r>
    </w:p>
    <w:p w:rsidR="00466379" w:rsidRPr="00582543" w:rsidRDefault="00466379" w:rsidP="00466379">
      <w:pPr>
        <w:numPr>
          <w:ilvl w:val="0"/>
          <w:numId w:val="6"/>
        </w:numPr>
        <w:pBdr>
          <w:bottom w:val="single" w:sz="6" w:space="1" w:color="auto"/>
        </w:pBdr>
        <w:rPr>
          <w:rFonts w:eastAsia="MS Mincho"/>
          <w:i/>
          <w:lang w:eastAsia="ja-JP"/>
        </w:rPr>
      </w:pPr>
      <w:r w:rsidRPr="00582543">
        <w:rPr>
          <w:rFonts w:eastAsia="MS Mincho"/>
          <w:i/>
          <w:lang w:eastAsia="ja-JP"/>
        </w:rPr>
        <w:t>Alt.4: Subcarrier-spacing values 21.33 kHz</w:t>
      </w:r>
    </w:p>
    <w:p w:rsidR="00466379" w:rsidRDefault="00466379" w:rsidP="00466379">
      <w:pPr>
        <w:pStyle w:val="BodyText"/>
      </w:pPr>
    </w:p>
    <w:p w:rsidR="00466379" w:rsidRDefault="00466379" w:rsidP="00466379">
      <w:pPr>
        <w:pStyle w:val="BodyText"/>
      </w:pPr>
      <w:r>
        <w:t>It should be noted that, i</w:t>
      </w:r>
      <w:r w:rsidRPr="005F584A">
        <w:t xml:space="preserve">n practice, the 21.3 kHz </w:t>
      </w:r>
      <w:r>
        <w:t xml:space="preserve">baseline </w:t>
      </w:r>
      <w:r w:rsidRPr="005F584A">
        <w:t xml:space="preserve">sub-carrier spacing </w:t>
      </w:r>
      <w:r>
        <w:t xml:space="preserve">(Alt 4) </w:t>
      </w:r>
      <w:r w:rsidRPr="005F584A">
        <w:t xml:space="preserve">was </w:t>
      </w:r>
      <w:r>
        <w:t xml:space="preserve">really </w:t>
      </w:r>
      <w:r w:rsidRPr="005F584A">
        <w:t xml:space="preserve">not proposed as a stand-alone alternative but as a complement to </w:t>
      </w:r>
      <w:r>
        <w:t xml:space="preserve">the 17.06 </w:t>
      </w:r>
      <w:r w:rsidRPr="005F584A">
        <w:t xml:space="preserve">kHz </w:t>
      </w:r>
      <w:r>
        <w:t xml:space="preserve">sub-carrier spacing (Alt. 3) </w:t>
      </w:r>
      <w:r w:rsidRPr="005F584A">
        <w:t xml:space="preserve">in order to </w:t>
      </w:r>
      <w:r>
        <w:t>enable a complementary extended cyclic prefix.</w:t>
      </w:r>
    </w:p>
    <w:p w:rsidR="00466379" w:rsidRDefault="00466379" w:rsidP="00466379">
      <w:pPr>
        <w:pStyle w:val="BodyText"/>
      </w:pPr>
      <w:r>
        <w:t>The majority of RAN1 #84b papers focusing on numerology were in favor of Alt. 1, i.e. a numerology aligned with LTE/NB-</w:t>
      </w:r>
      <w:proofErr w:type="spellStart"/>
      <w:r>
        <w:t>IoT</w:t>
      </w:r>
      <w:proofErr w:type="spellEnd"/>
      <w:r>
        <w:t>, but no conclusion on further down-selection could be reached at the meeting.</w:t>
      </w:r>
    </w:p>
    <w:p w:rsidR="00466379" w:rsidRDefault="00466379" w:rsidP="00466379">
      <w:pPr>
        <w:pStyle w:val="BodyText"/>
      </w:pPr>
      <w:r>
        <w:t xml:space="preserve">There was also discussion of the possible values of the scale factor </w:t>
      </w:r>
      <w:r w:rsidRPr="00F403B5">
        <w:rPr>
          <w:i/>
        </w:rPr>
        <w:t>N</w:t>
      </w:r>
      <w:r>
        <w:t>:</w:t>
      </w:r>
    </w:p>
    <w:p w:rsidR="00466379" w:rsidRDefault="00466379" w:rsidP="00466379">
      <w:pPr>
        <w:pStyle w:val="BodyText"/>
        <w:numPr>
          <w:ilvl w:val="0"/>
          <w:numId w:val="7"/>
        </w:numPr>
      </w:pPr>
      <w:r>
        <w:t xml:space="preserve">Alternative A: </w:t>
      </w:r>
      <w:r w:rsidRPr="00935D22">
        <w:rPr>
          <w:i/>
        </w:rPr>
        <w:t>N</w:t>
      </w:r>
      <w:r>
        <w:t xml:space="preserve"> limited to </w:t>
      </w:r>
      <w:r w:rsidRPr="00935D22">
        <w:rPr>
          <w:i/>
        </w:rPr>
        <w:t>N</w:t>
      </w:r>
      <w:r>
        <w:t xml:space="preserve"> = 2</w:t>
      </w:r>
      <w:r w:rsidRPr="00935D22">
        <w:rPr>
          <w:i/>
          <w:vertAlign w:val="superscript"/>
        </w:rPr>
        <w:t>n</w:t>
      </w:r>
      <w:r>
        <w:t>, where n is an integer.</w:t>
      </w:r>
    </w:p>
    <w:p w:rsidR="00466379" w:rsidRDefault="00466379" w:rsidP="00466379">
      <w:pPr>
        <w:pStyle w:val="BodyText"/>
        <w:numPr>
          <w:ilvl w:val="0"/>
          <w:numId w:val="7"/>
        </w:numPr>
      </w:pPr>
      <w:r>
        <w:t xml:space="preserve">Alternative B: </w:t>
      </w:r>
      <w:r w:rsidRPr="00F403B5">
        <w:rPr>
          <w:i/>
        </w:rPr>
        <w:t>N</w:t>
      </w:r>
      <w:r>
        <w:t xml:space="preserve"> not limited </w:t>
      </w:r>
      <w:r w:rsidRPr="00935D22">
        <w:rPr>
          <w:i/>
        </w:rPr>
        <w:t>N</w:t>
      </w:r>
      <w:r>
        <w:t xml:space="preserve"> = 2</w:t>
      </w:r>
      <w:r w:rsidRPr="00935D22">
        <w:rPr>
          <w:i/>
          <w:vertAlign w:val="superscript"/>
        </w:rPr>
        <w:t>n</w:t>
      </w:r>
      <w:r>
        <w:t>.</w:t>
      </w:r>
    </w:p>
    <w:p w:rsidR="00466379" w:rsidRDefault="00466379" w:rsidP="00466379">
      <w:pPr>
        <w:pStyle w:val="BodyText"/>
      </w:pPr>
      <w:r>
        <w:t xml:space="preserve">Especially, companies promoting alternative B was proposing to include 75 kHz as part of Alternative 1, i.e. a scale factor N=5 assuming 15 kHz being the base line sub-carrier frequency. </w:t>
      </w:r>
    </w:p>
    <w:p w:rsidR="00466379" w:rsidRDefault="00466379" w:rsidP="00466379">
      <w:pPr>
        <w:pStyle w:val="Heading1"/>
      </w:pPr>
      <w:r>
        <w:t xml:space="preserve">Baseline numerology </w:t>
      </w:r>
    </w:p>
    <w:p w:rsidR="00466379" w:rsidRPr="00F403B5" w:rsidRDefault="00466379" w:rsidP="00466379">
      <w:pPr>
        <w:pStyle w:val="BodyText"/>
      </w:pPr>
      <w:r>
        <w:t>Below we briefly discussed some aspects related to the base-line numerology</w:t>
      </w:r>
    </w:p>
    <w:p w:rsidR="00466379" w:rsidRDefault="00466379" w:rsidP="00466379">
      <w:pPr>
        <w:pStyle w:val="Heading2"/>
      </w:pPr>
      <w:r>
        <w:t>Sampling rate</w:t>
      </w:r>
    </w:p>
    <w:p w:rsidR="00466379" w:rsidRDefault="00466379" w:rsidP="00466379">
      <w:pPr>
        <w:pStyle w:val="BodyText"/>
      </w:pPr>
      <w:r>
        <w:t>Being able to have a sampling rate which is a multiple of the LTE sampling rate is beneficial, for example in terms of being able to reuse LTE radio equipment when migrating spectrum from LTE to NR.</w:t>
      </w:r>
    </w:p>
    <w:p w:rsidR="00466379" w:rsidRDefault="00466379" w:rsidP="00466379">
      <w:pPr>
        <w:pStyle w:val="BodyText"/>
      </w:pPr>
      <w:r>
        <w:t>Alternative 1 (15 kHz) and alternative 3 (17.06 kHz) implies a sampling rate that is multiple of the LTE sampling rate while alternative 2 (17.5 kHz) assumes a sampling rate that is a rational number of the LTE sampling rate.</w:t>
      </w:r>
    </w:p>
    <w:p w:rsidR="00466379" w:rsidRDefault="00466379" w:rsidP="00466379">
      <w:pPr>
        <w:pStyle w:val="Heading2"/>
      </w:pPr>
      <w:r>
        <w:t>FFT size</w:t>
      </w:r>
    </w:p>
    <w:p w:rsidR="00466379" w:rsidRDefault="00466379" w:rsidP="00466379">
      <w:pPr>
        <w:pStyle w:val="BodyText"/>
      </w:pPr>
      <w:r>
        <w:t xml:space="preserve">Radix-2 FFT simplifies implementation of base station and device. </w:t>
      </w:r>
    </w:p>
    <w:p w:rsidR="00466379" w:rsidRDefault="00466379" w:rsidP="00466379">
      <w:pPr>
        <w:pStyle w:val="BodyText"/>
      </w:pPr>
      <w:r>
        <w:t>Alternative 1 and alternative 2 are based on radix-2 FFT while alternative 3 is based on radix-2, 3, and 5.</w:t>
      </w:r>
    </w:p>
    <w:p w:rsidR="00466379" w:rsidRDefault="00466379" w:rsidP="00466379">
      <w:pPr>
        <w:pStyle w:val="Heading2"/>
      </w:pPr>
      <w:r>
        <w:t xml:space="preserve">Symbols in 1 </w:t>
      </w:r>
      <w:proofErr w:type="spellStart"/>
      <w:r>
        <w:t>ms</w:t>
      </w:r>
      <w:proofErr w:type="spellEnd"/>
    </w:p>
    <w:p w:rsidR="00466379" w:rsidRPr="00935D22" w:rsidRDefault="00466379" w:rsidP="00466379">
      <w:pPr>
        <w:pStyle w:val="BodyText"/>
      </w:pPr>
      <w:r>
        <w:t>Having 2</w:t>
      </w:r>
      <w:r>
        <w:rPr>
          <w:vertAlign w:val="superscript"/>
        </w:rPr>
        <w:t>m</w:t>
      </w:r>
      <w:r>
        <w:t xml:space="preserve"> symbols in 1 </w:t>
      </w:r>
      <w:proofErr w:type="spellStart"/>
      <w:r>
        <w:t>ms</w:t>
      </w:r>
      <w:proofErr w:type="spellEnd"/>
      <w:r>
        <w:t xml:space="preserve"> allows for better granularity in terms of different lengths of the scheduling interval while still being aligned with the LTE 1 </w:t>
      </w:r>
      <w:proofErr w:type="spellStart"/>
      <w:r>
        <w:t>ms</w:t>
      </w:r>
      <w:proofErr w:type="spellEnd"/>
      <w:r>
        <w:t xml:space="preserve"> </w:t>
      </w:r>
      <w:proofErr w:type="spellStart"/>
      <w:r>
        <w:t>subframe</w:t>
      </w:r>
      <w:proofErr w:type="spellEnd"/>
      <w:r>
        <w:t xml:space="preserve">. </w:t>
      </w:r>
    </w:p>
    <w:p w:rsidR="00466379" w:rsidRDefault="00466379" w:rsidP="00466379">
      <w:pPr>
        <w:pStyle w:val="BodyText"/>
      </w:pPr>
      <w:r>
        <w:t>Alternative 2 and 3 implies 2</w:t>
      </w:r>
      <w:r>
        <w:rPr>
          <w:vertAlign w:val="superscript"/>
        </w:rPr>
        <w:t>m</w:t>
      </w:r>
      <w:r>
        <w:t xml:space="preserve"> symbols in 1 </w:t>
      </w:r>
      <w:proofErr w:type="spellStart"/>
      <w:r>
        <w:t>ms</w:t>
      </w:r>
      <w:proofErr w:type="spellEnd"/>
      <w:r>
        <w:t xml:space="preserve"> while alternative 1 has 14 symbols in 1 </w:t>
      </w:r>
      <w:proofErr w:type="spellStart"/>
      <w:r>
        <w:t>ms</w:t>
      </w:r>
      <w:proofErr w:type="spellEnd"/>
      <w:r>
        <w:t xml:space="preserve"> (for 15 kHz). </w:t>
      </w:r>
    </w:p>
    <w:p w:rsidR="00466379" w:rsidRDefault="00466379" w:rsidP="00466379">
      <w:pPr>
        <w:pStyle w:val="Heading2"/>
      </w:pPr>
      <w:r>
        <w:lastRenderedPageBreak/>
        <w:t>Extended CP</w:t>
      </w:r>
    </w:p>
    <w:p w:rsidR="00466379" w:rsidRDefault="00466379" w:rsidP="00466379">
      <w:pPr>
        <w:pStyle w:val="BodyText"/>
      </w:pPr>
      <w:r>
        <w:t xml:space="preserve">Possibility to extend the cyclic prefix without going for a smaller sub-carrier spacing implies additional flexibility in deployment of the radio-access technology. Note that it may not necessarily be about having a longer cyclic for sub-carrier spacing in the order of LTE (15 kHz). A more important case could be about having the possibility for a longer cyclic prefix for the higher sub-carrier </w:t>
      </w:r>
      <w:proofErr w:type="spellStart"/>
      <w:r>
        <w:t>spacings</w:t>
      </w:r>
      <w:proofErr w:type="spellEnd"/>
      <w:r>
        <w:t xml:space="preserve"> where the “normal” cyclic prefix is relatively short.</w:t>
      </w:r>
    </w:p>
    <w:p w:rsidR="00466379" w:rsidRPr="0064204C" w:rsidRDefault="00466379" w:rsidP="00466379">
      <w:pPr>
        <w:pStyle w:val="BodyText"/>
      </w:pPr>
      <w:r>
        <w:t>Alternative 1 can reuse the LTE mechanism for extended cyclic prefix while alternative 2 and 3 does not allow for an extended cyclic prefix without going for a different sub-carrier spacing or, alternatively, breaking the 2</w:t>
      </w:r>
      <w:r>
        <w:rPr>
          <w:vertAlign w:val="superscript"/>
        </w:rPr>
        <w:t>m</w:t>
      </w:r>
      <w:r>
        <w:t>-symbols-in-1-ms property.</w:t>
      </w:r>
    </w:p>
    <w:p w:rsidR="00466379" w:rsidRPr="00AD5266" w:rsidRDefault="00466379" w:rsidP="00466379">
      <w:pPr>
        <w:pStyle w:val="Heading2"/>
      </w:pPr>
      <w:r>
        <w:t>Co-existence with NB-</w:t>
      </w:r>
      <w:proofErr w:type="spellStart"/>
      <w:r>
        <w:t>IoT</w:t>
      </w:r>
      <w:proofErr w:type="spellEnd"/>
    </w:p>
    <w:p w:rsidR="00466379" w:rsidRDefault="00466379" w:rsidP="00466379">
      <w:pPr>
        <w:pStyle w:val="BodyText"/>
      </w:pPr>
      <w:r>
        <w:t>A key reason for adopting a 15 kHz sub-carrier spacing for NB-</w:t>
      </w:r>
      <w:proofErr w:type="spellStart"/>
      <w:r>
        <w:t>IoT</w:t>
      </w:r>
      <w:proofErr w:type="spellEnd"/>
      <w:r>
        <w:t xml:space="preserve"> was the possibility to deploy NB-</w:t>
      </w:r>
      <w:proofErr w:type="spellStart"/>
      <w:r>
        <w:t>IoT</w:t>
      </w:r>
      <w:proofErr w:type="spellEnd"/>
      <w:r>
        <w:t xml:space="preserve"> </w:t>
      </w:r>
      <w:proofErr w:type="spellStart"/>
      <w:r>
        <w:t>inband</w:t>
      </w:r>
      <w:proofErr w:type="spellEnd"/>
      <w:r>
        <w:t xml:space="preserve"> within a legacy LTE carrier. Taking into account the long “life time” for </w:t>
      </w:r>
      <w:proofErr w:type="spellStart"/>
      <w:r>
        <w:t>IoT</w:t>
      </w:r>
      <w:proofErr w:type="spellEnd"/>
      <w:r>
        <w:t xml:space="preserve"> devices, it is clearly of interest to be able to migrate LTE spectrum to NR while still being able to support NB-</w:t>
      </w:r>
      <w:proofErr w:type="spellStart"/>
      <w:r>
        <w:t>IoT</w:t>
      </w:r>
      <w:proofErr w:type="spellEnd"/>
      <w:r>
        <w:t xml:space="preserve"> devices within the spectrum</w:t>
      </w:r>
    </w:p>
    <w:p w:rsidR="00466379" w:rsidRDefault="00466379" w:rsidP="00466379">
      <w:pPr>
        <w:pStyle w:val="BodyText"/>
      </w:pPr>
      <w:r>
        <w:t xml:space="preserve">Alternative 1 allows for keeping </w:t>
      </w:r>
      <w:proofErr w:type="spellStart"/>
      <w:r>
        <w:t>inband</w:t>
      </w:r>
      <w:proofErr w:type="spellEnd"/>
      <w:r>
        <w:t xml:space="preserve"> deployment of NB-</w:t>
      </w:r>
      <w:proofErr w:type="spellStart"/>
      <w:r>
        <w:t>IoT</w:t>
      </w:r>
      <w:proofErr w:type="spellEnd"/>
      <w:r>
        <w:t xml:space="preserve"> when migrating LTE to NR (assuming 15 kHz sub-carrier spacing) while alternative 2 and 3 only allows for “</w:t>
      </w:r>
      <w:proofErr w:type="spellStart"/>
      <w:r>
        <w:t>guardband</w:t>
      </w:r>
      <w:proofErr w:type="spellEnd"/>
      <w:r>
        <w:t>” deployment.</w:t>
      </w:r>
    </w:p>
    <w:p w:rsidR="00466379" w:rsidRDefault="00466379" w:rsidP="00466379">
      <w:pPr>
        <w:pStyle w:val="BodyText"/>
      </w:pPr>
    </w:p>
    <w:p w:rsidR="00466379" w:rsidRDefault="00466379" w:rsidP="00466379">
      <w:pPr>
        <w:pStyle w:val="Heading2"/>
      </w:pPr>
      <w:r>
        <w:t>Summary and recommendation</w:t>
      </w:r>
    </w:p>
    <w:p w:rsidR="00466379" w:rsidRDefault="00466379" w:rsidP="00466379">
      <w:pPr>
        <w:pStyle w:val="BodyText"/>
      </w:pPr>
      <w:r>
        <w:t xml:space="preserve">The table below summarizes the evaluation of the different proposals. </w:t>
      </w:r>
    </w:p>
    <w:tbl>
      <w:tblPr>
        <w:tblStyle w:val="TableGrid"/>
        <w:tblW w:w="0" w:type="auto"/>
        <w:tblLook w:val="04A0" w:firstRow="1" w:lastRow="0" w:firstColumn="1" w:lastColumn="0" w:noHBand="0" w:noVBand="1"/>
      </w:tblPr>
      <w:tblGrid>
        <w:gridCol w:w="2322"/>
        <w:gridCol w:w="2322"/>
        <w:gridCol w:w="2322"/>
        <w:gridCol w:w="2322"/>
      </w:tblGrid>
      <w:tr w:rsidR="00466379" w:rsidTr="00CD17F9">
        <w:tc>
          <w:tcPr>
            <w:tcW w:w="2322" w:type="dxa"/>
          </w:tcPr>
          <w:p w:rsidR="00466379" w:rsidRDefault="00466379" w:rsidP="00CD17F9">
            <w:pPr>
              <w:pStyle w:val="BodyText"/>
            </w:pPr>
          </w:p>
        </w:tc>
        <w:tc>
          <w:tcPr>
            <w:tcW w:w="2322" w:type="dxa"/>
          </w:tcPr>
          <w:p w:rsidR="00466379" w:rsidRDefault="00466379" w:rsidP="00CD17F9">
            <w:pPr>
              <w:pStyle w:val="BodyText"/>
              <w:jc w:val="center"/>
            </w:pPr>
            <w:r>
              <w:t>Alt 1 (15 kHz)</w:t>
            </w:r>
          </w:p>
        </w:tc>
        <w:tc>
          <w:tcPr>
            <w:tcW w:w="2322" w:type="dxa"/>
          </w:tcPr>
          <w:p w:rsidR="00466379" w:rsidRDefault="00466379" w:rsidP="00CD17F9">
            <w:pPr>
              <w:pStyle w:val="BodyText"/>
              <w:jc w:val="center"/>
            </w:pPr>
            <w:r>
              <w:t>Alt 2 (17.5 kHz)</w:t>
            </w:r>
          </w:p>
        </w:tc>
        <w:tc>
          <w:tcPr>
            <w:tcW w:w="2322" w:type="dxa"/>
          </w:tcPr>
          <w:p w:rsidR="00466379" w:rsidRDefault="00466379" w:rsidP="00CD17F9">
            <w:pPr>
              <w:pStyle w:val="BodyText"/>
              <w:jc w:val="center"/>
            </w:pPr>
            <w:r>
              <w:t>Alt 3 (17.06 kHz)</w:t>
            </w:r>
          </w:p>
        </w:tc>
      </w:tr>
      <w:tr w:rsidR="00466379" w:rsidTr="00CD17F9">
        <w:tc>
          <w:tcPr>
            <w:tcW w:w="2322" w:type="dxa"/>
          </w:tcPr>
          <w:p w:rsidR="00466379" w:rsidRDefault="00466379" w:rsidP="00CD17F9">
            <w:pPr>
              <w:pStyle w:val="BodyText"/>
            </w:pPr>
            <w:r>
              <w:t>Sampling rate</w:t>
            </w:r>
          </w:p>
        </w:tc>
        <w:tc>
          <w:tcPr>
            <w:tcW w:w="2322" w:type="dxa"/>
          </w:tcPr>
          <w:p w:rsidR="00466379" w:rsidRDefault="00466379" w:rsidP="00CD17F9">
            <w:pPr>
              <w:pStyle w:val="BodyText"/>
              <w:jc w:val="center"/>
            </w:pPr>
            <w:r w:rsidRPr="005C2C75">
              <w:rPr>
                <w:color w:val="00B050"/>
              </w:rPr>
              <w:t>K</w:t>
            </w:r>
            <w:r w:rsidRPr="005C2C75">
              <w:rPr>
                <w:color w:val="00B050"/>
              </w:rPr>
              <w:sym w:font="Symbol" w:char="F0B4"/>
            </w:r>
            <w:r w:rsidRPr="005C2C75">
              <w:rPr>
                <w:color w:val="00B050"/>
              </w:rPr>
              <w:t>LTE</w:t>
            </w:r>
          </w:p>
        </w:tc>
        <w:tc>
          <w:tcPr>
            <w:tcW w:w="2322" w:type="dxa"/>
          </w:tcPr>
          <w:p w:rsidR="00466379" w:rsidRPr="005C2C75" w:rsidRDefault="00466379" w:rsidP="00CD17F9">
            <w:pPr>
              <w:pStyle w:val="BodyText"/>
              <w:jc w:val="center"/>
              <w:rPr>
                <w:color w:val="C00000"/>
              </w:rPr>
            </w:pPr>
            <w:r w:rsidRPr="005C2C75">
              <w:rPr>
                <w:color w:val="C00000"/>
              </w:rPr>
              <w:t>K/L</w:t>
            </w:r>
            <w:r w:rsidRPr="005C2C75">
              <w:rPr>
                <w:color w:val="C00000"/>
              </w:rPr>
              <w:sym w:font="Symbol" w:char="F0B4"/>
            </w:r>
            <w:r w:rsidRPr="005C2C75">
              <w:rPr>
                <w:color w:val="C00000"/>
              </w:rPr>
              <w:t>LTE</w:t>
            </w:r>
          </w:p>
        </w:tc>
        <w:tc>
          <w:tcPr>
            <w:tcW w:w="2322" w:type="dxa"/>
          </w:tcPr>
          <w:p w:rsidR="00466379" w:rsidRPr="005C2C75" w:rsidRDefault="00466379" w:rsidP="00CD17F9">
            <w:pPr>
              <w:pStyle w:val="BodyText"/>
              <w:jc w:val="center"/>
              <w:rPr>
                <w:color w:val="00B050"/>
              </w:rPr>
            </w:pPr>
            <w:r w:rsidRPr="005C2C75">
              <w:rPr>
                <w:color w:val="00B050"/>
              </w:rPr>
              <w:t>K</w:t>
            </w:r>
            <w:r w:rsidRPr="005C2C75">
              <w:rPr>
                <w:color w:val="00B050"/>
              </w:rPr>
              <w:sym w:font="Symbol" w:char="F0B4"/>
            </w:r>
            <w:r w:rsidRPr="005C2C75">
              <w:rPr>
                <w:color w:val="00B050"/>
              </w:rPr>
              <w:t>LTE</w:t>
            </w:r>
          </w:p>
        </w:tc>
      </w:tr>
      <w:tr w:rsidR="00466379" w:rsidTr="00CD17F9">
        <w:tc>
          <w:tcPr>
            <w:tcW w:w="2322" w:type="dxa"/>
          </w:tcPr>
          <w:p w:rsidR="00466379" w:rsidRDefault="00466379" w:rsidP="00CD17F9">
            <w:pPr>
              <w:pStyle w:val="BodyText"/>
            </w:pPr>
            <w:r>
              <w:t xml:space="preserve">Radix 2 FFT </w:t>
            </w:r>
          </w:p>
        </w:tc>
        <w:tc>
          <w:tcPr>
            <w:tcW w:w="2322" w:type="dxa"/>
          </w:tcPr>
          <w:p w:rsidR="00466379" w:rsidRPr="005C2C75" w:rsidRDefault="00466379" w:rsidP="00CD17F9">
            <w:pPr>
              <w:pStyle w:val="BodyText"/>
              <w:jc w:val="center"/>
              <w:rPr>
                <w:color w:val="00B050"/>
              </w:rPr>
            </w:pPr>
            <w:r w:rsidRPr="005C2C75">
              <w:rPr>
                <w:color w:val="00B050"/>
              </w:rPr>
              <w:t>Yes</w:t>
            </w:r>
          </w:p>
        </w:tc>
        <w:tc>
          <w:tcPr>
            <w:tcW w:w="2322" w:type="dxa"/>
          </w:tcPr>
          <w:p w:rsidR="00466379" w:rsidRPr="005C2C75" w:rsidRDefault="00466379" w:rsidP="00CD17F9">
            <w:pPr>
              <w:pStyle w:val="BodyText"/>
              <w:jc w:val="center"/>
              <w:rPr>
                <w:color w:val="00B050"/>
              </w:rPr>
            </w:pPr>
            <w:r w:rsidRPr="005C2C75">
              <w:rPr>
                <w:color w:val="00B050"/>
              </w:rPr>
              <w:t>Yes</w:t>
            </w:r>
          </w:p>
        </w:tc>
        <w:tc>
          <w:tcPr>
            <w:tcW w:w="2322" w:type="dxa"/>
          </w:tcPr>
          <w:p w:rsidR="00466379" w:rsidRDefault="00466379" w:rsidP="00CD17F9">
            <w:pPr>
              <w:pStyle w:val="BodyText"/>
              <w:jc w:val="center"/>
            </w:pPr>
            <w:r w:rsidRPr="005C2C75">
              <w:rPr>
                <w:color w:val="C00000"/>
              </w:rPr>
              <w:t>No</w:t>
            </w:r>
          </w:p>
        </w:tc>
      </w:tr>
      <w:tr w:rsidR="00466379" w:rsidTr="00CD17F9">
        <w:tc>
          <w:tcPr>
            <w:tcW w:w="2322" w:type="dxa"/>
          </w:tcPr>
          <w:p w:rsidR="00466379" w:rsidRPr="005C2C75" w:rsidRDefault="00466379" w:rsidP="00CD17F9">
            <w:pPr>
              <w:pStyle w:val="BodyText"/>
            </w:pPr>
            <w:r>
              <w:t>2</w:t>
            </w:r>
            <w:r>
              <w:rPr>
                <w:vertAlign w:val="superscript"/>
              </w:rPr>
              <w:t>m</w:t>
            </w:r>
            <w:r>
              <w:t xml:space="preserve"> symbols per 1 </w:t>
            </w:r>
            <w:proofErr w:type="spellStart"/>
            <w:r>
              <w:t>ms</w:t>
            </w:r>
            <w:proofErr w:type="spellEnd"/>
          </w:p>
        </w:tc>
        <w:tc>
          <w:tcPr>
            <w:tcW w:w="2322" w:type="dxa"/>
          </w:tcPr>
          <w:p w:rsidR="00466379" w:rsidRDefault="00466379" w:rsidP="00CD17F9">
            <w:pPr>
              <w:pStyle w:val="BodyText"/>
              <w:jc w:val="center"/>
            </w:pPr>
            <w:r w:rsidRPr="005C2C75">
              <w:rPr>
                <w:color w:val="C00000"/>
              </w:rPr>
              <w:t>No</w:t>
            </w:r>
          </w:p>
        </w:tc>
        <w:tc>
          <w:tcPr>
            <w:tcW w:w="2322" w:type="dxa"/>
          </w:tcPr>
          <w:p w:rsidR="00466379" w:rsidRPr="005C2C75" w:rsidRDefault="00466379" w:rsidP="00CD17F9">
            <w:pPr>
              <w:pStyle w:val="BodyText"/>
              <w:jc w:val="center"/>
              <w:rPr>
                <w:color w:val="00B050"/>
              </w:rPr>
            </w:pPr>
            <w:r w:rsidRPr="005C2C75">
              <w:rPr>
                <w:color w:val="00B050"/>
              </w:rPr>
              <w:t>Yes</w:t>
            </w:r>
          </w:p>
        </w:tc>
        <w:tc>
          <w:tcPr>
            <w:tcW w:w="2322" w:type="dxa"/>
          </w:tcPr>
          <w:p w:rsidR="00466379" w:rsidRPr="005C2C75" w:rsidRDefault="00466379" w:rsidP="00CD17F9">
            <w:pPr>
              <w:pStyle w:val="BodyText"/>
              <w:jc w:val="center"/>
              <w:rPr>
                <w:color w:val="00B050"/>
              </w:rPr>
            </w:pPr>
            <w:r w:rsidRPr="005C2C75">
              <w:rPr>
                <w:color w:val="00B050"/>
              </w:rPr>
              <w:t>Yes</w:t>
            </w:r>
          </w:p>
        </w:tc>
      </w:tr>
      <w:tr w:rsidR="00466379" w:rsidTr="00CD17F9">
        <w:tc>
          <w:tcPr>
            <w:tcW w:w="2322" w:type="dxa"/>
          </w:tcPr>
          <w:p w:rsidR="00466379" w:rsidRDefault="00466379" w:rsidP="00CD17F9">
            <w:pPr>
              <w:pStyle w:val="BodyText"/>
            </w:pPr>
            <w:r>
              <w:t>Extended CP for given sub-carrier spacing</w:t>
            </w:r>
          </w:p>
        </w:tc>
        <w:tc>
          <w:tcPr>
            <w:tcW w:w="2322" w:type="dxa"/>
          </w:tcPr>
          <w:p w:rsidR="00466379" w:rsidRDefault="00466379" w:rsidP="00CD17F9">
            <w:pPr>
              <w:pStyle w:val="BodyText"/>
              <w:jc w:val="center"/>
            </w:pPr>
            <w:r w:rsidRPr="005C2C75">
              <w:rPr>
                <w:color w:val="00B050"/>
              </w:rPr>
              <w:t>As in LTE</w:t>
            </w:r>
          </w:p>
        </w:tc>
        <w:tc>
          <w:tcPr>
            <w:tcW w:w="2322" w:type="dxa"/>
          </w:tcPr>
          <w:p w:rsidR="00466379" w:rsidRPr="005C2C75" w:rsidRDefault="00466379" w:rsidP="00CD17F9">
            <w:pPr>
              <w:pStyle w:val="BodyText"/>
              <w:jc w:val="center"/>
              <w:rPr>
                <w:color w:val="C00000"/>
              </w:rPr>
            </w:pPr>
            <w:r w:rsidRPr="005C2C75">
              <w:rPr>
                <w:color w:val="C00000"/>
              </w:rPr>
              <w:t>Not possible</w:t>
            </w:r>
          </w:p>
        </w:tc>
        <w:tc>
          <w:tcPr>
            <w:tcW w:w="2322" w:type="dxa"/>
          </w:tcPr>
          <w:p w:rsidR="00466379" w:rsidRPr="005C2C75" w:rsidRDefault="00466379" w:rsidP="00CD17F9">
            <w:pPr>
              <w:pStyle w:val="BodyText"/>
              <w:jc w:val="center"/>
              <w:rPr>
                <w:color w:val="C00000"/>
              </w:rPr>
            </w:pPr>
            <w:r w:rsidRPr="005C2C75">
              <w:rPr>
                <w:color w:val="C00000"/>
              </w:rPr>
              <w:t>Not possible</w:t>
            </w:r>
          </w:p>
        </w:tc>
      </w:tr>
      <w:tr w:rsidR="00466379" w:rsidTr="00CD17F9">
        <w:tc>
          <w:tcPr>
            <w:tcW w:w="2322" w:type="dxa"/>
          </w:tcPr>
          <w:p w:rsidR="00466379" w:rsidRDefault="00466379" w:rsidP="00CD17F9">
            <w:pPr>
              <w:pStyle w:val="BodyText"/>
            </w:pPr>
            <w:r>
              <w:t>Co-existence with NB-</w:t>
            </w:r>
            <w:proofErr w:type="spellStart"/>
            <w:r>
              <w:t>IoT</w:t>
            </w:r>
            <w:proofErr w:type="spellEnd"/>
          </w:p>
        </w:tc>
        <w:tc>
          <w:tcPr>
            <w:tcW w:w="2322" w:type="dxa"/>
          </w:tcPr>
          <w:p w:rsidR="00466379" w:rsidRDefault="00466379" w:rsidP="00CD17F9">
            <w:pPr>
              <w:pStyle w:val="BodyText"/>
              <w:jc w:val="center"/>
            </w:pPr>
            <w:proofErr w:type="spellStart"/>
            <w:r w:rsidRPr="005C2C75">
              <w:rPr>
                <w:color w:val="00B050"/>
              </w:rPr>
              <w:t>Inband</w:t>
            </w:r>
            <w:proofErr w:type="spellEnd"/>
            <w:r w:rsidRPr="005C2C75">
              <w:rPr>
                <w:color w:val="00B050"/>
              </w:rPr>
              <w:t xml:space="preserve"> or </w:t>
            </w:r>
            <w:proofErr w:type="spellStart"/>
            <w:r w:rsidRPr="005C2C75">
              <w:rPr>
                <w:color w:val="00B050"/>
              </w:rPr>
              <w:t>guardband</w:t>
            </w:r>
            <w:proofErr w:type="spellEnd"/>
          </w:p>
        </w:tc>
        <w:tc>
          <w:tcPr>
            <w:tcW w:w="2322" w:type="dxa"/>
          </w:tcPr>
          <w:p w:rsidR="00466379" w:rsidRPr="005C2C75" w:rsidRDefault="00466379" w:rsidP="00CD17F9">
            <w:pPr>
              <w:pStyle w:val="BodyText"/>
              <w:jc w:val="center"/>
              <w:rPr>
                <w:color w:val="C00000"/>
              </w:rPr>
            </w:pPr>
            <w:proofErr w:type="spellStart"/>
            <w:r w:rsidRPr="005C2C75">
              <w:rPr>
                <w:color w:val="C00000"/>
              </w:rPr>
              <w:t>Guardband</w:t>
            </w:r>
            <w:proofErr w:type="spellEnd"/>
            <w:r w:rsidRPr="005C2C75">
              <w:rPr>
                <w:color w:val="C00000"/>
              </w:rPr>
              <w:t xml:space="preserve"> only</w:t>
            </w:r>
          </w:p>
        </w:tc>
        <w:tc>
          <w:tcPr>
            <w:tcW w:w="2322" w:type="dxa"/>
          </w:tcPr>
          <w:p w:rsidR="00466379" w:rsidRPr="005C2C75" w:rsidRDefault="00466379" w:rsidP="00CD17F9">
            <w:pPr>
              <w:pStyle w:val="BodyText"/>
              <w:jc w:val="center"/>
              <w:rPr>
                <w:color w:val="C00000"/>
              </w:rPr>
            </w:pPr>
            <w:proofErr w:type="spellStart"/>
            <w:r w:rsidRPr="005C2C75">
              <w:rPr>
                <w:color w:val="C00000"/>
              </w:rPr>
              <w:t>Guardband</w:t>
            </w:r>
            <w:proofErr w:type="spellEnd"/>
            <w:r w:rsidRPr="005C2C75">
              <w:rPr>
                <w:color w:val="C00000"/>
              </w:rPr>
              <w:t xml:space="preserve"> only</w:t>
            </w:r>
          </w:p>
        </w:tc>
      </w:tr>
    </w:tbl>
    <w:p w:rsidR="00466379" w:rsidRDefault="00466379" w:rsidP="00466379">
      <w:pPr>
        <w:pStyle w:val="BodyText"/>
      </w:pPr>
    </w:p>
    <w:p w:rsidR="00466379" w:rsidRPr="00165AA0" w:rsidRDefault="00466379" w:rsidP="00466379">
      <w:pPr>
        <w:pStyle w:val="BodyText"/>
        <w:rPr>
          <w:b/>
          <w:i/>
        </w:rPr>
      </w:pPr>
      <w:r w:rsidRPr="00165AA0">
        <w:rPr>
          <w:b/>
          <w:i/>
        </w:rPr>
        <w:t xml:space="preserve">Recommendation: </w:t>
      </w:r>
    </w:p>
    <w:p w:rsidR="00466379" w:rsidRPr="00935D22" w:rsidRDefault="00466379" w:rsidP="00466379">
      <w:pPr>
        <w:pStyle w:val="BodyText"/>
        <w:rPr>
          <w:i/>
        </w:rPr>
      </w:pPr>
      <w:r w:rsidRPr="00935D22">
        <w:rPr>
          <w:i/>
        </w:rPr>
        <w:t xml:space="preserve">Based on this table and the fact that most companies that expressed a view at RAN1 #84b </w:t>
      </w:r>
      <w:r>
        <w:rPr>
          <w:i/>
        </w:rPr>
        <w:t>was in favo</w:t>
      </w:r>
      <w:r w:rsidRPr="00935D22">
        <w:rPr>
          <w:i/>
        </w:rPr>
        <w:t xml:space="preserve">r of alternative 1, it is recommended that RAN1 concludes on Alternative 1 as the baseline for the NR numerology. </w:t>
      </w:r>
    </w:p>
    <w:p w:rsidR="00466379" w:rsidRDefault="00466379" w:rsidP="00466379">
      <w:pPr>
        <w:pStyle w:val="Heading1"/>
      </w:pPr>
      <w:r>
        <w:t>Scale factors</w:t>
      </w:r>
    </w:p>
    <w:p w:rsidR="00466379" w:rsidRDefault="00466379" w:rsidP="00466379">
      <w:pPr>
        <w:pStyle w:val="BodyText"/>
      </w:pPr>
      <w:r>
        <w:t>It is assumed that the minimum scheduling units in time will also scale (inversely) with the subcarrier spacing.</w:t>
      </w:r>
    </w:p>
    <w:p w:rsidR="00466379" w:rsidRDefault="00466379" w:rsidP="00466379">
      <w:pPr>
        <w:pStyle w:val="BodyText"/>
      </w:pPr>
      <w:r>
        <w:t xml:space="preserve">To ensure good co-existence between different numerologies, smaller scale factors should divide larger scale factors, i.e.  </w:t>
      </w:r>
      <w:r w:rsidRPr="00466379">
        <w:rPr>
          <w:i/>
        </w:rPr>
        <w:t>N</w:t>
      </w:r>
      <w:r w:rsidRPr="00466379">
        <w:rPr>
          <w:i/>
          <w:vertAlign w:val="subscript"/>
        </w:rPr>
        <w:t>2</w:t>
      </w:r>
      <w:r w:rsidRPr="00466379">
        <w:rPr>
          <w:i/>
        </w:rPr>
        <w:t xml:space="preserve"> = K</w:t>
      </w:r>
      <w:r w:rsidRPr="00466379">
        <w:rPr>
          <w:i/>
          <w:vertAlign w:val="subscript"/>
        </w:rPr>
        <w:t>1</w:t>
      </w:r>
      <w:r w:rsidRPr="00466379">
        <w:rPr>
          <w:i/>
        </w:rPr>
        <w:sym w:font="Symbol" w:char="F0D7"/>
      </w:r>
      <w:r w:rsidRPr="00466379">
        <w:rPr>
          <w:i/>
        </w:rPr>
        <w:t>N</w:t>
      </w:r>
      <w:r w:rsidRPr="00466379">
        <w:rPr>
          <w:i/>
          <w:vertAlign w:val="subscript"/>
        </w:rPr>
        <w:t>1</w:t>
      </w:r>
      <w:r w:rsidRPr="00466379">
        <w:rPr>
          <w:i/>
        </w:rPr>
        <w:t>, N</w:t>
      </w:r>
      <w:r w:rsidRPr="00466379">
        <w:rPr>
          <w:i/>
          <w:vertAlign w:val="subscript"/>
        </w:rPr>
        <w:t>3</w:t>
      </w:r>
      <w:r w:rsidRPr="00466379">
        <w:rPr>
          <w:i/>
        </w:rPr>
        <w:t xml:space="preserve"> = K</w:t>
      </w:r>
      <w:r w:rsidRPr="00466379">
        <w:rPr>
          <w:i/>
          <w:vertAlign w:val="subscript"/>
        </w:rPr>
        <w:t>2</w:t>
      </w:r>
      <w:r w:rsidRPr="00466379">
        <w:rPr>
          <w:i/>
        </w:rPr>
        <w:sym w:font="Symbol" w:char="F0D7"/>
      </w:r>
      <w:r w:rsidRPr="00466379">
        <w:rPr>
          <w:i/>
        </w:rPr>
        <w:t>N</w:t>
      </w:r>
      <w:r w:rsidRPr="00466379">
        <w:rPr>
          <w:i/>
          <w:vertAlign w:val="subscript"/>
        </w:rPr>
        <w:t>2</w:t>
      </w:r>
      <w:r>
        <w:t xml:space="preserve">, etc. This would imply that scheduling intervals of different numerologies would match, something that would be necessary for example for efficient use of mixed numerologies within one carrier as proposed for example in </w:t>
      </w:r>
      <w:r w:rsidR="00924411">
        <w:fldChar w:fldCharType="begin"/>
      </w:r>
      <w:r w:rsidR="00924411">
        <w:instrText xml:space="preserve"> REF _Ref449604093 \r \h </w:instrText>
      </w:r>
      <w:r w:rsidR="00924411">
        <w:fldChar w:fldCharType="separate"/>
      </w:r>
      <w:r w:rsidR="00924411">
        <w:t>[1]</w:t>
      </w:r>
      <w:r w:rsidR="00924411">
        <w:fldChar w:fldCharType="end"/>
      </w:r>
      <w:bookmarkStart w:id="3" w:name="_GoBack"/>
      <w:bookmarkEnd w:id="3"/>
      <w:r>
        <w:t>.</w:t>
      </w:r>
    </w:p>
    <w:p w:rsidR="00466379" w:rsidRDefault="00466379" w:rsidP="00466379">
      <w:pPr>
        <w:pStyle w:val="BodyText"/>
      </w:pPr>
      <w:r>
        <w:t xml:space="preserve">It should be noted that this, in itself, does not rule out 75 kHz as part of </w:t>
      </w:r>
      <w:proofErr w:type="gramStart"/>
      <w:r>
        <w:t>a 15</w:t>
      </w:r>
      <w:proofErr w:type="gramEnd"/>
      <w:r>
        <w:t xml:space="preserve"> kHz numerology (Alternative 1). However, having </w:t>
      </w:r>
      <w:r w:rsidRPr="00466379">
        <w:rPr>
          <w:i/>
        </w:rPr>
        <w:t>N = 2</w:t>
      </w:r>
      <w:r w:rsidRPr="00466379">
        <w:rPr>
          <w:i/>
          <w:vertAlign w:val="superscript"/>
        </w:rPr>
        <w:t>n</w:t>
      </w:r>
      <w:r>
        <w:t xml:space="preserve"> provides the highest flexibility in numerology while still having smaller scale factors dividing larger ones. Especially, having sub-carrier spacing of 5 kHz and 75 kHz numerology would not allow for any sub-carrier </w:t>
      </w:r>
      <w:proofErr w:type="spellStart"/>
      <w:r>
        <w:t>spacings</w:t>
      </w:r>
      <w:proofErr w:type="spellEnd"/>
      <w:r>
        <w:t xml:space="preserve"> between 15 kHz and 75 kHz assuming the requirement that smaller scale factors should divide larger once.</w:t>
      </w:r>
    </w:p>
    <w:p w:rsidR="00466379" w:rsidRPr="00165AA0" w:rsidRDefault="00466379" w:rsidP="00466379">
      <w:pPr>
        <w:pStyle w:val="BodyText"/>
        <w:rPr>
          <w:b/>
          <w:i/>
        </w:rPr>
      </w:pPr>
      <w:r w:rsidRPr="00165AA0">
        <w:rPr>
          <w:b/>
          <w:i/>
        </w:rPr>
        <w:t>Recommendation:</w:t>
      </w:r>
    </w:p>
    <w:p w:rsidR="00466379" w:rsidRPr="00935D22" w:rsidRDefault="00466379" w:rsidP="00466379">
      <w:pPr>
        <w:pStyle w:val="BodyText"/>
        <w:rPr>
          <w:i/>
        </w:rPr>
      </w:pPr>
      <w:r w:rsidRPr="00935D22">
        <w:rPr>
          <w:i/>
        </w:rPr>
        <w:t>Based on this, it is recommended that RAN1 concludes on scale factors N = 2</w:t>
      </w:r>
      <w:r w:rsidRPr="00935D22">
        <w:rPr>
          <w:i/>
          <w:vertAlign w:val="superscript"/>
        </w:rPr>
        <w:t>m</w:t>
      </w:r>
      <w:r>
        <w:rPr>
          <w:i/>
        </w:rPr>
        <w:t xml:space="preserve"> as the b</w:t>
      </w:r>
      <w:r w:rsidRPr="00935D22">
        <w:rPr>
          <w:i/>
        </w:rPr>
        <w:t xml:space="preserve">aseline for the NR scalable numerology. </w:t>
      </w:r>
    </w:p>
    <w:p w:rsidR="00466379" w:rsidRPr="005C2C75" w:rsidRDefault="00466379" w:rsidP="00466379">
      <w:pPr>
        <w:pStyle w:val="BodyText"/>
      </w:pPr>
      <w:r>
        <w:t>It has been argued that having scale factor N=2</w:t>
      </w:r>
      <w:r>
        <w:rPr>
          <w:vertAlign w:val="superscript"/>
        </w:rPr>
        <w:t>n</w:t>
      </w:r>
      <w:r>
        <w:t xml:space="preserve"> leads to too bad granularity in the scale factors for high sub-carrier spacing. We do not believe that to be the case. However, if it is found out that introducing </w:t>
      </w:r>
      <w:r w:rsidRPr="00935D22">
        <w:rPr>
          <w:i/>
        </w:rPr>
        <w:t xml:space="preserve">additional </w:t>
      </w:r>
      <w:r>
        <w:t>(non-2</w:t>
      </w:r>
      <w:r>
        <w:rPr>
          <w:vertAlign w:val="superscript"/>
        </w:rPr>
        <w:t>n</w:t>
      </w:r>
      <w:r>
        <w:t>) scale factors is needed  this can be considered as complements to 2</w:t>
      </w:r>
      <w:r>
        <w:rPr>
          <w:vertAlign w:val="superscript"/>
        </w:rPr>
        <w:t>n</w:t>
      </w:r>
      <w:r>
        <w:t xml:space="preserve"> scale factors. </w:t>
      </w:r>
    </w:p>
    <w:p w:rsidR="00466379" w:rsidRPr="00AD5266" w:rsidRDefault="00466379" w:rsidP="00466379">
      <w:pPr>
        <w:pStyle w:val="BodyText"/>
      </w:pPr>
    </w:p>
    <w:p w:rsidR="00466379" w:rsidRDefault="00C07E36" w:rsidP="00466379">
      <w:pPr>
        <w:pStyle w:val="Heading1"/>
      </w:pPr>
      <w:r>
        <w:t>Conclusions</w:t>
      </w:r>
    </w:p>
    <w:p w:rsidR="00C07E36" w:rsidRPr="00C07E36" w:rsidRDefault="00C07E36" w:rsidP="00C07E36">
      <w:pPr>
        <w:pStyle w:val="BodyText"/>
      </w:pPr>
      <w:r>
        <w:t>The following is proposed</w:t>
      </w:r>
    </w:p>
    <w:p w:rsidR="00466379" w:rsidRPr="00C07E36" w:rsidRDefault="00466379" w:rsidP="00466379">
      <w:pPr>
        <w:pStyle w:val="BodyText"/>
        <w:numPr>
          <w:ilvl w:val="0"/>
          <w:numId w:val="7"/>
        </w:numPr>
        <w:rPr>
          <w:b/>
        </w:rPr>
      </w:pPr>
      <w:r w:rsidRPr="00C07E36">
        <w:rPr>
          <w:b/>
        </w:rPr>
        <w:t xml:space="preserve">RAN1 concludes on alternative 1 (15 kHz) as the baseline for the NR numerology </w:t>
      </w:r>
    </w:p>
    <w:p w:rsidR="00466379" w:rsidRPr="00C07E36" w:rsidRDefault="00466379" w:rsidP="00466379">
      <w:pPr>
        <w:pStyle w:val="BodyText"/>
        <w:numPr>
          <w:ilvl w:val="0"/>
          <w:numId w:val="7"/>
        </w:numPr>
        <w:rPr>
          <w:b/>
        </w:rPr>
      </w:pPr>
      <w:r w:rsidRPr="00C07E36">
        <w:rPr>
          <w:b/>
        </w:rPr>
        <w:t>RAN1 concludes on scale factors N =2</w:t>
      </w:r>
      <w:r w:rsidRPr="00C07E36">
        <w:rPr>
          <w:b/>
          <w:vertAlign w:val="superscript"/>
        </w:rPr>
        <w:t>n</w:t>
      </w:r>
      <w:r w:rsidRPr="00C07E36">
        <w:rPr>
          <w:b/>
        </w:rPr>
        <w:t xml:space="preserve"> as the baseline for the NR numerology.</w:t>
      </w:r>
    </w:p>
    <w:p w:rsidR="00466379" w:rsidRPr="00461DD9" w:rsidRDefault="00466379" w:rsidP="00466379">
      <w:pPr>
        <w:jc w:val="both"/>
        <w:rPr>
          <w:szCs w:val="20"/>
          <w:lang w:val="it-IT"/>
        </w:rPr>
      </w:pPr>
    </w:p>
    <w:p w:rsidR="00C07E36" w:rsidRPr="00510266" w:rsidRDefault="00C07E36" w:rsidP="00C07E36">
      <w:pPr>
        <w:pStyle w:val="Heading1"/>
      </w:pPr>
      <w:r w:rsidRPr="00510266">
        <w:t>References</w:t>
      </w:r>
    </w:p>
    <w:p w:rsidR="00C07E36" w:rsidRPr="00425E34" w:rsidRDefault="00C07E36" w:rsidP="00C07E36">
      <w:pPr>
        <w:numPr>
          <w:ilvl w:val="0"/>
          <w:numId w:val="2"/>
        </w:numPr>
        <w:jc w:val="both"/>
        <w:rPr>
          <w:szCs w:val="20"/>
          <w:lang w:val="it-IT"/>
        </w:rPr>
      </w:pPr>
      <w:bookmarkStart w:id="4" w:name="_Ref445818173"/>
      <w:bookmarkStart w:id="5" w:name="_Ref449604093"/>
      <w:r>
        <w:t>R1-16462</w:t>
      </w:r>
      <w:r>
        <w:t>3</w:t>
      </w:r>
      <w:r>
        <w:t xml:space="preserve">, </w:t>
      </w:r>
      <w:bookmarkEnd w:id="4"/>
      <w:r>
        <w:t>“</w:t>
      </w:r>
      <w:r w:rsidRPr="00C07E36">
        <w:t>Mixed Numerology in an OFDM System</w:t>
      </w:r>
      <w:r>
        <w:t>”, Ericsson</w:t>
      </w:r>
      <w:bookmarkEnd w:id="5"/>
    </w:p>
    <w:p w:rsidR="00582543" w:rsidRPr="00466379" w:rsidRDefault="00582543" w:rsidP="00582543">
      <w:pPr>
        <w:pStyle w:val="BodyText"/>
        <w:rPr>
          <w:lang w:val="it-IT"/>
        </w:rPr>
      </w:pPr>
    </w:p>
    <w:sectPr w:rsidR="00582543" w:rsidRPr="00466379">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5A40" w:rsidRDefault="00B45A40">
      <w:r>
        <w:separator/>
      </w:r>
    </w:p>
  </w:endnote>
  <w:endnote w:type="continuationSeparator" w:id="0">
    <w:p w:rsidR="00B45A40" w:rsidRDefault="00B45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5A40" w:rsidRDefault="00B45A40">
      <w:r>
        <w:separator/>
      </w:r>
    </w:p>
  </w:footnote>
  <w:footnote w:type="continuationSeparator" w:id="0">
    <w:p w:rsidR="00B45A40" w:rsidRDefault="00B45A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FDA" w:rsidRDefault="00417FDA" w:rsidP="00417FDA">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1EFB4314"/>
    <w:multiLevelType w:val="hybridMultilevel"/>
    <w:tmpl w:val="4CDAC13A"/>
    <w:lvl w:ilvl="0" w:tplc="6A00F4EC">
      <w:start w:val="1"/>
      <w:numFmt w:val="bullet"/>
      <w:lvlText w:val="•"/>
      <w:lvlJc w:val="left"/>
      <w:pPr>
        <w:tabs>
          <w:tab w:val="num" w:pos="360"/>
        </w:tabs>
        <w:ind w:left="360" w:hanging="360"/>
      </w:pPr>
      <w:rPr>
        <w:rFonts w:ascii="Arial" w:hAnsi="Arial" w:hint="default"/>
      </w:rPr>
    </w:lvl>
    <w:lvl w:ilvl="1" w:tplc="97787356">
      <w:start w:val="3147"/>
      <w:numFmt w:val="bullet"/>
      <w:lvlText w:val="–"/>
      <w:lvlJc w:val="left"/>
      <w:pPr>
        <w:tabs>
          <w:tab w:val="num" w:pos="1080"/>
        </w:tabs>
        <w:ind w:left="1080" w:hanging="360"/>
      </w:pPr>
      <w:rPr>
        <w:rFonts w:ascii="Arial" w:hAnsi="Arial" w:hint="default"/>
      </w:rPr>
    </w:lvl>
    <w:lvl w:ilvl="2" w:tplc="1B6EB37A">
      <w:start w:val="3147"/>
      <w:numFmt w:val="bullet"/>
      <w:lvlText w:val="•"/>
      <w:lvlJc w:val="left"/>
      <w:pPr>
        <w:tabs>
          <w:tab w:val="num" w:pos="1800"/>
        </w:tabs>
        <w:ind w:left="1800" w:hanging="360"/>
      </w:pPr>
      <w:rPr>
        <w:rFonts w:ascii="Arial" w:hAnsi="Arial" w:hint="default"/>
      </w:rPr>
    </w:lvl>
    <w:lvl w:ilvl="3" w:tplc="CA8C02F8">
      <w:start w:val="3147"/>
      <w:numFmt w:val="bullet"/>
      <w:lvlText w:val="–"/>
      <w:lvlJc w:val="left"/>
      <w:pPr>
        <w:tabs>
          <w:tab w:val="num" w:pos="2520"/>
        </w:tabs>
        <w:ind w:left="2520" w:hanging="360"/>
      </w:pPr>
      <w:rPr>
        <w:rFonts w:ascii="Arial" w:hAnsi="Arial" w:hint="default"/>
      </w:rPr>
    </w:lvl>
    <w:lvl w:ilvl="4" w:tplc="35F08C80" w:tentative="1">
      <w:start w:val="1"/>
      <w:numFmt w:val="bullet"/>
      <w:lvlText w:val="•"/>
      <w:lvlJc w:val="left"/>
      <w:pPr>
        <w:tabs>
          <w:tab w:val="num" w:pos="3240"/>
        </w:tabs>
        <w:ind w:left="3240" w:hanging="360"/>
      </w:pPr>
      <w:rPr>
        <w:rFonts w:ascii="Arial" w:hAnsi="Arial" w:hint="default"/>
      </w:rPr>
    </w:lvl>
    <w:lvl w:ilvl="5" w:tplc="B76AF830" w:tentative="1">
      <w:start w:val="1"/>
      <w:numFmt w:val="bullet"/>
      <w:lvlText w:val="•"/>
      <w:lvlJc w:val="left"/>
      <w:pPr>
        <w:tabs>
          <w:tab w:val="num" w:pos="3960"/>
        </w:tabs>
        <w:ind w:left="3960" w:hanging="360"/>
      </w:pPr>
      <w:rPr>
        <w:rFonts w:ascii="Arial" w:hAnsi="Arial" w:hint="default"/>
      </w:rPr>
    </w:lvl>
    <w:lvl w:ilvl="6" w:tplc="D402E6A2" w:tentative="1">
      <w:start w:val="1"/>
      <w:numFmt w:val="bullet"/>
      <w:lvlText w:val="•"/>
      <w:lvlJc w:val="left"/>
      <w:pPr>
        <w:tabs>
          <w:tab w:val="num" w:pos="4680"/>
        </w:tabs>
        <w:ind w:left="4680" w:hanging="360"/>
      </w:pPr>
      <w:rPr>
        <w:rFonts w:ascii="Arial" w:hAnsi="Arial" w:hint="default"/>
      </w:rPr>
    </w:lvl>
    <w:lvl w:ilvl="7" w:tplc="87540C1E" w:tentative="1">
      <w:start w:val="1"/>
      <w:numFmt w:val="bullet"/>
      <w:lvlText w:val="•"/>
      <w:lvlJc w:val="left"/>
      <w:pPr>
        <w:tabs>
          <w:tab w:val="num" w:pos="5400"/>
        </w:tabs>
        <w:ind w:left="5400" w:hanging="360"/>
      </w:pPr>
      <w:rPr>
        <w:rFonts w:ascii="Arial" w:hAnsi="Arial" w:hint="default"/>
      </w:rPr>
    </w:lvl>
    <w:lvl w:ilvl="8" w:tplc="5AC0E88E" w:tentative="1">
      <w:start w:val="1"/>
      <w:numFmt w:val="bullet"/>
      <w:lvlText w:val="•"/>
      <w:lvlJc w:val="left"/>
      <w:pPr>
        <w:tabs>
          <w:tab w:val="num" w:pos="6120"/>
        </w:tabs>
        <w:ind w:left="6120" w:hanging="360"/>
      </w:pPr>
      <w:rPr>
        <w:rFonts w:ascii="Arial" w:hAnsi="Arial" w:hint="default"/>
      </w:rPr>
    </w:lvl>
  </w:abstractNum>
  <w:abstractNum w:abstractNumId="2">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6"/>
  </w:num>
  <w:num w:numId="2">
    <w:abstractNumId w:val="2"/>
  </w:num>
  <w:num w:numId="3">
    <w:abstractNumId w:val="0"/>
  </w:num>
  <w:num w:numId="4">
    <w:abstractNumId w:val="4"/>
  </w:num>
  <w:num w:numId="5">
    <w:abstractNumId w:val="5"/>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A258F"/>
    <w:rsid w:val="000C6BC2"/>
    <w:rsid w:val="00112E18"/>
    <w:rsid w:val="00141448"/>
    <w:rsid w:val="00165AA0"/>
    <w:rsid w:val="0021013F"/>
    <w:rsid w:val="00290099"/>
    <w:rsid w:val="00337822"/>
    <w:rsid w:val="003875A3"/>
    <w:rsid w:val="00417FDA"/>
    <w:rsid w:val="00423EC1"/>
    <w:rsid w:val="00453575"/>
    <w:rsid w:val="00466379"/>
    <w:rsid w:val="00582543"/>
    <w:rsid w:val="005A6712"/>
    <w:rsid w:val="005C2C75"/>
    <w:rsid w:val="005F584A"/>
    <w:rsid w:val="006A286A"/>
    <w:rsid w:val="00794201"/>
    <w:rsid w:val="00834DE7"/>
    <w:rsid w:val="00845E19"/>
    <w:rsid w:val="008A7666"/>
    <w:rsid w:val="008C639D"/>
    <w:rsid w:val="008F6929"/>
    <w:rsid w:val="00924411"/>
    <w:rsid w:val="00935D22"/>
    <w:rsid w:val="009A6BB8"/>
    <w:rsid w:val="009B2E48"/>
    <w:rsid w:val="009D5027"/>
    <w:rsid w:val="00A21514"/>
    <w:rsid w:val="00A46047"/>
    <w:rsid w:val="00A81AA1"/>
    <w:rsid w:val="00AA13EF"/>
    <w:rsid w:val="00AD5266"/>
    <w:rsid w:val="00B03A33"/>
    <w:rsid w:val="00B1745E"/>
    <w:rsid w:val="00B368D9"/>
    <w:rsid w:val="00B45A40"/>
    <w:rsid w:val="00B73B25"/>
    <w:rsid w:val="00BA2CDD"/>
    <w:rsid w:val="00C07E36"/>
    <w:rsid w:val="00C10B9B"/>
    <w:rsid w:val="00C1560A"/>
    <w:rsid w:val="00C61496"/>
    <w:rsid w:val="00C93774"/>
    <w:rsid w:val="00CD0DD6"/>
    <w:rsid w:val="00CE28B2"/>
    <w:rsid w:val="00CF67BE"/>
    <w:rsid w:val="00D03119"/>
    <w:rsid w:val="00D23DA6"/>
    <w:rsid w:val="00D64311"/>
    <w:rsid w:val="00D67D13"/>
    <w:rsid w:val="00D7691A"/>
    <w:rsid w:val="00DA110D"/>
    <w:rsid w:val="00E63D88"/>
    <w:rsid w:val="00E956F8"/>
    <w:rsid w:val="00F129CB"/>
    <w:rsid w:val="00F403B5"/>
    <w:rsid w:val="00FD43FF"/>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table" w:styleId="TableGrid">
    <w:name w:val="Table Grid"/>
    <w:basedOn w:val="TableNormal"/>
    <w:uiPriority w:val="59"/>
    <w:rsid w:val="00C10B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F584A"/>
    <w:rPr>
      <w:szCs w:val="20"/>
    </w:rPr>
  </w:style>
  <w:style w:type="character" w:customStyle="1" w:styleId="FootnoteTextChar">
    <w:name w:val="Footnote Text Char"/>
    <w:basedOn w:val="DefaultParagraphFont"/>
    <w:link w:val="FootnoteText"/>
    <w:uiPriority w:val="99"/>
    <w:semiHidden/>
    <w:rsid w:val="005F584A"/>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5F584A"/>
    <w:rPr>
      <w:vertAlign w:val="superscript"/>
    </w:rPr>
  </w:style>
  <w:style w:type="character" w:styleId="CommentReference">
    <w:name w:val="annotation reference"/>
    <w:basedOn w:val="DefaultParagraphFont"/>
    <w:uiPriority w:val="99"/>
    <w:semiHidden/>
    <w:unhideWhenUsed/>
    <w:rsid w:val="009D5027"/>
    <w:rPr>
      <w:sz w:val="16"/>
      <w:szCs w:val="16"/>
    </w:rPr>
  </w:style>
  <w:style w:type="paragraph" w:styleId="CommentText">
    <w:name w:val="annotation text"/>
    <w:basedOn w:val="Normal"/>
    <w:link w:val="CommentTextChar"/>
    <w:uiPriority w:val="99"/>
    <w:semiHidden/>
    <w:unhideWhenUsed/>
    <w:rsid w:val="009D5027"/>
    <w:rPr>
      <w:szCs w:val="20"/>
    </w:rPr>
  </w:style>
  <w:style w:type="character" w:customStyle="1" w:styleId="CommentTextChar">
    <w:name w:val="Comment Text Char"/>
    <w:basedOn w:val="DefaultParagraphFont"/>
    <w:link w:val="CommentText"/>
    <w:uiPriority w:val="99"/>
    <w:semiHidden/>
    <w:rsid w:val="009D502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9D5027"/>
    <w:rPr>
      <w:b/>
      <w:bCs/>
    </w:rPr>
  </w:style>
  <w:style w:type="character" w:customStyle="1" w:styleId="CommentSubjectChar">
    <w:name w:val="Comment Subject Char"/>
    <w:basedOn w:val="CommentTextChar"/>
    <w:link w:val="CommentSubject"/>
    <w:uiPriority w:val="99"/>
    <w:semiHidden/>
    <w:rsid w:val="009D5027"/>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9D5027"/>
    <w:rPr>
      <w:rFonts w:ascii="Tahoma" w:hAnsi="Tahoma" w:cs="Tahoma"/>
      <w:sz w:val="16"/>
      <w:szCs w:val="16"/>
    </w:rPr>
  </w:style>
  <w:style w:type="character" w:customStyle="1" w:styleId="BalloonTextChar">
    <w:name w:val="Balloon Text Char"/>
    <w:basedOn w:val="DefaultParagraphFont"/>
    <w:link w:val="BalloonText"/>
    <w:uiPriority w:val="99"/>
    <w:semiHidden/>
    <w:rsid w:val="009D5027"/>
    <w:rPr>
      <w:rFonts w:ascii="Tahoma" w:eastAsia="Times New Roma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table" w:styleId="TableGrid">
    <w:name w:val="Table Grid"/>
    <w:basedOn w:val="TableNormal"/>
    <w:uiPriority w:val="59"/>
    <w:rsid w:val="00C10B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F584A"/>
    <w:rPr>
      <w:szCs w:val="20"/>
    </w:rPr>
  </w:style>
  <w:style w:type="character" w:customStyle="1" w:styleId="FootnoteTextChar">
    <w:name w:val="Footnote Text Char"/>
    <w:basedOn w:val="DefaultParagraphFont"/>
    <w:link w:val="FootnoteText"/>
    <w:uiPriority w:val="99"/>
    <w:semiHidden/>
    <w:rsid w:val="005F584A"/>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5F584A"/>
    <w:rPr>
      <w:vertAlign w:val="superscript"/>
    </w:rPr>
  </w:style>
  <w:style w:type="character" w:styleId="CommentReference">
    <w:name w:val="annotation reference"/>
    <w:basedOn w:val="DefaultParagraphFont"/>
    <w:uiPriority w:val="99"/>
    <w:semiHidden/>
    <w:unhideWhenUsed/>
    <w:rsid w:val="009D5027"/>
    <w:rPr>
      <w:sz w:val="16"/>
      <w:szCs w:val="16"/>
    </w:rPr>
  </w:style>
  <w:style w:type="paragraph" w:styleId="CommentText">
    <w:name w:val="annotation text"/>
    <w:basedOn w:val="Normal"/>
    <w:link w:val="CommentTextChar"/>
    <w:uiPriority w:val="99"/>
    <w:semiHidden/>
    <w:unhideWhenUsed/>
    <w:rsid w:val="009D5027"/>
    <w:rPr>
      <w:szCs w:val="20"/>
    </w:rPr>
  </w:style>
  <w:style w:type="character" w:customStyle="1" w:styleId="CommentTextChar">
    <w:name w:val="Comment Text Char"/>
    <w:basedOn w:val="DefaultParagraphFont"/>
    <w:link w:val="CommentText"/>
    <w:uiPriority w:val="99"/>
    <w:semiHidden/>
    <w:rsid w:val="009D502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9D5027"/>
    <w:rPr>
      <w:b/>
      <w:bCs/>
    </w:rPr>
  </w:style>
  <w:style w:type="character" w:customStyle="1" w:styleId="CommentSubjectChar">
    <w:name w:val="Comment Subject Char"/>
    <w:basedOn w:val="CommentTextChar"/>
    <w:link w:val="CommentSubject"/>
    <w:uiPriority w:val="99"/>
    <w:semiHidden/>
    <w:rsid w:val="009D5027"/>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9D5027"/>
    <w:rPr>
      <w:rFonts w:ascii="Tahoma" w:hAnsi="Tahoma" w:cs="Tahoma"/>
      <w:sz w:val="16"/>
      <w:szCs w:val="16"/>
    </w:rPr>
  </w:style>
  <w:style w:type="character" w:customStyle="1" w:styleId="BalloonTextChar">
    <w:name w:val="Balloon Text Char"/>
    <w:basedOn w:val="DefaultParagraphFont"/>
    <w:link w:val="BalloonText"/>
    <w:uiPriority w:val="99"/>
    <w:semiHidden/>
    <w:rsid w:val="009D5027"/>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48015-0548-4BBE-8DCC-807DB05FF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983</Words>
  <Characters>5213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Stefan Parkvall</cp:lastModifiedBy>
  <cp:revision>5</cp:revision>
  <cp:lastPrinted>2016-05-04T15:07:00Z</cp:lastPrinted>
  <dcterms:created xsi:type="dcterms:W3CDTF">2016-05-11T08:25:00Z</dcterms:created>
  <dcterms:modified xsi:type="dcterms:W3CDTF">2016-05-13T18:46:00Z</dcterms:modified>
</cp:coreProperties>
</file>