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1888" w:rsidRPr="00FA4A65" w:rsidRDefault="00AC1888" w:rsidP="009F60D3">
      <w:pPr>
        <w:tabs>
          <w:tab w:val="right" w:pos="9360"/>
        </w:tabs>
        <w:spacing w:after="0"/>
        <w:rPr>
          <w:rFonts w:ascii="Arial" w:hAnsi="Arial" w:cs="Arial"/>
          <w:b/>
          <w:sz w:val="24"/>
          <w:szCs w:val="24"/>
          <w:lang w:val="en-US"/>
        </w:rPr>
      </w:pPr>
      <w:r w:rsidRPr="00FA4A65">
        <w:rPr>
          <w:rFonts w:ascii="Arial" w:hAnsi="Arial" w:cs="Arial"/>
          <w:b/>
          <w:sz w:val="24"/>
          <w:szCs w:val="24"/>
          <w:lang w:val="en-US"/>
        </w:rPr>
        <w:t xml:space="preserve">3GPP TSG-RAN WG1 #85                                                          </w:t>
      </w:r>
      <w:r w:rsidRPr="00DF2469">
        <w:rPr>
          <w:rFonts w:ascii="Arial" w:hAnsi="Arial" w:cs="Arial"/>
          <w:b/>
          <w:sz w:val="24"/>
          <w:szCs w:val="24"/>
          <w:lang w:val="en-US"/>
        </w:rPr>
        <w:tab/>
      </w:r>
      <w:r w:rsidRPr="00FA4A65">
        <w:rPr>
          <w:rFonts w:ascii="Arial" w:hAnsi="Arial" w:cs="Arial"/>
          <w:b/>
          <w:sz w:val="24"/>
          <w:szCs w:val="24"/>
          <w:lang w:val="en-US"/>
        </w:rPr>
        <w:t xml:space="preserve">            R1-164355</w:t>
      </w:r>
    </w:p>
    <w:p w:rsidR="00AC1888" w:rsidRPr="00D77ACE" w:rsidRDefault="00AC1888" w:rsidP="009F60D3">
      <w:pPr>
        <w:tabs>
          <w:tab w:val="right" w:pos="10000"/>
        </w:tabs>
        <w:spacing w:after="0"/>
        <w:rPr>
          <w:rFonts w:ascii="Arial" w:hAnsi="Arial" w:cs="Arial"/>
          <w:b/>
          <w:sz w:val="24"/>
          <w:szCs w:val="24"/>
          <w:lang w:val="en-US"/>
        </w:rPr>
      </w:pPr>
      <w:r>
        <w:rPr>
          <w:rFonts w:ascii="Arial" w:hAnsi="Arial" w:cs="Arial"/>
          <w:b/>
          <w:sz w:val="24"/>
          <w:szCs w:val="24"/>
          <w:lang w:val="en-US"/>
        </w:rPr>
        <w:t>23</w:t>
      </w:r>
      <w:r>
        <w:rPr>
          <w:rFonts w:ascii="Arial" w:hAnsi="Arial" w:cs="Arial"/>
          <w:b/>
          <w:sz w:val="24"/>
          <w:szCs w:val="24"/>
          <w:vertAlign w:val="superscript"/>
          <w:lang w:val="en-US"/>
        </w:rPr>
        <w:t>rd</w:t>
      </w:r>
      <w:r w:rsidRPr="00143C8B">
        <w:rPr>
          <w:rFonts w:ascii="Arial" w:hAnsi="Arial" w:cs="Arial"/>
          <w:b/>
          <w:sz w:val="24"/>
          <w:szCs w:val="24"/>
          <w:lang w:val="en-US"/>
        </w:rPr>
        <w:t xml:space="preserve"> </w:t>
      </w:r>
      <w:r>
        <w:rPr>
          <w:rFonts w:ascii="Arial" w:hAnsi="Arial" w:cs="Arial"/>
          <w:b/>
          <w:sz w:val="24"/>
          <w:szCs w:val="24"/>
          <w:lang w:val="en-US"/>
        </w:rPr>
        <w:t>– 27</w:t>
      </w:r>
      <w:r>
        <w:rPr>
          <w:rFonts w:ascii="Arial" w:hAnsi="Arial" w:cs="Arial"/>
          <w:b/>
          <w:sz w:val="24"/>
          <w:szCs w:val="24"/>
          <w:vertAlign w:val="superscript"/>
          <w:lang w:val="en-US"/>
        </w:rPr>
        <w:t>th</w:t>
      </w:r>
      <w:r>
        <w:rPr>
          <w:rFonts w:ascii="Arial" w:hAnsi="Arial" w:cs="Arial"/>
          <w:b/>
          <w:sz w:val="24"/>
          <w:szCs w:val="24"/>
          <w:lang w:val="en-US"/>
        </w:rPr>
        <w:t xml:space="preserve"> May</w:t>
      </w:r>
      <w:r w:rsidRPr="00D77ACE">
        <w:rPr>
          <w:rFonts w:ascii="Arial" w:hAnsi="Arial" w:cs="Arial"/>
          <w:b/>
          <w:sz w:val="24"/>
          <w:szCs w:val="24"/>
          <w:lang w:val="en-US"/>
        </w:rPr>
        <w:t xml:space="preserve"> 201</w:t>
      </w:r>
      <w:r>
        <w:rPr>
          <w:rFonts w:ascii="Arial" w:hAnsi="Arial" w:cs="Arial"/>
          <w:b/>
          <w:sz w:val="24"/>
          <w:szCs w:val="24"/>
          <w:lang w:val="en-US"/>
        </w:rPr>
        <w:t>6</w:t>
      </w:r>
    </w:p>
    <w:p w:rsidR="00AC1888" w:rsidRDefault="00AC1888" w:rsidP="009F60D3">
      <w:pPr>
        <w:spacing w:after="0"/>
        <w:rPr>
          <w:rFonts w:ascii="Arial" w:hAnsi="Arial" w:cs="Arial"/>
          <w:b/>
          <w:sz w:val="24"/>
          <w:szCs w:val="24"/>
          <w:lang w:val="en-US"/>
        </w:rPr>
      </w:pPr>
      <w:smartTag w:uri="urn:schemas-microsoft-com:office:smarttags" w:element="place">
        <w:smartTag w:uri="urn:schemas-microsoft-com:office:smarttags" w:element="City">
          <w:r>
            <w:rPr>
              <w:rFonts w:ascii="Arial" w:hAnsi="Arial" w:cs="Arial"/>
              <w:b/>
              <w:sz w:val="24"/>
              <w:szCs w:val="24"/>
              <w:lang w:val="en-US"/>
            </w:rPr>
            <w:t>Nanjing</w:t>
          </w:r>
        </w:smartTag>
        <w:r>
          <w:rPr>
            <w:rFonts w:ascii="Arial" w:hAnsi="Arial" w:cs="Arial"/>
            <w:b/>
            <w:sz w:val="24"/>
            <w:szCs w:val="24"/>
            <w:lang w:val="en-US"/>
          </w:rPr>
          <w:t xml:space="preserve">, </w:t>
        </w:r>
        <w:smartTag w:uri="urn:schemas-microsoft-com:office:smarttags" w:element="country-region">
          <w:r>
            <w:rPr>
              <w:rFonts w:ascii="Arial" w:hAnsi="Arial" w:cs="Arial"/>
              <w:b/>
              <w:sz w:val="24"/>
              <w:szCs w:val="24"/>
              <w:lang w:val="en-US"/>
            </w:rPr>
            <w:t>China</w:t>
          </w:r>
        </w:smartTag>
      </w:smartTag>
    </w:p>
    <w:p w:rsidR="00AC1888" w:rsidRDefault="00AC1888" w:rsidP="009F60D3">
      <w:pPr>
        <w:tabs>
          <w:tab w:val="right" w:pos="10000"/>
        </w:tabs>
        <w:spacing w:after="0"/>
        <w:rPr>
          <w:rFonts w:ascii="Arial" w:hAnsi="Arial" w:cs="Arial"/>
          <w:b/>
          <w:sz w:val="24"/>
          <w:szCs w:val="24"/>
          <w:lang w:val="en-US"/>
        </w:rPr>
      </w:pPr>
    </w:p>
    <w:p w:rsidR="00AC1888" w:rsidRPr="005D0F9B" w:rsidRDefault="00AC1888" w:rsidP="009F60D3">
      <w:pPr>
        <w:tabs>
          <w:tab w:val="left" w:pos="1985"/>
        </w:tabs>
        <w:jc w:val="both"/>
        <w:rPr>
          <w:rFonts w:ascii="Arial" w:hAnsi="Arial"/>
          <w:sz w:val="24"/>
          <w:lang w:val="en-US"/>
        </w:rPr>
      </w:pPr>
      <w:r w:rsidRPr="005D0F9B">
        <w:rPr>
          <w:rFonts w:ascii="Arial" w:hAnsi="Arial"/>
          <w:b/>
          <w:sz w:val="24"/>
          <w:lang w:val="en-US"/>
        </w:rPr>
        <w:t>Agenda item:</w:t>
      </w:r>
      <w:r w:rsidRPr="005D0F9B">
        <w:rPr>
          <w:rFonts w:ascii="Arial" w:hAnsi="Arial"/>
          <w:sz w:val="24"/>
          <w:lang w:val="en-US"/>
        </w:rPr>
        <w:tab/>
      </w:r>
      <w:bookmarkStart w:id="0" w:name="Source"/>
      <w:bookmarkEnd w:id="0"/>
      <w:r>
        <w:rPr>
          <w:rFonts w:ascii="Arial" w:hAnsi="Arial"/>
          <w:sz w:val="24"/>
          <w:lang w:val="en-US"/>
        </w:rPr>
        <w:tab/>
        <w:t>7.1.3.1</w:t>
      </w:r>
    </w:p>
    <w:p w:rsidR="00AC1888" w:rsidRPr="009F60D3" w:rsidRDefault="00AC1888" w:rsidP="009F60D3">
      <w:pPr>
        <w:tabs>
          <w:tab w:val="left" w:pos="1985"/>
        </w:tabs>
        <w:jc w:val="both"/>
        <w:rPr>
          <w:rFonts w:ascii="Arial" w:hAnsi="Arial"/>
          <w:sz w:val="24"/>
          <w:lang w:val="en-US"/>
        </w:rPr>
      </w:pPr>
      <w:r w:rsidRPr="005D0F9B">
        <w:rPr>
          <w:rFonts w:ascii="Arial" w:hAnsi="Arial"/>
          <w:b/>
          <w:sz w:val="24"/>
          <w:lang w:val="en-US"/>
        </w:rPr>
        <w:t xml:space="preserve">Source: </w:t>
      </w:r>
      <w:r w:rsidRPr="005D0F9B">
        <w:rPr>
          <w:rFonts w:ascii="Arial" w:hAnsi="Arial"/>
          <w:b/>
          <w:sz w:val="24"/>
          <w:lang w:val="en-US"/>
        </w:rPr>
        <w:tab/>
      </w:r>
      <w:r>
        <w:rPr>
          <w:rFonts w:ascii="Arial" w:hAnsi="Arial"/>
          <w:b/>
          <w:sz w:val="24"/>
          <w:lang w:val="en-US"/>
        </w:rPr>
        <w:tab/>
      </w:r>
      <w:smartTag w:uri="urn:schemas-microsoft-com:office:smarttags" w:element="place">
        <w:smartTag w:uri="urn:schemas-microsoft-com:office:smarttags" w:element="State">
          <w:r w:rsidRPr="009F60D3">
            <w:rPr>
              <w:rFonts w:ascii="Arial" w:hAnsi="Arial"/>
              <w:sz w:val="24"/>
              <w:lang w:val="en-US"/>
            </w:rPr>
            <w:t>Idaho</w:t>
          </w:r>
        </w:smartTag>
      </w:smartTag>
      <w:r w:rsidRPr="009F60D3">
        <w:rPr>
          <w:rFonts w:ascii="Arial" w:hAnsi="Arial"/>
          <w:sz w:val="24"/>
          <w:lang w:val="en-US"/>
        </w:rPr>
        <w:t xml:space="preserve"> National Lab</w:t>
      </w:r>
      <w:r>
        <w:rPr>
          <w:rFonts w:ascii="Arial" w:hAnsi="Arial"/>
          <w:sz w:val="24"/>
          <w:lang w:val="en-US"/>
        </w:rPr>
        <w:t>oratory</w:t>
      </w:r>
    </w:p>
    <w:p w:rsidR="00AC1888" w:rsidRPr="005D0F9B" w:rsidRDefault="00AC1888" w:rsidP="009F60D3">
      <w:pPr>
        <w:ind w:left="2160" w:hanging="2160"/>
        <w:rPr>
          <w:rFonts w:ascii="Arial" w:hAnsi="Arial"/>
          <w:sz w:val="24"/>
          <w:szCs w:val="24"/>
          <w:lang w:val="en-US"/>
        </w:rPr>
      </w:pPr>
      <w:r w:rsidRPr="005D0F9B">
        <w:rPr>
          <w:rFonts w:ascii="Arial" w:hAnsi="Arial"/>
          <w:b/>
          <w:sz w:val="24"/>
          <w:lang w:val="en-US"/>
        </w:rPr>
        <w:t>Title:</w:t>
      </w:r>
      <w:r w:rsidRPr="005D0F9B">
        <w:rPr>
          <w:rFonts w:ascii="Arial" w:hAnsi="Arial"/>
          <w:sz w:val="24"/>
          <w:lang w:val="en-US"/>
        </w:rPr>
        <w:t xml:space="preserve"> </w:t>
      </w:r>
      <w:r w:rsidRPr="005D0F9B">
        <w:rPr>
          <w:rFonts w:ascii="Arial" w:hAnsi="Arial"/>
          <w:sz w:val="22"/>
          <w:lang w:val="en-US"/>
        </w:rPr>
        <w:tab/>
      </w:r>
      <w:r w:rsidRPr="00FA4A65">
        <w:rPr>
          <w:rFonts w:ascii="Arial" w:hAnsi="Arial" w:cs="Arial"/>
          <w:sz w:val="24"/>
          <w:szCs w:val="24"/>
        </w:rPr>
        <w:t>Circularly Pulse-Shaped OFDM</w:t>
      </w:r>
      <w:r>
        <w:rPr>
          <w:rFonts w:ascii="Arial" w:hAnsi="Arial" w:cs="Arial"/>
          <w:sz w:val="24"/>
          <w:szCs w:val="24"/>
        </w:rPr>
        <w:t>-</w:t>
      </w:r>
      <w:r w:rsidRPr="00FA4A65">
        <w:rPr>
          <w:rFonts w:ascii="Arial" w:hAnsi="Arial" w:cs="Arial"/>
          <w:sz w:val="24"/>
          <w:szCs w:val="24"/>
        </w:rPr>
        <w:t>based Waveform</w:t>
      </w:r>
    </w:p>
    <w:p w:rsidR="00AC1888" w:rsidRPr="00E21680" w:rsidRDefault="00AC1888" w:rsidP="009F60D3">
      <w:pPr>
        <w:jc w:val="both"/>
      </w:pPr>
      <w:r w:rsidRPr="005D0F9B">
        <w:rPr>
          <w:rFonts w:ascii="Arial" w:hAnsi="Arial"/>
          <w:b/>
          <w:sz w:val="24"/>
          <w:lang w:val="en-US"/>
        </w:rPr>
        <w:t>Document for:</w:t>
      </w:r>
      <w:r>
        <w:rPr>
          <w:rFonts w:ascii="Arial" w:hAnsi="Arial"/>
          <w:sz w:val="24"/>
          <w:lang w:val="en-US"/>
        </w:rPr>
        <w:t xml:space="preserve">    </w:t>
      </w:r>
      <w:bookmarkStart w:id="1" w:name="DocumentFor"/>
      <w:bookmarkEnd w:id="1"/>
      <w:r>
        <w:rPr>
          <w:rFonts w:ascii="Arial" w:hAnsi="Arial"/>
          <w:sz w:val="24"/>
          <w:lang w:val="en-US"/>
        </w:rPr>
        <w:tab/>
        <w:t>Discussion/Decision</w:t>
      </w:r>
    </w:p>
    <w:p w:rsidR="00AC1888" w:rsidRDefault="00AC1888" w:rsidP="009F60D3">
      <w:pPr>
        <w:pStyle w:val="Heading1"/>
      </w:pPr>
      <w:r>
        <w:t>1</w:t>
      </w:r>
      <w:r>
        <w:tab/>
        <w:t>Introduction</w:t>
      </w:r>
    </w:p>
    <w:p w:rsidR="00AC1888" w:rsidRDefault="00AC1888" w:rsidP="009F60D3">
      <w:r>
        <w:t>In the RAN1#84bis meeting RAN1 agreed to the following</w:t>
      </w:r>
      <w:r>
        <w:rPr>
          <w:rStyle w:val="FootnoteReference"/>
        </w:rPr>
        <w:footnoteReference w:id="1"/>
      </w:r>
      <w:r>
        <w:t>:</w:t>
      </w:r>
    </w:p>
    <w:p w:rsidR="00AC1888" w:rsidRPr="00C44AED" w:rsidRDefault="00AC1888" w:rsidP="00C44AED">
      <w:pPr>
        <w:rPr>
          <w:rFonts w:eastAsia="MS Mincho"/>
          <w:b/>
          <w:i/>
          <w:u w:val="single"/>
          <w:lang w:val="en-US" w:eastAsia="ja-JP"/>
        </w:rPr>
      </w:pPr>
      <w:r w:rsidRPr="00C44AED">
        <w:rPr>
          <w:rFonts w:eastAsia="MS Mincho"/>
          <w:b/>
          <w:i/>
          <w:u w:val="single"/>
          <w:lang w:val="en-US" w:eastAsia="ja-JP"/>
        </w:rPr>
        <w:t>Agreement:</w:t>
      </w:r>
    </w:p>
    <w:p w:rsidR="00AC1888" w:rsidRPr="00C44AED" w:rsidRDefault="00AC1888" w:rsidP="00C44AED">
      <w:pPr>
        <w:numPr>
          <w:ilvl w:val="0"/>
          <w:numId w:val="3"/>
          <w:numberingChange w:id="2" w:author="Unknown" w:date="2016-05-13T10:27:00Z" w:original="•"/>
        </w:numPr>
        <w:overflowPunct/>
        <w:autoSpaceDE/>
        <w:autoSpaceDN/>
        <w:adjustRightInd/>
        <w:spacing w:after="0"/>
        <w:textAlignment w:val="auto"/>
        <w:rPr>
          <w:rFonts w:eastAsia="MS Mincho"/>
          <w:i/>
          <w:lang w:val="en-US" w:eastAsia="ja-JP"/>
        </w:rPr>
      </w:pPr>
      <w:r w:rsidRPr="00C44AED">
        <w:rPr>
          <w:rFonts w:eastAsia="MS Mincho"/>
          <w:i/>
          <w:lang w:val="en-US" w:eastAsia="ja-JP"/>
        </w:rPr>
        <w:t>Largest component carrier bandwidth not smaller than 80 MHz for at least one numerology is supported</w:t>
      </w:r>
    </w:p>
    <w:p w:rsidR="00AC1888" w:rsidRPr="00C44AED" w:rsidRDefault="00AC1888" w:rsidP="00C44AED">
      <w:pPr>
        <w:numPr>
          <w:ilvl w:val="0"/>
          <w:numId w:val="3"/>
          <w:numberingChange w:id="3" w:author="Unknown" w:date="2016-05-13T10:27:00Z" w:original="•"/>
        </w:numPr>
        <w:overflowPunct/>
        <w:autoSpaceDE/>
        <w:autoSpaceDN/>
        <w:adjustRightInd/>
        <w:spacing w:after="0"/>
        <w:textAlignment w:val="auto"/>
        <w:rPr>
          <w:rFonts w:eastAsia="MS Mincho"/>
          <w:i/>
          <w:lang w:val="en-US" w:eastAsia="ja-JP"/>
        </w:rPr>
      </w:pPr>
      <w:r w:rsidRPr="00C44AED">
        <w:rPr>
          <w:rFonts w:eastAsia="MS Mincho"/>
          <w:i/>
          <w:lang w:val="en-US" w:eastAsia="ja-JP"/>
        </w:rPr>
        <w:t xml:space="preserve">Waveform is based on OFDM </w:t>
      </w:r>
    </w:p>
    <w:p w:rsidR="00AC1888" w:rsidRPr="00C44AED" w:rsidRDefault="00AC1888" w:rsidP="00C44AED">
      <w:pPr>
        <w:numPr>
          <w:ilvl w:val="1"/>
          <w:numId w:val="3"/>
          <w:numberingChange w:id="4" w:author="Unknown" w:date="2016-05-13T10:27:00Z" w:original="–"/>
        </w:numPr>
        <w:overflowPunct/>
        <w:autoSpaceDE/>
        <w:autoSpaceDN/>
        <w:adjustRightInd/>
        <w:spacing w:after="0"/>
        <w:textAlignment w:val="auto"/>
        <w:rPr>
          <w:rFonts w:eastAsia="MS Mincho"/>
          <w:i/>
          <w:lang w:val="en-US" w:eastAsia="ja-JP"/>
        </w:rPr>
      </w:pPr>
      <w:r w:rsidRPr="00C44AED">
        <w:rPr>
          <w:rFonts w:eastAsia="MS Mincho"/>
          <w:i/>
          <w:lang w:val="en-US" w:eastAsia="ja-JP"/>
        </w:rPr>
        <w:t>Multiple numerologies are supported</w:t>
      </w:r>
    </w:p>
    <w:p w:rsidR="00AC1888" w:rsidRPr="00C44AED" w:rsidRDefault="00AC1888" w:rsidP="00C44AED">
      <w:pPr>
        <w:numPr>
          <w:ilvl w:val="1"/>
          <w:numId w:val="3"/>
          <w:numberingChange w:id="5" w:author="Unknown" w:date="2016-05-13T10:27:00Z" w:original="–"/>
        </w:numPr>
        <w:overflowPunct/>
        <w:autoSpaceDE/>
        <w:autoSpaceDN/>
        <w:adjustRightInd/>
        <w:spacing w:after="0"/>
        <w:textAlignment w:val="auto"/>
        <w:rPr>
          <w:rFonts w:eastAsia="MS Mincho"/>
          <w:i/>
          <w:lang w:val="en-US" w:eastAsia="ja-JP"/>
        </w:rPr>
      </w:pPr>
      <w:r w:rsidRPr="00C44AED">
        <w:rPr>
          <w:rFonts w:eastAsia="MS Mincho"/>
          <w:i/>
          <w:lang w:val="en-US" w:eastAsia="ja-JP"/>
        </w:rPr>
        <w:t>Additional functionality on top of OFDM such as DFT-S-OFDM, and/or variants of DFT-S-OFDM, and/or filtering/windowing, and/or OTFS is further considered</w:t>
      </w:r>
    </w:p>
    <w:p w:rsidR="00AC1888" w:rsidRDefault="00AC1888" w:rsidP="009F60D3"/>
    <w:p w:rsidR="00AC1888" w:rsidRDefault="00AC1888" w:rsidP="009F60D3">
      <w:r>
        <w:t>In light of the above agreement, in this contribution we discuss the need to support DFT-S-OFDM with additional functionalities such as windowing and circularly pulse shaping (CPS) to improve the OOBE and the PAPR properties of the waveform. The contribution is organized as follows:</w:t>
      </w:r>
    </w:p>
    <w:p w:rsidR="00AC1888" w:rsidRDefault="00AC1888" w:rsidP="009F60D3">
      <w:pPr>
        <w:numPr>
          <w:ilvl w:val="0"/>
          <w:numId w:val="1"/>
          <w:numberingChange w:id="6" w:author="Unknown" w:date="2016-05-13T10:27:00Z" w:original=""/>
        </w:numPr>
      </w:pPr>
      <w:r>
        <w:t xml:space="preserve">Section 2 discusses Single-Carrier DFT-S-OFDM with Windowing </w:t>
      </w:r>
    </w:p>
    <w:p w:rsidR="00AC1888" w:rsidRDefault="00AC1888" w:rsidP="009F60D3">
      <w:pPr>
        <w:numPr>
          <w:ilvl w:val="0"/>
          <w:numId w:val="1"/>
          <w:numberingChange w:id="7" w:author="Unknown" w:date="2016-05-13T10:27:00Z" w:original=""/>
        </w:numPr>
      </w:pPr>
      <w:r>
        <w:t>Section 3 discusses the Circularly Pulse Shaped OFDM based Waveform</w:t>
      </w:r>
    </w:p>
    <w:p w:rsidR="00AC1888" w:rsidRDefault="00AC1888" w:rsidP="00285D11">
      <w:pPr>
        <w:numPr>
          <w:ilvl w:val="0"/>
          <w:numId w:val="1"/>
          <w:numberingChange w:id="8" w:author="Unknown" w:date="2016-05-13T10:27:00Z" w:original=""/>
        </w:numPr>
      </w:pPr>
      <w:r>
        <w:t>Section 4 discusses the SC-CPS-OFDM amicable to MIMO technologies and offering greater flexibility in CFO compensation</w:t>
      </w:r>
    </w:p>
    <w:p w:rsidR="00AC1888" w:rsidRDefault="00AC1888" w:rsidP="009F60D3">
      <w:pPr>
        <w:numPr>
          <w:ilvl w:val="0"/>
          <w:numId w:val="1"/>
          <w:numberingChange w:id="9" w:author="Unknown" w:date="2016-05-13T10:27:00Z" w:original=""/>
        </w:numPr>
      </w:pPr>
      <w:r>
        <w:t>Section 5 presents conclusion and summary</w:t>
      </w:r>
    </w:p>
    <w:p w:rsidR="00AC1888" w:rsidRDefault="00AC1888" w:rsidP="009F60D3">
      <w:pPr>
        <w:pStyle w:val="Heading1"/>
      </w:pPr>
      <w:r>
        <w:t>2</w:t>
      </w:r>
      <w:r>
        <w:tab/>
        <w:t>Single-Carrier DFT-S-OFDM with Windowing</w:t>
      </w:r>
    </w:p>
    <w:p w:rsidR="00AC1888" w:rsidRPr="00766B7F" w:rsidRDefault="00AC1888" w:rsidP="009F60D3">
      <w:pPr>
        <w:jc w:val="both"/>
      </w:pPr>
      <w:r w:rsidRPr="00766B7F">
        <w:t>As noted in several of the contributions in the last RAN1 meeting</w:t>
      </w:r>
      <w:r>
        <w:t>,</w:t>
      </w:r>
      <w:r w:rsidRPr="00766B7F">
        <w:t xml:space="preserve"> the</w:t>
      </w:r>
      <w:r>
        <w:t xml:space="preserve"> </w:t>
      </w:r>
      <w:r w:rsidRPr="00766B7F">
        <w:t xml:space="preserve">DFT-S-OFDM offers several advantages over the other OFDM based waveforms when it comes to UL access. </w:t>
      </w:r>
      <w:r>
        <w:t xml:space="preserve">When </w:t>
      </w:r>
      <w:r w:rsidRPr="00766B7F">
        <w:t>DFT-S-OFDM is combined with frequency multiplexing forming SC-FDMA</w:t>
      </w:r>
      <w:r>
        <w:t>,</w:t>
      </w:r>
      <w:r w:rsidRPr="00766B7F">
        <w:t xml:space="preserve"> as used in LTE</w:t>
      </w:r>
      <w:r>
        <w:t>,</w:t>
      </w:r>
      <w:r w:rsidRPr="00766B7F">
        <w:t xml:space="preserve"> each individual user transmits a single-carrier signal with a lower peak-to-average power ratio (PAPR)</w:t>
      </w:r>
      <w:r>
        <w:t xml:space="preserve"> than with OFDM</w:t>
      </w:r>
      <w:r w:rsidRPr="00766B7F">
        <w:t>. It is well known a low PAPR is desirable to achieve higher PA efficiency</w:t>
      </w:r>
      <w:r>
        <w:t>,</w:t>
      </w:r>
      <w:r w:rsidRPr="00766B7F">
        <w:t xml:space="preserve"> an essential requirement to avoid distortion in the transmitted signal and for extending the battery life of the UE. </w:t>
      </w:r>
    </w:p>
    <w:p w:rsidR="00AC1888" w:rsidRDefault="00AC1888" w:rsidP="000C3D6D">
      <w:pPr>
        <w:jc w:val="both"/>
      </w:pPr>
      <w:r>
        <w:t>In terms of out-of-band emissions (OOBE), the DFT-S-OFDM has poor performance like any other OFDM-based waveform. An OFDM-based signal that is generated by simply adding a set of pure tones and limited to a length (T</w:t>
      </w:r>
      <w:r w:rsidRPr="00450562">
        <w:rPr>
          <w:vertAlign w:val="subscript"/>
        </w:rPr>
        <w:t>FFT</w:t>
      </w:r>
      <w:r>
        <w:t xml:space="preserve"> + T</w:t>
      </w:r>
      <w:r w:rsidRPr="00450562">
        <w:rPr>
          <w:vertAlign w:val="subscript"/>
        </w:rPr>
        <w:t>CP</w:t>
      </w:r>
      <w:r>
        <w:t xml:space="preserve">) has a poor OOBE. Each truncated tone has a sinc-like spectrum with large OOBE. In OFDM, a filtering process is applied to the generated OFDM signal to control/reduce OOBE. The widely known methods are filtered OFDM (f-OFDM), OFDM with Weighted OverLap and Add (OFDM-WOLA), and zero padding followed by a filter (UFMC). In [2] it was shown DFT-S-OFDM with WOLA has significantly lower OOBE compared to DFT-S-OFDM without WOLA windowing. DFT-S-OFDM+WOLA also performs well when there is clipping at the transmitter due to the PA non-linearity [2]. </w:t>
      </w:r>
    </w:p>
    <w:p w:rsidR="00AC1888" w:rsidRDefault="00AC1888" w:rsidP="000C3D6D">
      <w:pPr>
        <w:jc w:val="both"/>
        <w:rPr>
          <w:i/>
        </w:rPr>
      </w:pPr>
      <w:r>
        <w:rPr>
          <w:b/>
          <w:i/>
        </w:rPr>
        <w:t xml:space="preserve">Proposal: DFT-S-OFDM should be considered as the baseline waveform for the uplink due to its good PAPR performance. </w:t>
      </w:r>
    </w:p>
    <w:p w:rsidR="00AC1888" w:rsidRDefault="00AC1888" w:rsidP="000C3D6D">
      <w:pPr>
        <w:jc w:val="both"/>
        <w:rPr>
          <w:i/>
        </w:rPr>
      </w:pPr>
      <w:r>
        <w:rPr>
          <w:b/>
          <w:i/>
        </w:rPr>
        <w:t>Proposal: Filtering/windowing techniques must be added to DFT-S-OFDM to improve its OOBE characteristics.</w:t>
      </w:r>
    </w:p>
    <w:p w:rsidR="00AC1888" w:rsidRDefault="00AC1888" w:rsidP="009F60D3">
      <w:pPr>
        <w:jc w:val="both"/>
      </w:pPr>
      <w:r>
        <w:t>I</w:t>
      </w:r>
      <w:r w:rsidRPr="00766B7F">
        <w:t>n NR new applications and services are envisioned such as mMTC</w:t>
      </w:r>
      <w:r>
        <w:t xml:space="preserve"> and D2D</w:t>
      </w:r>
      <w:r w:rsidRPr="00766B7F">
        <w:t xml:space="preserve"> requiring much lower cost devices with much longer battery lifetime. To address th</w:t>
      </w:r>
      <w:r>
        <w:t>is requirement, new functionalities</w:t>
      </w:r>
      <w:r w:rsidRPr="00766B7F">
        <w:t xml:space="preserve"> must be added to improve the ex</w:t>
      </w:r>
      <w:r>
        <w:t>isting OFDM-based waveforms</w:t>
      </w:r>
      <w:r w:rsidRPr="00766B7F">
        <w:t>.</w:t>
      </w:r>
      <w:r>
        <w:t xml:space="preserve"> As mentioned before DFT-S-OFDM has a low PAPR; however, further functionalities are needed to meet the much more stringent NR requirements.</w:t>
      </w:r>
      <w:r w:rsidRPr="00766B7F">
        <w:t xml:space="preserve"> The rema</w:t>
      </w:r>
      <w:r>
        <w:t>inder of this document discusses one technique to improve the existing DFT-S-OFDM + filtering/windowing waveform to meet the NR challenges</w:t>
      </w:r>
      <w:r w:rsidRPr="00766B7F">
        <w:t>.</w:t>
      </w:r>
    </w:p>
    <w:p w:rsidR="00AC1888" w:rsidRDefault="00AC1888" w:rsidP="009F60D3">
      <w:pPr>
        <w:jc w:val="both"/>
        <w:rPr>
          <w:i/>
        </w:rPr>
      </w:pPr>
      <w:r>
        <w:rPr>
          <w:b/>
          <w:i/>
        </w:rPr>
        <w:t xml:space="preserve">Observation: To meet the NR requirements such as improving battery life of the mMTC and D2D devices new functionalities must be added to improve the existing OFDM-based DFT-S-OFDM waveform.  </w:t>
      </w:r>
    </w:p>
    <w:p w:rsidR="00AC1888" w:rsidRPr="005D0546" w:rsidRDefault="00AC1888" w:rsidP="009F60D3">
      <w:pPr>
        <w:jc w:val="both"/>
        <w:rPr>
          <w:i/>
        </w:rPr>
      </w:pPr>
    </w:p>
    <w:p w:rsidR="00AC1888" w:rsidRDefault="00AC1888" w:rsidP="009F60D3">
      <w:pPr>
        <w:pStyle w:val="Heading1"/>
      </w:pPr>
      <w:r>
        <w:t>3</w:t>
      </w:r>
      <w:r>
        <w:tab/>
        <w:t>Circularly Pulse-Shaped OFDM based Waveform</w:t>
      </w:r>
    </w:p>
    <w:p w:rsidR="00AC1888" w:rsidRDefault="00AC1888" w:rsidP="00B03C5B">
      <w:pPr>
        <w:jc w:val="both"/>
      </w:pPr>
      <w:r>
        <w:t xml:space="preserve">Additional pulse shaping can further improve the PAPR of the DFT-S-OFDM waveform.  As described in [3] the pulse shape can be implemented in the frequency domain. Furthermore, borrowing the concept from Generalized Frequency Division Multiplexing (GFDM), circular convolution-based pulse shaping is implemented for each subcarrier where each subcarrier is designed to include multi-tones and to carry more than one QAM symbol. Taking note of this property of GFDM, GFDM-like waveforms may be collectively referred to as circularly pulse-shaped (CPS) waveforms. As shown in Figure 1, the CPS OFDM-based waveform is simply generated by modifying the existing DFT-S-OFDM transmitter. A CPS filter is added after the L-point DFT and before the N-point IFFT. To this end, the output of the DFT is expanded from the length L to N by periodically repeating it N/L times. A window of the result is then selected at a desired position of the frequency band before being transformed back to time domain through the N-point IFFT. In DFT-S-OFDM, the window used is a rectangular one. We propose to use a more general window function and optimize it with the goal of minimizing the PAPR. One such optimized design can be found in [5]. Such designs can results in 2 to 3 dB improvement in PAPR when compared to the traditional DFT-S-OFDM. For the design proposed in [5], there is a cost of an excess bandwidth for the generated single carrier CPS signal. As mentioned before for new NR applications improved PAPR characteristics justify the small cost of excess bandwidth. The design that we present in this contribution makes use of a window function that results in a PSD with no noticeable difference with that of DFT-S-OFDM yet achieves 2 dB PAPR improvements. We also note that by replacing the QAM symbols by offset QAM (OQAM) symbols another 1 dB improvement in PAPR is achievable. </w:t>
      </w:r>
    </w:p>
    <w:p w:rsidR="00AC1888" w:rsidRDefault="00AC1888" w:rsidP="00B03C5B">
      <w:pPr>
        <w:jc w:val="both"/>
      </w:pPr>
      <w:r>
        <w:t xml:space="preserve">The result of CPS processing is a waveform whose main body (an equivalent to the output of IFFT in OFDM) may be thought of as a single period of a periodic waveform. As a result this main body may be written as a summation of a number of pure tones and, similar to OFDM, a CP may be added to absorb the transient response of the channel. The tones, also like OFDM, are the carriers of the information symbols. They also are affected by the channel response in the same way as the tones in OFDM. As a result, per tone channel equalization and MIMO processing for CPS waveforms can be done trivially, following the well-known methods that have been developed for OFDM. Considering these observations, the CPS waveforms may be thought as a </w:t>
      </w:r>
      <w:r w:rsidRPr="00572633">
        <w:rPr>
          <w:i/>
        </w:rPr>
        <w:t>generalization of OFDM</w:t>
      </w:r>
      <w:r>
        <w:t>. From here onwards, the waveform generated in Figure 1 is referred to as SC-CPS-OFDM waveform and its corresponding frequency multiplexing version is referred to as SC-CPS-FDMA.</w:t>
      </w:r>
    </w:p>
    <w:p w:rsidR="00AC1888" w:rsidRDefault="00AC1888" w:rsidP="00B03C5B">
      <w:pPr>
        <w:jc w:val="both"/>
      </w:pPr>
      <w:r>
        <w:t xml:space="preserve">The frequency domain pulse shaping filter gives us many degrees of the freedom in its selection for minimizing the PAPR of the transmit signal. This results in a significant PAPR gain over DFT-S-OFDM as shown by the simulation results in Figure 2. For the simulations results, all three schemes (OFDM, DFT-S-OFDM and SC-CPS-OFDM) have an IFFT size, N = 256 and DFT size, L= 16 (active subcarriers). A raised cosine pulse shaping filter with a roll-off α = 1/3 was used to generate the simulations results. Here, data symbols are chosen from a QPSK alphabet. </w:t>
      </w:r>
    </w:p>
    <w:p w:rsidR="00AC1888" w:rsidRDefault="00AC1888" w:rsidP="00B03C5B">
      <w:pPr>
        <w:jc w:val="both"/>
      </w:pPr>
      <w:r>
        <w:t>In Figure 2, OFDM performance is the worst and compared to OFDM the DFT-S-OFDM waveform achieves a better performance by 2dB measured at 10</w:t>
      </w:r>
      <w:r w:rsidRPr="00090DC3">
        <w:rPr>
          <w:vertAlign w:val="superscript"/>
        </w:rPr>
        <w:t>-3</w:t>
      </w:r>
      <w:r>
        <w:t xml:space="preserve"> CCDF. Most importantly, as expected, the SC-CPS-OFDM shows further gain of more than 1dB and 2dB measured at 10</w:t>
      </w:r>
      <w:r w:rsidRPr="00D32C06">
        <w:rPr>
          <w:vertAlign w:val="superscript"/>
        </w:rPr>
        <w:t>-3</w:t>
      </w:r>
      <w:r>
        <w:t xml:space="preserve"> CCDF for QAM and OQAM version of SC-CPS-OFDM, respectively. This significant gain over DFT-S-OFDM is attributed to the additional degree of freedom from the CPS filter that allows further control of the PAPR.  One could vary the roll-off α as a design factor to obtain a desired PAPR performance. Note that with α = 0 we would obtain identical performance as with the DFT-S-OFDM curve. </w:t>
      </w:r>
      <w:r w:rsidRPr="00FA4A65">
        <w:t>Beside variation of α, other parameters of the CPS filter (e.g., some variation of the gains at different frequency domain samples) may be adjusted to further improve the PAPR during the design phase.</w:t>
      </w:r>
      <w:r>
        <w:t xml:space="preserve"> </w:t>
      </w:r>
    </w:p>
    <w:p w:rsidR="00AC1888" w:rsidRDefault="00AC1888" w:rsidP="00B03C5B">
      <w:pPr>
        <w:jc w:val="both"/>
      </w:pPr>
      <w:r>
        <w:rPr>
          <w:b/>
          <w:i/>
        </w:rPr>
        <w:t xml:space="preserve">Observation: Circular Pulse Shaping provides significant PAPR gain </w:t>
      </w:r>
      <w:r w:rsidRPr="00416E60">
        <w:rPr>
          <w:b/>
          <w:i/>
        </w:rPr>
        <w:t xml:space="preserve">of at least 1.2dB and at least 3.2dB </w:t>
      </w:r>
      <w:r>
        <w:rPr>
          <w:b/>
          <w:i/>
        </w:rPr>
        <w:t xml:space="preserve">over DFT-S-OFDM and OFDM, respectively. </w:t>
      </w:r>
    </w:p>
    <w:p w:rsidR="00AC1888" w:rsidRPr="00090DC3" w:rsidRDefault="00AC1888" w:rsidP="00B03C5B">
      <w:pPr>
        <w:jc w:val="both"/>
      </w:pPr>
    </w:p>
    <w:p w:rsidR="00AC1888" w:rsidRDefault="00AC1888" w:rsidP="00221366">
      <w:pPr>
        <w:jc w:val="center"/>
      </w:pPr>
      <w:r w:rsidRPr="00F332E0">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i1025" type="#_x0000_t75" style="width:259.5pt;height:249pt;visibility:visible">
            <v:imagedata r:id="rId7" o:title=""/>
          </v:shape>
        </w:pict>
      </w:r>
    </w:p>
    <w:p w:rsidR="00AC1888" w:rsidRDefault="00AC1888" w:rsidP="0079516A">
      <w:pPr>
        <w:jc w:val="center"/>
        <w:rPr>
          <w:b/>
        </w:rPr>
      </w:pPr>
      <w:r w:rsidRPr="00E371D6">
        <w:rPr>
          <w:b/>
        </w:rPr>
        <w:t>Figure 1</w:t>
      </w:r>
      <w:r>
        <w:rPr>
          <w:b/>
        </w:rPr>
        <w:t>.</w:t>
      </w:r>
      <w:r w:rsidRPr="00E371D6">
        <w:rPr>
          <w:b/>
        </w:rPr>
        <w:t xml:space="preserve"> Generation of </w:t>
      </w:r>
      <w:r>
        <w:rPr>
          <w:b/>
        </w:rPr>
        <w:t xml:space="preserve">SC-CPS-OFDM </w:t>
      </w:r>
      <w:r w:rsidRPr="00E371D6">
        <w:rPr>
          <w:b/>
        </w:rPr>
        <w:t>waveform</w:t>
      </w:r>
    </w:p>
    <w:p w:rsidR="00AC1888" w:rsidRDefault="00AC1888" w:rsidP="00B0425B">
      <w:pPr>
        <w:jc w:val="both"/>
        <w:rPr>
          <w:b/>
        </w:rPr>
      </w:pPr>
      <w:r w:rsidRPr="00BF3729">
        <w:rPr>
          <w:rFonts w:ascii="Times" w:hAnsi="Times" w:cs="Times"/>
        </w:rPr>
        <w:t>To make sure</w:t>
      </w:r>
      <w:r>
        <w:rPr>
          <w:rFonts w:ascii="Times" w:hAnsi="Times" w:cs="Times"/>
        </w:rPr>
        <w:t xml:space="preserve"> that the PAPR results in Figure 2 are on a fair basis, in Figure 3</w:t>
      </w:r>
      <w:r w:rsidRPr="00BF3729">
        <w:rPr>
          <w:rFonts w:ascii="Times" w:hAnsi="Times" w:cs="Times"/>
        </w:rPr>
        <w:t xml:space="preserve"> we have presented the power spectral densities (PSD) of </w:t>
      </w:r>
      <w:r>
        <w:rPr>
          <w:rFonts w:ascii="Times" w:hAnsi="Times" w:cs="Times"/>
        </w:rPr>
        <w:t>DFT-S-OFDM and SC-CPS-OFDM (QAM) case (The remaining OFDM and SC-CPS-OFDM (OQAM) cases are shown in the Appendix A. All results are according to agreed parameters described in [6]).</w:t>
      </w:r>
      <w:r w:rsidRPr="00BF3729">
        <w:rPr>
          <w:rFonts w:ascii="Times" w:hAnsi="Times" w:cs="Times"/>
        </w:rPr>
        <w:t xml:space="preserve"> The results were obtained by averaging over 1000 realizations of each waveform. The same WOLA window</w:t>
      </w:r>
      <w:r>
        <w:rPr>
          <w:rFonts w:ascii="Times" w:hAnsi="Times" w:cs="Times"/>
        </w:rPr>
        <w:t xml:space="preserve"> with roll-off </w:t>
      </w:r>
      <w:r w:rsidRPr="00EA7A3A">
        <w:rPr>
          <w:rFonts w:ascii="Times" w:hAnsi="Times" w:cs="Times" w:hint="eastAsia"/>
        </w:rPr>
        <w:t>β</w:t>
      </w:r>
      <w:r w:rsidRPr="00416E60">
        <w:rPr>
          <w:rFonts w:ascii="Times" w:hAnsi="Times" w:cs="Times"/>
        </w:rPr>
        <w:t xml:space="preserve"> = 0.08</w:t>
      </w:r>
      <w:r w:rsidRPr="00BF3729">
        <w:rPr>
          <w:rFonts w:ascii="Times" w:hAnsi="Times" w:cs="Times"/>
        </w:rPr>
        <w:t xml:space="preserve"> has</w:t>
      </w:r>
      <w:r>
        <w:rPr>
          <w:rFonts w:ascii="Times" w:hAnsi="Times" w:cs="Times"/>
        </w:rPr>
        <w:t xml:space="preserve"> been applied to reduce the OOBE</w:t>
      </w:r>
      <w:r w:rsidRPr="00BF3729">
        <w:rPr>
          <w:rFonts w:ascii="Times" w:hAnsi="Times" w:cs="Times"/>
        </w:rPr>
        <w:t xml:space="preserve"> for all cases. </w:t>
      </w:r>
      <w:r>
        <w:rPr>
          <w:rFonts w:ascii="Times" w:hAnsi="Times" w:cs="Times"/>
        </w:rPr>
        <w:t xml:space="preserve">Each OFDM symbol has 16 additional CP samples to take care of the channel transient. </w:t>
      </w:r>
      <w:r w:rsidRPr="00BF3729">
        <w:rPr>
          <w:rFonts w:ascii="Times" w:hAnsi="Times" w:cs="Times"/>
        </w:rPr>
        <w:t xml:space="preserve">As seen </w:t>
      </w:r>
      <w:r>
        <w:rPr>
          <w:rFonts w:ascii="Times" w:hAnsi="Times" w:cs="Times"/>
        </w:rPr>
        <w:t xml:space="preserve">in Figure 3, </w:t>
      </w:r>
      <w:r w:rsidRPr="00BF3729">
        <w:rPr>
          <w:rFonts w:ascii="Times" w:hAnsi="Times" w:cs="Times"/>
        </w:rPr>
        <w:t xml:space="preserve">all waveforms have about the </w:t>
      </w:r>
      <w:r>
        <w:rPr>
          <w:rFonts w:ascii="Times" w:hAnsi="Times" w:cs="Times"/>
        </w:rPr>
        <w:t>same PSDs. We thus conclude that</w:t>
      </w:r>
      <w:r w:rsidRPr="00BF3729">
        <w:rPr>
          <w:rFonts w:ascii="Times" w:hAnsi="Times" w:cs="Times"/>
        </w:rPr>
        <w:t xml:space="preserve"> while the </w:t>
      </w:r>
      <w:r>
        <w:t>SC-</w:t>
      </w:r>
      <w:r w:rsidRPr="00BF3729">
        <w:t>CPS</w:t>
      </w:r>
      <w:r>
        <w:t>-OFDM</w:t>
      </w:r>
      <w:r w:rsidRPr="00BF3729">
        <w:t xml:space="preserve"> waveforms offer significant gains in PAPR, they keep the same OOBE when compared to OFDM and DFT-s-OFDM.</w:t>
      </w:r>
      <w:r>
        <w:t xml:space="preserve"> Also in Figure 3, note for the SC-CPS-OFDM case the shoulders of the non-linear PA Rapp-model PSD curve are lower by more than 3 dB compared to the OFDM case and that spectral regrowth due to PA non-linearity is significantly less pronounced. To further quantify the results in Figure 3, we have evaluated the adjacent channel leakage ratio (ACLR) that these designs lead to. ACLR at each user band is defined as the ratio of in-band power to the power leakage into other bands. Assuming three OFDM subcarriers allocated as a guard band for users’ separation, the ACLR results presented in Table 1 are obtained. The only noticeable difference is seen when we consider the first adjacent bands. SC-CPS-OFDM designs (both QAM and OQAM) show 0.2 dB lower ACLR than the conventional OFDM and DFT-S-OFDM. This slight difference is due to the pulse-shaping filter roll-off that is introduced in SC-CPS-OFDM to improve on the PAPR. For the bands that are further away, there is no noticeable difference. These numbers are consistent with the PSD plots in Figure 3. </w:t>
      </w:r>
    </w:p>
    <w:p w:rsidR="00AC1888" w:rsidRDefault="00AC1888" w:rsidP="00221366">
      <w:pPr>
        <w:jc w:val="center"/>
        <w:rPr>
          <w:b/>
        </w:rPr>
      </w:pPr>
      <w:r w:rsidRPr="00F332E0">
        <w:rPr>
          <w:b/>
          <w:noProof/>
          <w:lang w:val="en-US"/>
        </w:rPr>
        <w:pict>
          <v:shape id="Picture 2" o:spid="_x0000_i1026" type="#_x0000_t75" style="width:241.5pt;height:254.25pt;visibility:visible">
            <v:imagedata r:id="rId8" o:title=""/>
          </v:shape>
        </w:pict>
      </w:r>
      <w:r w:rsidRPr="00AD28BD" w:rsidDel="00AD28BD">
        <w:rPr>
          <w:b/>
          <w:noProof/>
          <w:lang w:val="en-US"/>
        </w:rPr>
        <w:t xml:space="preserve"> </w:t>
      </w:r>
    </w:p>
    <w:p w:rsidR="00AC1888" w:rsidRPr="00E371D6" w:rsidRDefault="00AC1888" w:rsidP="00221366">
      <w:pPr>
        <w:jc w:val="center"/>
        <w:rPr>
          <w:b/>
        </w:rPr>
      </w:pPr>
      <w:r w:rsidRPr="00C54303">
        <w:rPr>
          <w:b/>
        </w:rPr>
        <w:t xml:space="preserve">Figure 2. Cumulative </w:t>
      </w:r>
      <w:r>
        <w:rPr>
          <w:b/>
        </w:rPr>
        <w:t>C</w:t>
      </w:r>
      <w:r w:rsidRPr="00C54303">
        <w:rPr>
          <w:b/>
        </w:rPr>
        <w:t xml:space="preserve">omplementary </w:t>
      </w:r>
      <w:r>
        <w:rPr>
          <w:b/>
        </w:rPr>
        <w:t>D</w:t>
      </w:r>
      <w:r w:rsidRPr="00C54303">
        <w:rPr>
          <w:b/>
        </w:rPr>
        <w:t xml:space="preserve">istribution </w:t>
      </w:r>
      <w:r>
        <w:rPr>
          <w:b/>
        </w:rPr>
        <w:t>F</w:t>
      </w:r>
      <w:r w:rsidRPr="00C54303">
        <w:rPr>
          <w:b/>
        </w:rPr>
        <w:t>unctions (CCDF) of OFDM, DFT-S-OFDM and SC-CPS-OFDM waveforms</w:t>
      </w:r>
      <w:r>
        <w:rPr>
          <w:b/>
        </w:rPr>
        <w:t xml:space="preserve"> with </w:t>
      </w:r>
      <w:r w:rsidRPr="0014714E">
        <w:rPr>
          <w:b/>
        </w:rPr>
        <w:t>α</w:t>
      </w:r>
      <w:r>
        <w:rPr>
          <w:b/>
        </w:rPr>
        <w:t xml:space="preserve"> = 1/3 roll-off.</w:t>
      </w:r>
    </w:p>
    <w:p w:rsidR="00AC1888" w:rsidRDefault="00AC1888" w:rsidP="00B0425B">
      <w:pPr>
        <w:spacing w:after="60"/>
        <w:jc w:val="center"/>
        <w:rPr>
          <w:b/>
        </w:rPr>
      </w:pPr>
      <w:r>
        <w:rPr>
          <w:b/>
        </w:rPr>
        <w:t>Table 1: ACLR values (in dB) for different waveforms and the leakage received from adjacent bands.</w:t>
      </w:r>
    </w:p>
    <w:tbl>
      <w:tblPr>
        <w:tblW w:w="0" w:type="auto"/>
        <w:tblLook w:val="00A0"/>
      </w:tblPr>
      <w:tblGrid>
        <w:gridCol w:w="1771"/>
        <w:gridCol w:w="1771"/>
        <w:gridCol w:w="1771"/>
        <w:gridCol w:w="1771"/>
        <w:gridCol w:w="1772"/>
      </w:tblGrid>
      <w:tr w:rsidR="00AC1888" w:rsidTr="00500F92">
        <w:tc>
          <w:tcPr>
            <w:tcW w:w="1771" w:type="dxa"/>
            <w:tcBorders>
              <w:top w:val="single" w:sz="4" w:space="0" w:color="auto"/>
              <w:left w:val="single" w:sz="4" w:space="0" w:color="auto"/>
              <w:right w:val="single" w:sz="4" w:space="0" w:color="auto"/>
            </w:tcBorders>
          </w:tcPr>
          <w:p w:rsidR="00AC1888" w:rsidRPr="00E704B4" w:rsidRDefault="00AC1888" w:rsidP="00E704B4">
            <w:pPr>
              <w:spacing w:after="0"/>
              <w:jc w:val="center"/>
              <w:rPr>
                <w:b/>
              </w:rPr>
            </w:pPr>
          </w:p>
          <w:p w:rsidR="00AC1888" w:rsidRPr="00E704B4" w:rsidRDefault="00AC1888" w:rsidP="00E704B4">
            <w:pPr>
              <w:spacing w:after="0"/>
              <w:jc w:val="center"/>
              <w:rPr>
                <w:b/>
              </w:rPr>
            </w:pPr>
            <w:r w:rsidRPr="00E704B4">
              <w:rPr>
                <w:b/>
              </w:rPr>
              <w:t>Adjacent band #</w:t>
            </w:r>
          </w:p>
        </w:tc>
        <w:tc>
          <w:tcPr>
            <w:tcW w:w="1771" w:type="dxa"/>
            <w:tcBorders>
              <w:top w:val="single" w:sz="4" w:space="0" w:color="auto"/>
              <w:left w:val="single" w:sz="4" w:space="0" w:color="auto"/>
              <w:right w:val="single" w:sz="4" w:space="0" w:color="auto"/>
            </w:tcBorders>
          </w:tcPr>
          <w:p w:rsidR="00AC1888" w:rsidRPr="00E704B4" w:rsidRDefault="00AC1888" w:rsidP="00E704B4">
            <w:pPr>
              <w:spacing w:after="0"/>
              <w:jc w:val="center"/>
              <w:rPr>
                <w:b/>
              </w:rPr>
            </w:pPr>
            <w:r w:rsidRPr="00E704B4">
              <w:rPr>
                <w:b/>
              </w:rPr>
              <w:t>OFDM</w:t>
            </w:r>
          </w:p>
        </w:tc>
        <w:tc>
          <w:tcPr>
            <w:tcW w:w="1771" w:type="dxa"/>
            <w:tcBorders>
              <w:top w:val="single" w:sz="4" w:space="0" w:color="auto"/>
              <w:left w:val="single" w:sz="4" w:space="0" w:color="auto"/>
              <w:right w:val="single" w:sz="4" w:space="0" w:color="auto"/>
            </w:tcBorders>
          </w:tcPr>
          <w:p w:rsidR="00AC1888" w:rsidRPr="00E704B4" w:rsidRDefault="00AC1888" w:rsidP="00E704B4">
            <w:pPr>
              <w:spacing w:after="0"/>
              <w:jc w:val="center"/>
              <w:rPr>
                <w:b/>
              </w:rPr>
            </w:pPr>
            <w:r w:rsidRPr="00E704B4">
              <w:rPr>
                <w:b/>
              </w:rPr>
              <w:t>DFT-S-OFDM</w:t>
            </w:r>
          </w:p>
        </w:tc>
        <w:tc>
          <w:tcPr>
            <w:tcW w:w="1771" w:type="dxa"/>
            <w:tcBorders>
              <w:top w:val="single" w:sz="4" w:space="0" w:color="auto"/>
              <w:left w:val="single" w:sz="4" w:space="0" w:color="auto"/>
              <w:right w:val="single" w:sz="4" w:space="0" w:color="auto"/>
            </w:tcBorders>
          </w:tcPr>
          <w:p w:rsidR="00AC1888" w:rsidRPr="00E704B4" w:rsidRDefault="00AC1888" w:rsidP="00E704B4">
            <w:pPr>
              <w:spacing w:after="0"/>
              <w:jc w:val="center"/>
              <w:rPr>
                <w:b/>
              </w:rPr>
            </w:pPr>
            <w:r w:rsidRPr="00E704B4">
              <w:rPr>
                <w:b/>
              </w:rPr>
              <w:t>SC-CPS-OFDM</w:t>
            </w:r>
          </w:p>
          <w:p w:rsidR="00AC1888" w:rsidRPr="00E704B4" w:rsidRDefault="00AC1888" w:rsidP="00E704B4">
            <w:pPr>
              <w:spacing w:after="0"/>
              <w:jc w:val="center"/>
              <w:rPr>
                <w:b/>
              </w:rPr>
            </w:pPr>
            <w:r w:rsidRPr="00E704B4">
              <w:rPr>
                <w:b/>
              </w:rPr>
              <w:t>(QAM)</w:t>
            </w:r>
          </w:p>
        </w:tc>
        <w:tc>
          <w:tcPr>
            <w:tcW w:w="1772" w:type="dxa"/>
            <w:tcBorders>
              <w:top w:val="single" w:sz="4" w:space="0" w:color="auto"/>
              <w:left w:val="single" w:sz="4" w:space="0" w:color="auto"/>
              <w:right w:val="single" w:sz="4" w:space="0" w:color="auto"/>
            </w:tcBorders>
          </w:tcPr>
          <w:p w:rsidR="00AC1888" w:rsidRPr="00E704B4" w:rsidRDefault="00AC1888" w:rsidP="00E704B4">
            <w:pPr>
              <w:spacing w:after="0"/>
              <w:jc w:val="center"/>
              <w:rPr>
                <w:b/>
              </w:rPr>
            </w:pPr>
            <w:r w:rsidRPr="00E704B4">
              <w:rPr>
                <w:b/>
              </w:rPr>
              <w:t>SC-CPS-OFDM</w:t>
            </w:r>
          </w:p>
          <w:p w:rsidR="00AC1888" w:rsidRPr="00E704B4" w:rsidRDefault="00AC1888" w:rsidP="00E704B4">
            <w:pPr>
              <w:spacing w:after="0"/>
              <w:jc w:val="center"/>
              <w:rPr>
                <w:b/>
              </w:rPr>
            </w:pPr>
            <w:r w:rsidRPr="00E704B4">
              <w:rPr>
                <w:b/>
              </w:rPr>
              <w:t>(OQAM)</w:t>
            </w:r>
          </w:p>
        </w:tc>
      </w:tr>
      <w:tr w:rsidR="00AC1888" w:rsidTr="00500F92">
        <w:tc>
          <w:tcPr>
            <w:tcW w:w="1771" w:type="dxa"/>
            <w:tcBorders>
              <w:left w:val="single" w:sz="4" w:space="0" w:color="auto"/>
              <w:right w:val="single" w:sz="4" w:space="0" w:color="auto"/>
            </w:tcBorders>
          </w:tcPr>
          <w:p w:rsidR="00AC1888" w:rsidRPr="00E704B4" w:rsidRDefault="00AC1888" w:rsidP="00E704B4">
            <w:pPr>
              <w:spacing w:before="120" w:after="120"/>
              <w:jc w:val="center"/>
              <w:rPr>
                <w:b/>
              </w:rPr>
            </w:pPr>
            <w:r w:rsidRPr="00E704B4">
              <w:rPr>
                <w:b/>
              </w:rPr>
              <w:t>1</w:t>
            </w:r>
          </w:p>
        </w:tc>
        <w:tc>
          <w:tcPr>
            <w:tcW w:w="1771" w:type="dxa"/>
            <w:tcBorders>
              <w:left w:val="single" w:sz="4" w:space="0" w:color="auto"/>
              <w:right w:val="single" w:sz="4" w:space="0" w:color="auto"/>
            </w:tcBorders>
          </w:tcPr>
          <w:p w:rsidR="00AC1888" w:rsidRPr="00E704B4" w:rsidRDefault="00AC1888" w:rsidP="00E704B4">
            <w:pPr>
              <w:spacing w:before="120" w:after="120"/>
              <w:jc w:val="center"/>
              <w:rPr>
                <w:b/>
              </w:rPr>
            </w:pPr>
            <w:r w:rsidRPr="00E704B4">
              <w:rPr>
                <w:b/>
              </w:rPr>
              <w:t>28.9</w:t>
            </w:r>
          </w:p>
        </w:tc>
        <w:tc>
          <w:tcPr>
            <w:tcW w:w="1771" w:type="dxa"/>
            <w:tcBorders>
              <w:left w:val="single" w:sz="4" w:space="0" w:color="auto"/>
              <w:right w:val="single" w:sz="4" w:space="0" w:color="auto"/>
            </w:tcBorders>
          </w:tcPr>
          <w:p w:rsidR="00AC1888" w:rsidRPr="00E704B4" w:rsidRDefault="00AC1888" w:rsidP="00E704B4">
            <w:pPr>
              <w:spacing w:before="120" w:after="120"/>
              <w:jc w:val="center"/>
              <w:rPr>
                <w:b/>
              </w:rPr>
            </w:pPr>
            <w:r w:rsidRPr="00E704B4">
              <w:rPr>
                <w:b/>
              </w:rPr>
              <w:t>28.9</w:t>
            </w:r>
          </w:p>
        </w:tc>
        <w:tc>
          <w:tcPr>
            <w:tcW w:w="1771" w:type="dxa"/>
            <w:tcBorders>
              <w:left w:val="single" w:sz="4" w:space="0" w:color="auto"/>
              <w:right w:val="single" w:sz="4" w:space="0" w:color="auto"/>
            </w:tcBorders>
          </w:tcPr>
          <w:p w:rsidR="00AC1888" w:rsidRPr="00E704B4" w:rsidRDefault="00AC1888" w:rsidP="00E704B4">
            <w:pPr>
              <w:spacing w:before="120" w:after="120"/>
              <w:jc w:val="center"/>
              <w:rPr>
                <w:b/>
              </w:rPr>
            </w:pPr>
            <w:r w:rsidRPr="00E704B4">
              <w:rPr>
                <w:b/>
              </w:rPr>
              <w:t>28.7</w:t>
            </w:r>
          </w:p>
        </w:tc>
        <w:tc>
          <w:tcPr>
            <w:tcW w:w="1772" w:type="dxa"/>
            <w:tcBorders>
              <w:left w:val="single" w:sz="4" w:space="0" w:color="auto"/>
              <w:right w:val="single" w:sz="4" w:space="0" w:color="auto"/>
            </w:tcBorders>
          </w:tcPr>
          <w:p w:rsidR="00AC1888" w:rsidRPr="00E704B4" w:rsidRDefault="00AC1888" w:rsidP="00E704B4">
            <w:pPr>
              <w:spacing w:before="120" w:after="120"/>
              <w:jc w:val="center"/>
              <w:rPr>
                <w:b/>
              </w:rPr>
            </w:pPr>
            <w:r w:rsidRPr="00E704B4">
              <w:rPr>
                <w:b/>
              </w:rPr>
              <w:t>28.7</w:t>
            </w:r>
          </w:p>
        </w:tc>
      </w:tr>
      <w:tr w:rsidR="00AC1888" w:rsidTr="00E704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71" w:type="dxa"/>
          </w:tcPr>
          <w:p w:rsidR="00AC1888" w:rsidRPr="00E704B4" w:rsidRDefault="00AC1888" w:rsidP="00E704B4">
            <w:pPr>
              <w:spacing w:before="120" w:after="120"/>
              <w:jc w:val="center"/>
              <w:rPr>
                <w:b/>
              </w:rPr>
            </w:pPr>
            <w:r w:rsidRPr="00E704B4">
              <w:rPr>
                <w:b/>
              </w:rPr>
              <w:t>2</w:t>
            </w:r>
          </w:p>
        </w:tc>
        <w:tc>
          <w:tcPr>
            <w:tcW w:w="1771" w:type="dxa"/>
          </w:tcPr>
          <w:p w:rsidR="00AC1888" w:rsidRPr="00E704B4" w:rsidRDefault="00AC1888" w:rsidP="00E704B4">
            <w:pPr>
              <w:spacing w:before="120" w:after="120"/>
              <w:jc w:val="center"/>
              <w:rPr>
                <w:b/>
              </w:rPr>
            </w:pPr>
            <w:r w:rsidRPr="00E704B4">
              <w:rPr>
                <w:b/>
              </w:rPr>
              <w:t>58.8</w:t>
            </w:r>
          </w:p>
        </w:tc>
        <w:tc>
          <w:tcPr>
            <w:tcW w:w="1771" w:type="dxa"/>
          </w:tcPr>
          <w:p w:rsidR="00AC1888" w:rsidRPr="00E704B4" w:rsidRDefault="00AC1888" w:rsidP="00E704B4">
            <w:pPr>
              <w:spacing w:before="120" w:after="120"/>
              <w:jc w:val="center"/>
              <w:rPr>
                <w:b/>
              </w:rPr>
            </w:pPr>
            <w:r w:rsidRPr="00E704B4">
              <w:rPr>
                <w:b/>
              </w:rPr>
              <w:t>58.8</w:t>
            </w:r>
          </w:p>
        </w:tc>
        <w:tc>
          <w:tcPr>
            <w:tcW w:w="1771" w:type="dxa"/>
          </w:tcPr>
          <w:p w:rsidR="00AC1888" w:rsidRPr="00E704B4" w:rsidRDefault="00AC1888" w:rsidP="00E704B4">
            <w:pPr>
              <w:spacing w:before="120" w:after="120"/>
              <w:jc w:val="center"/>
              <w:rPr>
                <w:b/>
              </w:rPr>
            </w:pPr>
            <w:r w:rsidRPr="00E704B4">
              <w:rPr>
                <w:b/>
              </w:rPr>
              <w:t>58.8</w:t>
            </w:r>
          </w:p>
        </w:tc>
        <w:tc>
          <w:tcPr>
            <w:tcW w:w="1772" w:type="dxa"/>
          </w:tcPr>
          <w:p w:rsidR="00AC1888" w:rsidRPr="00E704B4" w:rsidRDefault="00AC1888" w:rsidP="00E704B4">
            <w:pPr>
              <w:spacing w:before="120" w:after="120"/>
              <w:jc w:val="center"/>
              <w:rPr>
                <w:b/>
              </w:rPr>
            </w:pPr>
            <w:r w:rsidRPr="00E704B4">
              <w:rPr>
                <w:b/>
              </w:rPr>
              <w:t>58.8</w:t>
            </w:r>
          </w:p>
        </w:tc>
      </w:tr>
      <w:tr w:rsidR="00AC1888" w:rsidTr="00E704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71" w:type="dxa"/>
          </w:tcPr>
          <w:p w:rsidR="00AC1888" w:rsidRPr="00E704B4" w:rsidRDefault="00AC1888" w:rsidP="00E704B4">
            <w:pPr>
              <w:spacing w:before="120" w:after="120"/>
              <w:jc w:val="center"/>
              <w:rPr>
                <w:b/>
              </w:rPr>
            </w:pPr>
            <w:r w:rsidRPr="00E704B4">
              <w:rPr>
                <w:b/>
              </w:rPr>
              <w:t>3</w:t>
            </w:r>
          </w:p>
        </w:tc>
        <w:tc>
          <w:tcPr>
            <w:tcW w:w="1771" w:type="dxa"/>
          </w:tcPr>
          <w:p w:rsidR="00AC1888" w:rsidRPr="00E704B4" w:rsidRDefault="00AC1888" w:rsidP="00E704B4">
            <w:pPr>
              <w:spacing w:before="120" w:after="120"/>
              <w:jc w:val="center"/>
              <w:rPr>
                <w:b/>
              </w:rPr>
            </w:pPr>
            <w:r w:rsidRPr="00E704B4">
              <w:rPr>
                <w:b/>
              </w:rPr>
              <w:t>69.7</w:t>
            </w:r>
          </w:p>
        </w:tc>
        <w:tc>
          <w:tcPr>
            <w:tcW w:w="1771" w:type="dxa"/>
          </w:tcPr>
          <w:p w:rsidR="00AC1888" w:rsidRPr="00E704B4" w:rsidRDefault="00AC1888" w:rsidP="00E704B4">
            <w:pPr>
              <w:spacing w:before="120" w:after="120"/>
              <w:jc w:val="center"/>
              <w:rPr>
                <w:b/>
              </w:rPr>
            </w:pPr>
            <w:r w:rsidRPr="00E704B4">
              <w:rPr>
                <w:b/>
              </w:rPr>
              <w:t>69.7</w:t>
            </w:r>
          </w:p>
        </w:tc>
        <w:tc>
          <w:tcPr>
            <w:tcW w:w="1771" w:type="dxa"/>
          </w:tcPr>
          <w:p w:rsidR="00AC1888" w:rsidRPr="00E704B4" w:rsidRDefault="00AC1888" w:rsidP="00E704B4">
            <w:pPr>
              <w:spacing w:before="120" w:after="120"/>
              <w:jc w:val="center"/>
              <w:rPr>
                <w:b/>
              </w:rPr>
            </w:pPr>
            <w:r w:rsidRPr="00E704B4">
              <w:rPr>
                <w:b/>
              </w:rPr>
              <w:t>69.7</w:t>
            </w:r>
          </w:p>
        </w:tc>
        <w:tc>
          <w:tcPr>
            <w:tcW w:w="1772" w:type="dxa"/>
          </w:tcPr>
          <w:p w:rsidR="00AC1888" w:rsidRPr="00E704B4" w:rsidRDefault="00AC1888" w:rsidP="00E704B4">
            <w:pPr>
              <w:spacing w:before="120" w:after="120"/>
              <w:jc w:val="center"/>
              <w:rPr>
                <w:b/>
              </w:rPr>
            </w:pPr>
            <w:r w:rsidRPr="00E704B4">
              <w:rPr>
                <w:b/>
              </w:rPr>
              <w:t>69.7</w:t>
            </w:r>
          </w:p>
        </w:tc>
      </w:tr>
    </w:tbl>
    <w:p w:rsidR="00AC1888" w:rsidRDefault="00AC1888" w:rsidP="00794ACA">
      <w:pPr>
        <w:rPr>
          <w:b/>
        </w:rPr>
      </w:pPr>
    </w:p>
    <w:p w:rsidR="00AC1888" w:rsidRDefault="00AC1888" w:rsidP="000D6DFB">
      <w:r>
        <w:rPr>
          <w:b/>
          <w:i/>
        </w:rPr>
        <w:t>Proposal: RAN1 should consider SC-CPS-FDMA because of its improved PAPR performance over SC-FDMA while still providing all the benefits of SC-FDMA.</w:t>
      </w:r>
    </w:p>
    <w:p w:rsidR="00AC1888" w:rsidRDefault="00AC1888" w:rsidP="008D264F">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28"/>
        <w:gridCol w:w="4428"/>
      </w:tblGrid>
      <w:tr w:rsidR="00AC1888" w:rsidTr="00457871">
        <w:trPr>
          <w:trHeight w:val="4427"/>
        </w:trPr>
        <w:tc>
          <w:tcPr>
            <w:tcW w:w="4428" w:type="dxa"/>
          </w:tcPr>
          <w:p w:rsidR="00AC1888" w:rsidRDefault="00AC1888" w:rsidP="008D264F">
            <w:r w:rsidRPr="00F332E0">
              <w:rPr>
                <w:noProof/>
                <w:lang w:val="en-US"/>
              </w:rPr>
              <w:pict>
                <v:shape id="Picture 8" o:spid="_x0000_i1027" type="#_x0000_t75" style="width:207pt;height:214.5pt;visibility:visible">
                  <v:imagedata r:id="rId9" o:title=""/>
                </v:shape>
              </w:pict>
            </w:r>
          </w:p>
        </w:tc>
        <w:tc>
          <w:tcPr>
            <w:tcW w:w="4428" w:type="dxa"/>
          </w:tcPr>
          <w:p w:rsidR="00AC1888" w:rsidRDefault="00AC1888" w:rsidP="008D264F">
            <w:pPr>
              <w:jc w:val="center"/>
            </w:pPr>
            <w:r w:rsidRPr="00F332E0">
              <w:rPr>
                <w:noProof/>
                <w:lang w:val="en-US"/>
              </w:rPr>
              <w:pict>
                <v:shape id="Picture 11" o:spid="_x0000_i1028" type="#_x0000_t75" style="width:178.5pt;height:214.5pt;visibility:visible">
                  <v:imagedata r:id="rId10" o:title=""/>
                </v:shape>
              </w:pict>
            </w:r>
          </w:p>
        </w:tc>
      </w:tr>
    </w:tbl>
    <w:p w:rsidR="00AC1888" w:rsidRDefault="00AC1888" w:rsidP="00131821">
      <w:pPr>
        <w:jc w:val="center"/>
        <w:rPr>
          <w:b/>
        </w:rPr>
      </w:pPr>
    </w:p>
    <w:p w:rsidR="00AC1888" w:rsidRPr="00E371D6" w:rsidRDefault="00AC1888" w:rsidP="00131821">
      <w:pPr>
        <w:jc w:val="center"/>
        <w:rPr>
          <w:b/>
        </w:rPr>
      </w:pPr>
      <w:r w:rsidRPr="00FA4A65">
        <w:rPr>
          <w:b/>
        </w:rPr>
        <w:t>Figure 3: Power Spectral Density (PSD) of DFT-S-OFDM and SC-CPS</w:t>
      </w:r>
      <w:r>
        <w:rPr>
          <w:b/>
        </w:rPr>
        <w:t>-QAM</w:t>
      </w:r>
      <w:r w:rsidRPr="00FA4A65">
        <w:rPr>
          <w:b/>
        </w:rPr>
        <w:t xml:space="preserve"> waveforms</w:t>
      </w:r>
    </w:p>
    <w:p w:rsidR="00AC1888" w:rsidRDefault="00AC1888" w:rsidP="009F60D3"/>
    <w:p w:rsidR="00AC1888" w:rsidRDefault="00AC1888" w:rsidP="00B0425B">
      <w:pPr>
        <w:pStyle w:val="Heading1"/>
      </w:pPr>
      <w:r>
        <w:t>4</w:t>
      </w:r>
      <w:r>
        <w:tab/>
        <w:t>Further benefits of SC-CPS-OFDM</w:t>
      </w:r>
    </w:p>
    <w:p w:rsidR="00AC1888" w:rsidRPr="00794ACA" w:rsidRDefault="00AC1888" w:rsidP="00B0425B">
      <w:pPr>
        <w:jc w:val="both"/>
        <w:rPr>
          <w:b/>
          <w:u w:val="single"/>
        </w:rPr>
      </w:pPr>
      <w:r>
        <w:rPr>
          <w:b/>
          <w:u w:val="single"/>
        </w:rPr>
        <w:t xml:space="preserve">a) </w:t>
      </w:r>
      <w:r w:rsidRPr="00794ACA">
        <w:rPr>
          <w:b/>
          <w:u w:val="single"/>
        </w:rPr>
        <w:t>Friendliness with MIMO</w:t>
      </w:r>
    </w:p>
    <w:p w:rsidR="00AC1888" w:rsidRPr="00E1525D" w:rsidRDefault="00AC1888" w:rsidP="00B0425B">
      <w:pPr>
        <w:widowControl w:val="0"/>
        <w:overflowPunct/>
        <w:spacing w:after="240"/>
        <w:textAlignment w:val="auto"/>
        <w:rPr>
          <w:lang w:val="en-US"/>
        </w:rPr>
      </w:pPr>
      <w:r w:rsidRPr="00794ACA">
        <w:t>As discussed i</w:t>
      </w:r>
      <w:r>
        <w:t xml:space="preserve">n section 3 SC-CPS-OFDM is amenable to MIMO channels in the same way as OFDM and DFT-S-OFDM. </w:t>
      </w:r>
      <w:r>
        <w:rPr>
          <w:lang w:val="en-US"/>
        </w:rPr>
        <w:t>I</w:t>
      </w:r>
      <w:r w:rsidRPr="0051686B">
        <w:rPr>
          <w:lang w:val="en-US"/>
        </w:rPr>
        <w:t xml:space="preserve">n a MIMO channel, multiple data vectors, like </w:t>
      </w:r>
      <w:r w:rsidRPr="0051686B">
        <w:rPr>
          <w:b/>
          <w:bCs/>
          <w:lang w:val="en-US"/>
        </w:rPr>
        <w:t>x</w:t>
      </w:r>
      <w:r>
        <w:rPr>
          <w:b/>
          <w:bCs/>
          <w:lang w:val="en-US"/>
        </w:rPr>
        <w:t xml:space="preserve"> </w:t>
      </w:r>
      <w:r w:rsidRPr="0051686B">
        <w:rPr>
          <w:bCs/>
          <w:lang w:val="en-US"/>
        </w:rPr>
        <w:t xml:space="preserve">(see </w:t>
      </w:r>
      <w:r>
        <w:rPr>
          <w:bCs/>
          <w:lang w:val="en-US"/>
        </w:rPr>
        <w:t>F</w:t>
      </w:r>
      <w:r w:rsidRPr="0051686B">
        <w:rPr>
          <w:bCs/>
          <w:lang w:val="en-US"/>
        </w:rPr>
        <w:t>igure 1)</w:t>
      </w:r>
      <w:r>
        <w:rPr>
          <w:bCs/>
          <w:lang w:val="en-US"/>
        </w:rPr>
        <w:t xml:space="preserve"> of SC-CPS-OFDM</w:t>
      </w:r>
      <w:r w:rsidRPr="0051686B">
        <w:rPr>
          <w:lang w:val="en-US"/>
        </w:rPr>
        <w:t>, are transmitted through different antennas and their combinations are received at multiple antennas at the receiver. Similar to the case of OFDM, at the receiver, for each subcarrier we have a vector of the received signal that is equal to its counterpart at the receiver pre-multiplied by the channel gain matrix. The channel gain matrix i</w:t>
      </w:r>
      <w:r>
        <w:rPr>
          <w:lang w:val="en-US"/>
        </w:rPr>
        <w:t>s removed through a ZF</w:t>
      </w:r>
      <w:r w:rsidRPr="0051686B">
        <w:rPr>
          <w:lang w:val="en-US"/>
        </w:rPr>
        <w:t xml:space="preserve"> or MMSE equalizer, as done for OFDM, and subsequent signal processing steps will follow. </w:t>
      </w:r>
    </w:p>
    <w:p w:rsidR="00AC1888" w:rsidRDefault="00AC1888" w:rsidP="00B0425B">
      <w:pPr>
        <w:jc w:val="both"/>
        <w:rPr>
          <w:b/>
          <w:u w:val="single"/>
        </w:rPr>
      </w:pPr>
      <w:r>
        <w:rPr>
          <w:b/>
          <w:u w:val="single"/>
        </w:rPr>
        <w:t xml:space="preserve">b) </w:t>
      </w:r>
      <w:r w:rsidRPr="00794ACA">
        <w:rPr>
          <w:b/>
          <w:u w:val="single"/>
        </w:rPr>
        <w:t xml:space="preserve">Flexibility </w:t>
      </w:r>
      <w:r>
        <w:rPr>
          <w:b/>
          <w:u w:val="single"/>
        </w:rPr>
        <w:t>for</w:t>
      </w:r>
      <w:r w:rsidRPr="00794ACA">
        <w:rPr>
          <w:b/>
          <w:u w:val="single"/>
        </w:rPr>
        <w:t xml:space="preserve"> CFO Compensation</w:t>
      </w:r>
    </w:p>
    <w:p w:rsidR="00AC1888" w:rsidRDefault="00AC1888" w:rsidP="00B0425B">
      <w:pPr>
        <w:widowControl w:val="0"/>
        <w:tabs>
          <w:tab w:val="left" w:pos="220"/>
          <w:tab w:val="left" w:pos="720"/>
        </w:tabs>
        <w:jc w:val="both"/>
        <w:rPr>
          <w:rFonts w:ascii="Times" w:hAnsi="Times" w:cs="Times"/>
        </w:rPr>
      </w:pPr>
      <w:r w:rsidRPr="00416E60">
        <w:t xml:space="preserve">In addition to reducing the PAPR, pulse shaping of subcarriers further provides flexibility to handle CFO at the receiver. Figure 4 presents a scenario where two users communicate to a base station in the uplink of a network using SC-CPS-FDMA. Here, for convenience of presentation, for each user only the spectrum of a single subcarrier channel is presented. </w:t>
      </w:r>
      <w:r w:rsidRPr="00416E60">
        <w:rPr>
          <w:rFonts w:ascii="Times" w:hAnsi="Times" w:cs="Times"/>
        </w:rPr>
        <w:t>The grid lines show the locations of the spectral samples at the receiver after removing CP and applying FFT. The vertical arrows show the spectral sample magnitudes. While user 1 has some CFO (the spectral samples are not aligned with the centre of the subcarrier spectrum), user 2 has no CFO. Hence, data symbols of user 2 can be extracted after its demodulation to baseband and some trivial signal processing steps, e.g., see [4]. However, for user 1 an interpolation step should be applied among the present spectral samples to obtain the samples highlighted with the circles before data extraction. Alternatively, one may note that a shift in the frequency domain samples can be compensated for by demodulating the extracted data symbols with a complex sine wave whose frequency is equal to that of the respective CFO. We note that this processing method works for CPS waveforms because their spectrum is oversampled (there are many samples per subcarrier band), but does not work for OFDM, since in OFDM there is only one sample per subcarrier band.</w:t>
      </w:r>
    </w:p>
    <w:p w:rsidR="00AC1888" w:rsidRPr="0070027E" w:rsidRDefault="00AC1888" w:rsidP="00B0425B">
      <w:pPr>
        <w:overflowPunct/>
        <w:autoSpaceDE/>
        <w:autoSpaceDN/>
        <w:adjustRightInd/>
        <w:spacing w:after="0"/>
        <w:textAlignment w:val="auto"/>
        <w:rPr>
          <w:rFonts w:eastAsia="Batang"/>
          <w:lang w:val="en-US" w:eastAsia="ko-KR"/>
        </w:rPr>
      </w:pPr>
      <w:r w:rsidRPr="0070027E">
        <w:rPr>
          <w:rFonts w:eastAsia="Batang"/>
          <w:lang w:val="en-US" w:eastAsia="ko-KR"/>
        </w:rPr>
        <w:t>Figure 5</w:t>
      </w:r>
      <w:r>
        <w:rPr>
          <w:rFonts w:eastAsia="Batang"/>
          <w:lang w:val="en-US" w:eastAsia="ko-KR"/>
        </w:rPr>
        <w:t>(a)</w:t>
      </w:r>
      <w:r w:rsidRPr="0070027E">
        <w:rPr>
          <w:rFonts w:eastAsia="Batang"/>
          <w:lang w:val="en-US" w:eastAsia="ko-KR"/>
        </w:rPr>
        <w:t xml:space="preserve"> illustrates the benefit of CFO compensation for SC-CPS waveforms in the two-user uplink FDMA user case. The user of interest does not suffer from CFO, but the other user does. So when looking at the output symbols of</w:t>
      </w:r>
      <w:r>
        <w:rPr>
          <w:rFonts w:eastAsia="Batang"/>
          <w:lang w:val="en-US" w:eastAsia="ko-KR"/>
        </w:rPr>
        <w:t xml:space="preserve"> the user of interest there is </w:t>
      </w:r>
      <w:r w:rsidRPr="0070027E">
        <w:rPr>
          <w:rFonts w:eastAsia="Batang"/>
          <w:lang w:val="en-US" w:eastAsia="ko-KR"/>
        </w:rPr>
        <w:t xml:space="preserve">interference coming from the asynchronous adjacent user. </w:t>
      </w:r>
      <w:r>
        <w:rPr>
          <w:rFonts w:eastAsia="Batang"/>
          <w:lang w:val="en-US" w:eastAsia="ko-KR"/>
        </w:rPr>
        <w:t xml:space="preserve">We note that </w:t>
      </w:r>
      <w:r w:rsidRPr="0070027E">
        <w:rPr>
          <w:rFonts w:eastAsia="Batang"/>
          <w:lang w:val="en-US" w:eastAsia="ko-KR"/>
        </w:rPr>
        <w:t>there is more than 12 dB SIR improvement by us</w:t>
      </w:r>
      <w:r>
        <w:rPr>
          <w:rFonts w:eastAsia="Batang"/>
          <w:lang w:val="en-US" w:eastAsia="ko-KR"/>
        </w:rPr>
        <w:t xml:space="preserve">ing the SC-CPS waveform. This </w:t>
      </w:r>
      <w:r w:rsidRPr="0070027E">
        <w:rPr>
          <w:rFonts w:eastAsia="Batang"/>
          <w:lang w:val="en-US" w:eastAsia="ko-KR"/>
        </w:rPr>
        <w:t>improvement is du</w:t>
      </w:r>
      <w:r>
        <w:rPr>
          <w:rFonts w:eastAsia="Batang"/>
          <w:lang w:val="en-US" w:eastAsia="ko-KR"/>
        </w:rPr>
        <w:t>e to the filtering in the SC-CPS receiver, which</w:t>
      </w:r>
      <w:r w:rsidRPr="0070027E">
        <w:rPr>
          <w:rFonts w:eastAsia="Batang"/>
          <w:lang w:val="en-US" w:eastAsia="ko-KR"/>
        </w:rPr>
        <w:t xml:space="preserve"> rejects the interference coming from the adjacent symbol.</w:t>
      </w:r>
      <w:r>
        <w:rPr>
          <w:rFonts w:eastAsia="Batang"/>
          <w:lang w:val="en-US" w:eastAsia="ko-KR"/>
        </w:rPr>
        <w:t xml:space="preserve">  Figure 5(b) shows this benefit in terms of BER.</w:t>
      </w:r>
    </w:p>
    <w:p w:rsidR="00AC1888" w:rsidRDefault="00AC1888" w:rsidP="009F60D3"/>
    <w:p w:rsidR="00AC1888" w:rsidRDefault="00AC1888" w:rsidP="000D6DFB">
      <w:pPr>
        <w:jc w:val="both"/>
        <w:rPr>
          <w:i/>
        </w:rPr>
      </w:pPr>
      <w:r>
        <w:rPr>
          <w:b/>
          <w:i/>
        </w:rPr>
        <w:t xml:space="preserve">Observation: SC-CPS-OFDM is amicable to MIMO technologies and provides greater flexibility for CFO compensation.              </w:t>
      </w:r>
    </w:p>
    <w:p w:rsidR="00AC1888" w:rsidRDefault="00AC1888" w:rsidP="009F60D3"/>
    <w:p w:rsidR="00AC1888" w:rsidRDefault="00AC1888" w:rsidP="00B0425B">
      <w:pPr>
        <w:jc w:val="center"/>
        <w:rPr>
          <w:b/>
          <w:u w:val="single"/>
        </w:rPr>
      </w:pPr>
      <w:r w:rsidRPr="00F332E0">
        <w:rPr>
          <w:rFonts w:ascii="Times" w:hAnsi="Times" w:cs="Times"/>
          <w:noProof/>
          <w:lang w:val="en-US"/>
        </w:rPr>
        <w:pict>
          <v:shape id="Picture 10" o:spid="_x0000_i1029" type="#_x0000_t75" style="width:338.25pt;height:118.5pt;visibility:visible">
            <v:imagedata r:id="rId11" o:title=""/>
          </v:shape>
        </w:pict>
      </w:r>
    </w:p>
    <w:p w:rsidR="00AC1888" w:rsidRPr="00E371D6" w:rsidRDefault="00AC1888" w:rsidP="00B0425B">
      <w:pPr>
        <w:jc w:val="center"/>
        <w:rPr>
          <w:b/>
        </w:rPr>
      </w:pPr>
      <w:r>
        <w:rPr>
          <w:b/>
        </w:rPr>
        <w:t>Figure 4: Two users signal spectra with possible CFOs (User 1 has some CFO and User 2 has no CFO).</w:t>
      </w:r>
    </w:p>
    <w:p w:rsidR="00AC1888" w:rsidRDefault="00AC1888" w:rsidP="00B0425B">
      <w:pPr>
        <w:widowControl w:val="0"/>
        <w:tabs>
          <w:tab w:val="left" w:pos="220"/>
          <w:tab w:val="left" w:pos="720"/>
        </w:tabs>
        <w:jc w:val="both"/>
        <w:rPr>
          <w:rFonts w:ascii="Times" w:hAnsi="Times" w:cs="Times"/>
        </w:rPr>
      </w:pPr>
    </w:p>
    <w:p w:rsidR="00AC1888" w:rsidRDefault="00AC1888" w:rsidP="00B0425B">
      <w:pPr>
        <w:widowControl w:val="0"/>
        <w:tabs>
          <w:tab w:val="left" w:pos="220"/>
          <w:tab w:val="left" w:pos="720"/>
        </w:tabs>
        <w:jc w:val="center"/>
        <w:rPr>
          <w:rFonts w:ascii="Times" w:hAnsi="Times" w:cs="Times"/>
        </w:rPr>
      </w:pPr>
      <w:r w:rsidRPr="00F332E0">
        <w:rPr>
          <w:noProof/>
          <w:lang w:val="en-US"/>
        </w:rPr>
        <w:pict>
          <v:shape id="_x0000_i1030" type="#_x0000_t75" style="width:275.25pt;height:237pt;visibility:visible">
            <v:imagedata r:id="rId12" o:title=""/>
          </v:shape>
        </w:pict>
      </w:r>
    </w:p>
    <w:p w:rsidR="00AC1888" w:rsidRDefault="00AC1888" w:rsidP="00B0425B">
      <w:pPr>
        <w:widowControl w:val="0"/>
        <w:tabs>
          <w:tab w:val="left" w:pos="220"/>
          <w:tab w:val="left" w:pos="720"/>
        </w:tabs>
        <w:jc w:val="center"/>
        <w:rPr>
          <w:rFonts w:ascii="Times" w:hAnsi="Times" w:cs="Times"/>
        </w:rPr>
      </w:pPr>
      <w:r>
        <w:rPr>
          <w:rFonts w:ascii="Times" w:hAnsi="Times" w:cs="Times"/>
        </w:rPr>
        <w:t>Figure 5(a) CFO compensation effect for SC-CPS waveform relative to OFDM/DFT-S-OFDM in terms of SIR</w:t>
      </w:r>
    </w:p>
    <w:p w:rsidR="00AC1888" w:rsidRDefault="00AC1888" w:rsidP="00B0425B">
      <w:pPr>
        <w:widowControl w:val="0"/>
        <w:tabs>
          <w:tab w:val="left" w:pos="220"/>
          <w:tab w:val="left" w:pos="720"/>
        </w:tabs>
        <w:jc w:val="both"/>
        <w:rPr>
          <w:rFonts w:ascii="Times" w:hAnsi="Times" w:cs="Times"/>
        </w:rPr>
      </w:pPr>
    </w:p>
    <w:p w:rsidR="00AC1888" w:rsidRDefault="00AC1888" w:rsidP="009F60D3">
      <w:r>
        <w:br w:type="page"/>
      </w:r>
      <w:bookmarkStart w:id="10" w:name="_GoBack"/>
      <w:bookmarkEnd w:id="10"/>
    </w:p>
    <w:p w:rsidR="00AC1888" w:rsidRDefault="00AC1888" w:rsidP="0070420C">
      <w:pPr>
        <w:widowControl w:val="0"/>
        <w:tabs>
          <w:tab w:val="left" w:pos="220"/>
          <w:tab w:val="left" w:pos="720"/>
        </w:tabs>
        <w:jc w:val="both"/>
        <w:rPr>
          <w:rFonts w:ascii="Times" w:hAnsi="Times" w:cs="Times"/>
        </w:rPr>
      </w:pPr>
    </w:p>
    <w:p w:rsidR="00AC1888" w:rsidRDefault="00AC1888" w:rsidP="00D407F1">
      <w:pPr>
        <w:widowControl w:val="0"/>
        <w:tabs>
          <w:tab w:val="left" w:pos="220"/>
          <w:tab w:val="left" w:pos="720"/>
        </w:tabs>
        <w:jc w:val="both"/>
        <w:rPr>
          <w:rFonts w:ascii="Times" w:hAnsi="Times" w:cs="Times"/>
        </w:rPr>
      </w:pPr>
    </w:p>
    <w:p w:rsidR="00AC1888" w:rsidRDefault="00AC1888" w:rsidP="0070027E">
      <w:pPr>
        <w:widowControl w:val="0"/>
        <w:tabs>
          <w:tab w:val="left" w:pos="220"/>
          <w:tab w:val="left" w:pos="720"/>
        </w:tabs>
        <w:jc w:val="center"/>
        <w:rPr>
          <w:rFonts w:ascii="Times" w:hAnsi="Times" w:cs="Times"/>
        </w:rPr>
      </w:pPr>
      <w:r w:rsidRPr="00F332E0">
        <w:rPr>
          <w:noProof/>
          <w:lang w:val="en-US"/>
        </w:rPr>
        <w:pict>
          <v:shape id="Picture 6" o:spid="_x0000_i1031" type="#_x0000_t75" style="width:283.5pt;height:239.25pt;visibility:visible">
            <v:imagedata r:id="rId13" o:title=""/>
          </v:shape>
        </w:pict>
      </w:r>
    </w:p>
    <w:p w:rsidR="00AC1888" w:rsidRDefault="00AC1888" w:rsidP="0070027E">
      <w:pPr>
        <w:widowControl w:val="0"/>
        <w:tabs>
          <w:tab w:val="left" w:pos="220"/>
          <w:tab w:val="left" w:pos="720"/>
        </w:tabs>
        <w:jc w:val="center"/>
        <w:rPr>
          <w:b/>
          <w:u w:val="single"/>
        </w:rPr>
      </w:pPr>
      <w:r>
        <w:rPr>
          <w:rFonts w:ascii="Times" w:hAnsi="Times" w:cs="Times"/>
        </w:rPr>
        <w:t>Figure 5(b) CFO compensation effect for SC-CPS waveform relative to OFDM/DFT-S-OFDM in terms of BER</w:t>
      </w:r>
    </w:p>
    <w:p w:rsidR="00AC1888" w:rsidRDefault="00AC1888" w:rsidP="00EC570D">
      <w:pPr>
        <w:pStyle w:val="Heading1"/>
      </w:pPr>
      <w:r>
        <w:t>5</w:t>
      </w:r>
      <w:r>
        <w:tab/>
        <w:t>Conclusion</w:t>
      </w:r>
    </w:p>
    <w:p w:rsidR="00AC1888" w:rsidRDefault="00AC1888" w:rsidP="00EC570D">
      <w:r>
        <w:t>In this contribution we made the following observations and proposals:</w:t>
      </w:r>
    </w:p>
    <w:p w:rsidR="00AC1888" w:rsidRDefault="00AC1888" w:rsidP="004B0E64">
      <w:pPr>
        <w:jc w:val="both"/>
        <w:rPr>
          <w:i/>
        </w:rPr>
      </w:pPr>
      <w:r>
        <w:rPr>
          <w:b/>
          <w:i/>
        </w:rPr>
        <w:t xml:space="preserve">Proposal: DFT-S-OFDM should be considered as the baseline waveform for the uplink due its PAPR performance. </w:t>
      </w:r>
    </w:p>
    <w:p w:rsidR="00AC1888" w:rsidRDefault="00AC1888" w:rsidP="004B0E64">
      <w:pPr>
        <w:jc w:val="both"/>
        <w:rPr>
          <w:i/>
        </w:rPr>
      </w:pPr>
      <w:r>
        <w:rPr>
          <w:b/>
          <w:i/>
        </w:rPr>
        <w:t>Proposal: Filtering/windowing techniques must be added to the DFT-S-OFDM to improve its OOBE characteristics.</w:t>
      </w:r>
    </w:p>
    <w:p w:rsidR="00AC1888" w:rsidRDefault="00AC1888" w:rsidP="004B0E64">
      <w:pPr>
        <w:jc w:val="both"/>
        <w:rPr>
          <w:i/>
        </w:rPr>
      </w:pPr>
      <w:r>
        <w:rPr>
          <w:b/>
          <w:i/>
        </w:rPr>
        <w:t xml:space="preserve">Observation: To meet the NR requirements such as improving battery life of the mMTC and D2D devices new functionalities must be added to improve the existing OFDM-based DFT-S-OFDM waveform.  </w:t>
      </w:r>
    </w:p>
    <w:p w:rsidR="00AC1888" w:rsidRDefault="00AC1888" w:rsidP="004B0E64">
      <w:pPr>
        <w:jc w:val="both"/>
        <w:rPr>
          <w:i/>
        </w:rPr>
      </w:pPr>
      <w:r>
        <w:rPr>
          <w:b/>
          <w:i/>
        </w:rPr>
        <w:t xml:space="preserve">Observation: Circular Pulse Shaping provides significant gain </w:t>
      </w:r>
      <w:r w:rsidRPr="00416E60">
        <w:rPr>
          <w:b/>
          <w:i/>
        </w:rPr>
        <w:t xml:space="preserve">of at least 1.2dB and at least 3.2dB </w:t>
      </w:r>
      <w:r>
        <w:rPr>
          <w:b/>
          <w:i/>
        </w:rPr>
        <w:t>over DFT-S-OFDM and OFDM respectively.</w:t>
      </w:r>
    </w:p>
    <w:p w:rsidR="00AC1888" w:rsidRDefault="00AC1888" w:rsidP="004B0E64">
      <w:r>
        <w:rPr>
          <w:b/>
          <w:i/>
        </w:rPr>
        <w:t>Proposal: RAN1 should consider SC-CPS-FDMA because of its improved PAPR performance over SC-FDMA while still providing all the benefits of SC-FDMA.</w:t>
      </w:r>
    </w:p>
    <w:p w:rsidR="00AC1888" w:rsidRPr="0007449F" w:rsidRDefault="00AC1888" w:rsidP="009F60D3">
      <w:pPr>
        <w:jc w:val="both"/>
        <w:rPr>
          <w:i/>
        </w:rPr>
      </w:pPr>
      <w:r>
        <w:rPr>
          <w:b/>
          <w:i/>
        </w:rPr>
        <w:t xml:space="preserve">Observation: SC-CPS-OFDM is amicable to MIMO technologies and provides greater flexibility for CFO compensation.              </w:t>
      </w:r>
    </w:p>
    <w:p w:rsidR="00AC1888" w:rsidRPr="00986956" w:rsidRDefault="00AC1888" w:rsidP="009F60D3">
      <w:pPr>
        <w:pStyle w:val="Heading1"/>
        <w:rPr>
          <w:lang w:val="en-US"/>
        </w:rPr>
      </w:pPr>
      <w:r w:rsidRPr="00986956">
        <w:rPr>
          <w:lang w:val="en-US"/>
        </w:rPr>
        <w:t>References</w:t>
      </w:r>
    </w:p>
    <w:p w:rsidR="00AC1888" w:rsidRDefault="00AC1888" w:rsidP="009F60D3">
      <w:pPr>
        <w:numPr>
          <w:ilvl w:val="0"/>
          <w:numId w:val="2"/>
          <w:numberingChange w:id="11" w:author="Unknown" w:date="2016-05-13T10:27:00Z" w:original="[%1:1:0:]"/>
        </w:numPr>
        <w:spacing w:after="0"/>
      </w:pPr>
      <w:r>
        <w:t>RAN1 Chairman Notes, RAN1#84bis, April 2016</w:t>
      </w:r>
    </w:p>
    <w:p w:rsidR="00AC1888" w:rsidRPr="0035430F" w:rsidRDefault="00AC1888" w:rsidP="009F60D3">
      <w:pPr>
        <w:numPr>
          <w:ilvl w:val="0"/>
          <w:numId w:val="2"/>
          <w:numberingChange w:id="12" w:author="Unknown" w:date="2016-05-13T10:27:00Z" w:original="[%1:2:0:]"/>
        </w:numPr>
        <w:spacing w:after="0"/>
      </w:pPr>
      <w:r>
        <w:rPr>
          <w:bCs/>
          <w:shd w:val="clear" w:color="auto" w:fill="FFFFFF"/>
        </w:rPr>
        <w:t>R1-162199, “</w:t>
      </w:r>
      <w:r w:rsidRPr="0035430F">
        <w:rPr>
          <w:bCs/>
          <w:i/>
          <w:shd w:val="clear" w:color="auto" w:fill="FFFFFF"/>
        </w:rPr>
        <w:t>Waveform Candidates</w:t>
      </w:r>
      <w:r>
        <w:rPr>
          <w:bCs/>
          <w:shd w:val="clear" w:color="auto" w:fill="FFFFFF"/>
        </w:rPr>
        <w:t>”, Qualcomm, April 2016</w:t>
      </w:r>
    </w:p>
    <w:p w:rsidR="00AC1888" w:rsidRPr="0035430F" w:rsidRDefault="00AC1888" w:rsidP="009F60D3">
      <w:pPr>
        <w:numPr>
          <w:ilvl w:val="0"/>
          <w:numId w:val="2"/>
          <w:numberingChange w:id="13" w:author="Unknown" w:date="2016-05-13T10:27:00Z" w:original="[%1:3:0:]"/>
        </w:numPr>
        <w:spacing w:after="0"/>
      </w:pPr>
      <w:r>
        <w:rPr>
          <w:bCs/>
          <w:shd w:val="clear" w:color="auto" w:fill="FFFFFF"/>
        </w:rPr>
        <w:t>R1-162889, “</w:t>
      </w:r>
      <w:r w:rsidRPr="0035430F">
        <w:rPr>
          <w:bCs/>
          <w:i/>
          <w:shd w:val="clear" w:color="auto" w:fill="FFFFFF"/>
        </w:rPr>
        <w:t>OFDM based Waveform for 5G new radio interface</w:t>
      </w:r>
      <w:r>
        <w:rPr>
          <w:bCs/>
          <w:shd w:val="clear" w:color="auto" w:fill="FFFFFF"/>
        </w:rPr>
        <w:t>”, Nokia, Alcatel-Lucent Shanghai Bell, April 2016</w:t>
      </w:r>
    </w:p>
    <w:p w:rsidR="00AC1888" w:rsidRPr="00C54303" w:rsidRDefault="00AC1888" w:rsidP="00C54303">
      <w:pPr>
        <w:widowControl w:val="0"/>
        <w:numPr>
          <w:ilvl w:val="0"/>
          <w:numId w:val="2"/>
          <w:numberingChange w:id="14" w:author="Unknown" w:date="2016-05-13T10:27:00Z" w:original="[%1:4:0:]"/>
        </w:numPr>
        <w:tabs>
          <w:tab w:val="clear" w:pos="567"/>
          <w:tab w:val="left" w:pos="220"/>
          <w:tab w:val="left" w:pos="540"/>
        </w:tabs>
        <w:overflowPunct/>
        <w:spacing w:after="0"/>
        <w:ind w:left="547" w:hanging="547"/>
        <w:textAlignment w:val="auto"/>
        <w:rPr>
          <w:rFonts w:ascii="Times" w:hAnsi="Times" w:cs="Times"/>
          <w:lang w:val="en-US"/>
        </w:rPr>
      </w:pPr>
      <w:r>
        <w:rPr>
          <w:rFonts w:ascii="Times" w:hAnsi="Times" w:cs="Times"/>
          <w:lang w:val="en-US"/>
        </w:rPr>
        <w:t>I</w:t>
      </w:r>
      <w:r w:rsidRPr="00C54303">
        <w:rPr>
          <w:rFonts w:ascii="Times" w:hAnsi="Times" w:cs="Times"/>
          <w:lang w:val="en-US"/>
        </w:rPr>
        <w:t>.</w:t>
      </w:r>
      <w:r>
        <w:rPr>
          <w:rFonts w:ascii="Times" w:hAnsi="Times" w:cs="Times"/>
          <w:lang w:val="en-US"/>
        </w:rPr>
        <w:t xml:space="preserve"> </w:t>
      </w:r>
      <w:r w:rsidRPr="00C54303">
        <w:rPr>
          <w:rFonts w:ascii="Times" w:hAnsi="Times" w:cs="Times"/>
          <w:lang w:val="en-US"/>
        </w:rPr>
        <w:t>Gaspar,</w:t>
      </w:r>
      <w:r>
        <w:rPr>
          <w:rFonts w:ascii="Times" w:hAnsi="Times" w:cs="Times"/>
          <w:lang w:val="en-US"/>
        </w:rPr>
        <w:t xml:space="preserve"> </w:t>
      </w:r>
      <w:r w:rsidRPr="00C54303">
        <w:rPr>
          <w:rFonts w:ascii="Times" w:hAnsi="Times" w:cs="Times"/>
          <w:lang w:val="en-US"/>
        </w:rPr>
        <w:t>N.</w:t>
      </w:r>
      <w:r>
        <w:rPr>
          <w:rFonts w:ascii="Times" w:hAnsi="Times" w:cs="Times"/>
          <w:lang w:val="en-US"/>
        </w:rPr>
        <w:t xml:space="preserve"> </w:t>
      </w:r>
      <w:r w:rsidRPr="00C54303">
        <w:rPr>
          <w:rFonts w:ascii="Times" w:hAnsi="Times" w:cs="Times"/>
          <w:lang w:val="en-US"/>
        </w:rPr>
        <w:t>Michailow,</w:t>
      </w:r>
      <w:r>
        <w:rPr>
          <w:rFonts w:ascii="Times" w:hAnsi="Times" w:cs="Times"/>
          <w:lang w:val="en-US"/>
        </w:rPr>
        <w:t xml:space="preserve"> </w:t>
      </w:r>
      <w:r w:rsidRPr="00C54303">
        <w:rPr>
          <w:rFonts w:ascii="Times" w:hAnsi="Times" w:cs="Times"/>
          <w:lang w:val="en-US"/>
        </w:rPr>
        <w:t>A.</w:t>
      </w:r>
      <w:r>
        <w:rPr>
          <w:rFonts w:ascii="Times" w:hAnsi="Times" w:cs="Times"/>
          <w:lang w:val="en-US"/>
        </w:rPr>
        <w:t xml:space="preserve"> </w:t>
      </w:r>
      <w:r w:rsidRPr="00C54303">
        <w:rPr>
          <w:rFonts w:ascii="Times" w:hAnsi="Times" w:cs="Times"/>
          <w:lang w:val="en-US"/>
        </w:rPr>
        <w:t>Navarro,</w:t>
      </w:r>
      <w:r>
        <w:rPr>
          <w:rFonts w:ascii="Times" w:hAnsi="Times" w:cs="Times"/>
          <w:lang w:val="en-US"/>
        </w:rPr>
        <w:t xml:space="preserve"> </w:t>
      </w:r>
      <w:r w:rsidRPr="00C54303">
        <w:rPr>
          <w:rFonts w:ascii="Times" w:hAnsi="Times" w:cs="Times"/>
          <w:lang w:val="en-US"/>
        </w:rPr>
        <w:t>E.</w:t>
      </w:r>
      <w:r>
        <w:rPr>
          <w:rFonts w:ascii="Times" w:hAnsi="Times" w:cs="Times"/>
          <w:lang w:val="en-US"/>
        </w:rPr>
        <w:t xml:space="preserve"> </w:t>
      </w:r>
      <w:r w:rsidRPr="00C54303">
        <w:rPr>
          <w:rFonts w:ascii="Times" w:hAnsi="Times" w:cs="Times"/>
          <w:lang w:val="en-US"/>
        </w:rPr>
        <w:t>Ohlmer,</w:t>
      </w:r>
      <w:r>
        <w:rPr>
          <w:rFonts w:ascii="Times" w:hAnsi="Times" w:cs="Times"/>
          <w:lang w:val="en-US"/>
        </w:rPr>
        <w:t xml:space="preserve"> </w:t>
      </w:r>
      <w:r w:rsidRPr="00C54303">
        <w:rPr>
          <w:rFonts w:ascii="Times" w:hAnsi="Times" w:cs="Times"/>
          <w:lang w:val="en-US"/>
        </w:rPr>
        <w:t>S.</w:t>
      </w:r>
      <w:r>
        <w:rPr>
          <w:rFonts w:ascii="Times" w:hAnsi="Times" w:cs="Times"/>
          <w:lang w:val="en-US"/>
        </w:rPr>
        <w:t xml:space="preserve"> </w:t>
      </w:r>
      <w:r w:rsidRPr="00C54303">
        <w:rPr>
          <w:rFonts w:ascii="Times" w:hAnsi="Times" w:cs="Times"/>
          <w:lang w:val="en-US"/>
        </w:rPr>
        <w:t>Krone,</w:t>
      </w:r>
      <w:r>
        <w:rPr>
          <w:rFonts w:ascii="Times" w:hAnsi="Times" w:cs="Times"/>
          <w:lang w:val="en-US"/>
        </w:rPr>
        <w:t xml:space="preserve"> </w:t>
      </w:r>
      <w:r w:rsidRPr="00C54303">
        <w:rPr>
          <w:rFonts w:ascii="Times" w:hAnsi="Times" w:cs="Times"/>
          <w:lang w:val="en-US"/>
        </w:rPr>
        <w:t>and</w:t>
      </w:r>
      <w:r>
        <w:rPr>
          <w:rFonts w:ascii="Times" w:hAnsi="Times" w:cs="Times"/>
          <w:lang w:val="en-US"/>
        </w:rPr>
        <w:t xml:space="preserve"> </w:t>
      </w:r>
      <w:r w:rsidRPr="00C54303">
        <w:rPr>
          <w:rFonts w:ascii="Times" w:hAnsi="Times" w:cs="Times"/>
          <w:lang w:val="en-US"/>
        </w:rPr>
        <w:t>G.</w:t>
      </w:r>
      <w:r>
        <w:rPr>
          <w:rFonts w:ascii="Times" w:hAnsi="Times" w:cs="Times"/>
          <w:lang w:val="en-US"/>
        </w:rPr>
        <w:t xml:space="preserve"> </w:t>
      </w:r>
      <w:r w:rsidRPr="00C54303">
        <w:rPr>
          <w:rFonts w:ascii="Times" w:hAnsi="Times" w:cs="Times"/>
          <w:lang w:val="en-US"/>
        </w:rPr>
        <w:t>Fettweis,</w:t>
      </w:r>
      <w:r>
        <w:rPr>
          <w:rFonts w:ascii="Times" w:hAnsi="Times" w:cs="Times"/>
          <w:lang w:val="en-US"/>
        </w:rPr>
        <w:t xml:space="preserve"> </w:t>
      </w:r>
      <w:r w:rsidRPr="00C54303">
        <w:rPr>
          <w:rFonts w:ascii="Times" w:hAnsi="Times" w:cs="Times"/>
          <w:lang w:val="en-US"/>
        </w:rPr>
        <w:t>“</w:t>
      </w:r>
      <w:r w:rsidRPr="00C54303">
        <w:rPr>
          <w:rFonts w:ascii="Times" w:hAnsi="Times" w:cs="Times"/>
          <w:i/>
          <w:lang w:val="en-US"/>
        </w:rPr>
        <w:t xml:space="preserve">Low complexity GFDM receiver based on sparse frequency </w:t>
      </w:r>
      <w:r w:rsidRPr="00C54303">
        <w:rPr>
          <w:rFonts w:ascii="MS Mincho" w:eastAsia="MS Mincho" w:hAnsi="MS Mincho" w:cs="MS Mincho" w:hint="eastAsia"/>
          <w:i/>
          <w:lang w:val="en-US"/>
        </w:rPr>
        <w:t> </w:t>
      </w:r>
      <w:r w:rsidRPr="00C54303">
        <w:rPr>
          <w:rFonts w:ascii="Times" w:hAnsi="Times" w:cs="Times"/>
          <w:i/>
          <w:lang w:val="en-US"/>
        </w:rPr>
        <w:t>domain processing</w:t>
      </w:r>
      <w:r w:rsidRPr="00C54303">
        <w:rPr>
          <w:rFonts w:ascii="Times" w:hAnsi="Times" w:cs="Times"/>
          <w:lang w:val="en-US"/>
        </w:rPr>
        <w:t xml:space="preserve">,” in </w:t>
      </w:r>
      <w:r w:rsidRPr="00C54303">
        <w:rPr>
          <w:rFonts w:ascii="Times" w:hAnsi="Times" w:cs="Times"/>
          <w:i/>
          <w:iCs/>
          <w:lang w:val="en-US"/>
        </w:rPr>
        <w:t>IEEE 77th Vehicular Technology Conference, VTC-Spring</w:t>
      </w:r>
      <w:r w:rsidRPr="00C54303">
        <w:rPr>
          <w:rFonts w:ascii="Times" w:hAnsi="Times" w:cs="Times"/>
          <w:lang w:val="en-US"/>
        </w:rPr>
        <w:t xml:space="preserve">, Dresden, June 2013, pp. 1–6. </w:t>
      </w:r>
      <w:r w:rsidRPr="00C54303">
        <w:rPr>
          <w:rFonts w:ascii="MS Mincho" w:eastAsia="MS Mincho" w:hAnsi="MS Mincho" w:cs="MS Mincho" w:hint="eastAsia"/>
          <w:lang w:val="en-US"/>
        </w:rPr>
        <w:t> </w:t>
      </w:r>
    </w:p>
    <w:p w:rsidR="00AC1888" w:rsidRDefault="00AC1888" w:rsidP="00341507">
      <w:pPr>
        <w:numPr>
          <w:ilvl w:val="0"/>
          <w:numId w:val="2"/>
          <w:numberingChange w:id="15" w:author="Unknown" w:date="2016-05-13T10:27:00Z" w:original="[%1:5:0:]"/>
        </w:numPr>
        <w:spacing w:after="0"/>
        <w:rPr>
          <w:rFonts w:ascii="Times" w:hAnsi="Times" w:cs="Times"/>
          <w:lang w:val="en-US"/>
        </w:rPr>
      </w:pPr>
      <w:r w:rsidRPr="00C54303">
        <w:rPr>
          <w:rFonts w:ascii="Times" w:hAnsi="Times" w:cs="Times"/>
          <w:lang w:val="en-US"/>
        </w:rPr>
        <w:t>C. H. G. Yuen and B. Farhang-Boroujeny, "</w:t>
      </w:r>
      <w:r w:rsidRPr="00C54303">
        <w:rPr>
          <w:rFonts w:ascii="Times" w:hAnsi="Times" w:cs="Times"/>
          <w:i/>
          <w:lang w:val="en-US"/>
        </w:rPr>
        <w:t>Analysis of the Optimum Precoder in SC-FDMA</w:t>
      </w:r>
      <w:r w:rsidRPr="00C54303">
        <w:rPr>
          <w:rFonts w:ascii="Times" w:hAnsi="Times" w:cs="Times"/>
          <w:lang w:val="en-US"/>
        </w:rPr>
        <w:t xml:space="preserve">," in </w:t>
      </w:r>
      <w:r w:rsidRPr="00C54303">
        <w:rPr>
          <w:rFonts w:ascii="Times" w:hAnsi="Times" w:cs="Times"/>
          <w:i/>
          <w:iCs/>
          <w:lang w:val="en-US"/>
        </w:rPr>
        <w:t>IEEE Transactions on Wireless Communications</w:t>
      </w:r>
      <w:r w:rsidRPr="00C54303">
        <w:rPr>
          <w:rFonts w:ascii="Times" w:hAnsi="Times" w:cs="Times"/>
          <w:lang w:val="en-US"/>
        </w:rPr>
        <w:t>, vol. 11, no. 11, pp. 4096-4107, November 2012.</w:t>
      </w:r>
    </w:p>
    <w:p w:rsidR="00AC1888" w:rsidRPr="009A14EF" w:rsidRDefault="00AC1888" w:rsidP="00341507">
      <w:pPr>
        <w:numPr>
          <w:ilvl w:val="0"/>
          <w:numId w:val="2"/>
          <w:numberingChange w:id="16" w:author="Unknown" w:date="2016-05-13T10:27:00Z" w:original="[%1:6:0:]"/>
        </w:numPr>
        <w:spacing w:after="0"/>
        <w:rPr>
          <w:rFonts w:ascii="Times" w:hAnsi="Times" w:cs="Times"/>
          <w:lang w:val="en-US"/>
        </w:rPr>
      </w:pPr>
      <w:r>
        <w:rPr>
          <w:rFonts w:ascii="Times" w:hAnsi="Times" w:cs="Times"/>
          <w:lang w:val="en-US"/>
        </w:rPr>
        <w:t>R1-163889, “Way Forward on Assumptions for Waveform Evaluation,” Huawei et al., April 2016.</w:t>
      </w:r>
    </w:p>
    <w:p w:rsidR="00AC1888" w:rsidRPr="00E37845" w:rsidRDefault="00AC1888" w:rsidP="00DF6775">
      <w:pPr>
        <w:spacing w:after="0"/>
      </w:pPr>
    </w:p>
    <w:p w:rsidR="00AC1888" w:rsidRPr="0007449F" w:rsidRDefault="00AC1888" w:rsidP="005642BA">
      <w:pPr>
        <w:jc w:val="both"/>
        <w:rPr>
          <w:i/>
        </w:rPr>
      </w:pPr>
      <w:r>
        <w:rPr>
          <w:b/>
          <w:i/>
        </w:rPr>
        <w:t xml:space="preserve">      </w:t>
      </w:r>
    </w:p>
    <w:p w:rsidR="00AC1888" w:rsidRDefault="00AC1888" w:rsidP="00FA4A65">
      <w:pPr>
        <w:pStyle w:val="Heading1"/>
        <w:jc w:val="center"/>
        <w:rPr>
          <w:lang w:val="en-US"/>
        </w:rPr>
      </w:pPr>
      <w:r>
        <w:rPr>
          <w:lang w:val="en-US"/>
        </w:rPr>
        <w:t>Appendix A: Simulation Parameters and PSD plots</w:t>
      </w:r>
    </w:p>
    <w:p w:rsidR="00AC1888" w:rsidRDefault="00AC1888" w:rsidP="00FA4A65">
      <w:pPr>
        <w:rPr>
          <w:lang w:val="en-US"/>
        </w:rPr>
      </w:pPr>
      <w:r>
        <w:rPr>
          <w:lang w:val="en-US"/>
        </w:rPr>
        <w:t>The following parameter values have been used in obtaining the above results, except where noted otherwise.</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2700"/>
      </w:tblGrid>
      <w:tr w:rsidR="00AC1888" w:rsidTr="001E1606">
        <w:tc>
          <w:tcPr>
            <w:tcW w:w="3420" w:type="dxa"/>
            <w:tcBorders>
              <w:bottom w:val="double" w:sz="4" w:space="0" w:color="auto"/>
            </w:tcBorders>
          </w:tcPr>
          <w:p w:rsidR="00AC1888" w:rsidRPr="001E1606" w:rsidRDefault="00AC1888" w:rsidP="001E1606">
            <w:pPr>
              <w:jc w:val="center"/>
              <w:rPr>
                <w:b/>
                <w:lang w:val="en-US"/>
              </w:rPr>
            </w:pPr>
            <w:r w:rsidRPr="001E1606">
              <w:rPr>
                <w:b/>
                <w:lang w:val="en-US"/>
              </w:rPr>
              <w:t>Parameter</w:t>
            </w:r>
          </w:p>
        </w:tc>
        <w:tc>
          <w:tcPr>
            <w:tcW w:w="2700" w:type="dxa"/>
            <w:tcBorders>
              <w:bottom w:val="double" w:sz="4" w:space="0" w:color="auto"/>
            </w:tcBorders>
          </w:tcPr>
          <w:p w:rsidR="00AC1888" w:rsidRPr="001E1606" w:rsidRDefault="00AC1888" w:rsidP="001E1606">
            <w:pPr>
              <w:jc w:val="center"/>
              <w:rPr>
                <w:b/>
                <w:lang w:val="en-US"/>
              </w:rPr>
            </w:pPr>
            <w:r w:rsidRPr="001E1606">
              <w:rPr>
                <w:b/>
                <w:lang w:val="en-US"/>
              </w:rPr>
              <w:t>Value</w:t>
            </w:r>
          </w:p>
        </w:tc>
      </w:tr>
      <w:tr w:rsidR="00AC1888" w:rsidTr="001E1606">
        <w:tc>
          <w:tcPr>
            <w:tcW w:w="3420" w:type="dxa"/>
            <w:tcBorders>
              <w:top w:val="double" w:sz="4" w:space="0" w:color="auto"/>
            </w:tcBorders>
          </w:tcPr>
          <w:p w:rsidR="00AC1888" w:rsidRPr="001E1606" w:rsidRDefault="00AC1888" w:rsidP="005642BA">
            <w:pPr>
              <w:rPr>
                <w:lang w:val="en-US"/>
              </w:rPr>
            </w:pPr>
            <w:r w:rsidRPr="001E1606">
              <w:rPr>
                <w:lang w:val="en-US"/>
              </w:rPr>
              <w:t>FFT size</w:t>
            </w:r>
          </w:p>
        </w:tc>
        <w:tc>
          <w:tcPr>
            <w:tcW w:w="2700" w:type="dxa"/>
            <w:tcBorders>
              <w:top w:val="double" w:sz="4" w:space="0" w:color="auto"/>
            </w:tcBorders>
          </w:tcPr>
          <w:p w:rsidR="00AC1888" w:rsidRPr="001E1606" w:rsidRDefault="00AC1888" w:rsidP="001E1606">
            <w:pPr>
              <w:jc w:val="center"/>
              <w:rPr>
                <w:lang w:val="en-US"/>
              </w:rPr>
            </w:pPr>
            <w:r w:rsidRPr="001E1606">
              <w:rPr>
                <w:lang w:val="en-US"/>
              </w:rPr>
              <w:t>1024</w:t>
            </w:r>
          </w:p>
        </w:tc>
      </w:tr>
      <w:tr w:rsidR="00AC1888" w:rsidTr="001E1606">
        <w:tc>
          <w:tcPr>
            <w:tcW w:w="3420" w:type="dxa"/>
          </w:tcPr>
          <w:p w:rsidR="00AC1888" w:rsidRPr="001E1606" w:rsidRDefault="00AC1888" w:rsidP="005642BA">
            <w:pPr>
              <w:rPr>
                <w:lang w:val="en-US"/>
              </w:rPr>
            </w:pPr>
            <w:r w:rsidRPr="001E1606">
              <w:rPr>
                <w:lang w:val="en-US"/>
              </w:rPr>
              <w:t>No. of active subcarriers</w:t>
            </w:r>
          </w:p>
        </w:tc>
        <w:tc>
          <w:tcPr>
            <w:tcW w:w="2700" w:type="dxa"/>
          </w:tcPr>
          <w:p w:rsidR="00AC1888" w:rsidRPr="001E1606" w:rsidRDefault="00AC1888" w:rsidP="001E1606">
            <w:pPr>
              <w:jc w:val="center"/>
              <w:rPr>
                <w:lang w:val="en-US"/>
              </w:rPr>
            </w:pPr>
            <w:r w:rsidRPr="001E1606">
              <w:rPr>
                <w:lang w:val="en-US"/>
              </w:rPr>
              <w:t>64</w:t>
            </w:r>
          </w:p>
        </w:tc>
      </w:tr>
      <w:tr w:rsidR="00AC1888" w:rsidTr="001E1606">
        <w:tc>
          <w:tcPr>
            <w:tcW w:w="3420" w:type="dxa"/>
          </w:tcPr>
          <w:p w:rsidR="00AC1888" w:rsidRPr="001E1606" w:rsidRDefault="00AC1888" w:rsidP="005642BA">
            <w:pPr>
              <w:rPr>
                <w:lang w:val="en-US"/>
              </w:rPr>
            </w:pPr>
            <w:r w:rsidRPr="001E1606">
              <w:rPr>
                <w:lang w:val="en-US"/>
              </w:rPr>
              <w:t>WOLA roll-off</w:t>
            </w:r>
          </w:p>
        </w:tc>
        <w:tc>
          <w:tcPr>
            <w:tcW w:w="2700" w:type="dxa"/>
          </w:tcPr>
          <w:p w:rsidR="00AC1888" w:rsidRPr="001E1606" w:rsidRDefault="00AC1888" w:rsidP="001E1606">
            <w:pPr>
              <w:jc w:val="center"/>
              <w:rPr>
                <w:lang w:val="en-US"/>
              </w:rPr>
            </w:pPr>
            <w:r w:rsidRPr="001E1606">
              <w:rPr>
                <w:lang w:val="en-US"/>
              </w:rPr>
              <w:t>0.08</w:t>
            </w:r>
          </w:p>
        </w:tc>
      </w:tr>
      <w:tr w:rsidR="00AC1888" w:rsidTr="001E1606">
        <w:tc>
          <w:tcPr>
            <w:tcW w:w="3420" w:type="dxa"/>
          </w:tcPr>
          <w:p w:rsidR="00AC1888" w:rsidRPr="001E1606" w:rsidRDefault="00AC1888" w:rsidP="005642BA">
            <w:pPr>
              <w:rPr>
                <w:lang w:val="en-US"/>
              </w:rPr>
            </w:pPr>
            <w:r w:rsidRPr="001E1606">
              <w:rPr>
                <w:lang w:val="en-US"/>
              </w:rPr>
              <w:t>SC-CPS filter roll-off</w:t>
            </w:r>
          </w:p>
        </w:tc>
        <w:tc>
          <w:tcPr>
            <w:tcW w:w="2700" w:type="dxa"/>
          </w:tcPr>
          <w:p w:rsidR="00AC1888" w:rsidRPr="001E1606" w:rsidRDefault="00AC1888" w:rsidP="001E1606">
            <w:pPr>
              <w:jc w:val="center"/>
              <w:rPr>
                <w:lang w:val="en-US"/>
              </w:rPr>
            </w:pPr>
            <w:r w:rsidRPr="001E1606">
              <w:rPr>
                <w:lang w:val="en-US"/>
              </w:rPr>
              <w:t>0.15</w:t>
            </w:r>
          </w:p>
        </w:tc>
      </w:tr>
      <w:tr w:rsidR="00AC1888" w:rsidTr="001E1606">
        <w:tc>
          <w:tcPr>
            <w:tcW w:w="3420" w:type="dxa"/>
          </w:tcPr>
          <w:p w:rsidR="00AC1888" w:rsidRPr="001E1606" w:rsidRDefault="00AC1888" w:rsidP="005642BA">
            <w:pPr>
              <w:rPr>
                <w:lang w:val="en-US"/>
              </w:rPr>
            </w:pPr>
            <w:r w:rsidRPr="001E1606">
              <w:rPr>
                <w:lang w:val="en-US"/>
              </w:rPr>
              <w:t>Rapp PA model saturation level</w:t>
            </w:r>
          </w:p>
        </w:tc>
        <w:tc>
          <w:tcPr>
            <w:tcW w:w="2700" w:type="dxa"/>
          </w:tcPr>
          <w:p w:rsidR="00AC1888" w:rsidRPr="001E1606" w:rsidRDefault="00AC1888" w:rsidP="001E1606">
            <w:pPr>
              <w:jc w:val="center"/>
              <w:rPr>
                <w:lang w:val="en-US"/>
              </w:rPr>
            </w:pPr>
            <w:r w:rsidRPr="001E1606">
              <w:rPr>
                <w:lang w:val="en-US"/>
              </w:rPr>
              <w:t>2.2</w:t>
            </w:r>
          </w:p>
        </w:tc>
      </w:tr>
      <w:tr w:rsidR="00AC1888" w:rsidTr="001E1606">
        <w:tc>
          <w:tcPr>
            <w:tcW w:w="3420" w:type="dxa"/>
          </w:tcPr>
          <w:p w:rsidR="00AC1888" w:rsidRPr="001E1606" w:rsidRDefault="00AC1888" w:rsidP="005642BA">
            <w:pPr>
              <w:rPr>
                <w:lang w:val="en-US"/>
              </w:rPr>
            </w:pPr>
            <w:r w:rsidRPr="001E1606">
              <w:rPr>
                <w:lang w:val="en-US"/>
              </w:rPr>
              <w:t>Rapp PA model knee factor</w:t>
            </w:r>
          </w:p>
        </w:tc>
        <w:tc>
          <w:tcPr>
            <w:tcW w:w="2700" w:type="dxa"/>
          </w:tcPr>
          <w:p w:rsidR="00AC1888" w:rsidRPr="001E1606" w:rsidRDefault="00AC1888" w:rsidP="001E1606">
            <w:pPr>
              <w:jc w:val="center"/>
              <w:rPr>
                <w:lang w:val="en-US"/>
              </w:rPr>
            </w:pPr>
            <w:r w:rsidRPr="001E1606">
              <w:rPr>
                <w:lang w:val="en-US"/>
              </w:rPr>
              <w:t>3.0</w:t>
            </w:r>
          </w:p>
        </w:tc>
      </w:tr>
      <w:tr w:rsidR="00AC1888" w:rsidTr="001E1606">
        <w:tc>
          <w:tcPr>
            <w:tcW w:w="3420" w:type="dxa"/>
          </w:tcPr>
          <w:p w:rsidR="00AC1888" w:rsidRPr="001E1606" w:rsidRDefault="00AC1888" w:rsidP="005642BA">
            <w:pPr>
              <w:rPr>
                <w:lang w:val="en-US"/>
              </w:rPr>
            </w:pPr>
            <w:r w:rsidRPr="001E1606">
              <w:rPr>
                <w:lang w:val="en-US"/>
              </w:rPr>
              <w:t>Subcarrier spacing (Δf)</w:t>
            </w:r>
          </w:p>
        </w:tc>
        <w:tc>
          <w:tcPr>
            <w:tcW w:w="2700" w:type="dxa"/>
          </w:tcPr>
          <w:p w:rsidR="00AC1888" w:rsidRPr="001E1606" w:rsidRDefault="00AC1888" w:rsidP="001E1606">
            <w:pPr>
              <w:jc w:val="center"/>
              <w:rPr>
                <w:lang w:val="en-US"/>
              </w:rPr>
            </w:pPr>
            <w:r w:rsidRPr="001E1606">
              <w:rPr>
                <w:lang w:val="en-US"/>
              </w:rPr>
              <w:t>15 KHz</w:t>
            </w:r>
          </w:p>
        </w:tc>
      </w:tr>
      <w:tr w:rsidR="00AC1888" w:rsidTr="001E1606">
        <w:tc>
          <w:tcPr>
            <w:tcW w:w="3420" w:type="dxa"/>
          </w:tcPr>
          <w:p w:rsidR="00AC1888" w:rsidRPr="001E1606" w:rsidRDefault="00AC1888" w:rsidP="005642BA">
            <w:pPr>
              <w:rPr>
                <w:lang w:val="en-US"/>
              </w:rPr>
            </w:pPr>
            <w:r w:rsidRPr="001E1606">
              <w:rPr>
                <w:lang w:val="en-US"/>
              </w:rPr>
              <w:t>CP Length</w:t>
            </w:r>
          </w:p>
        </w:tc>
        <w:tc>
          <w:tcPr>
            <w:tcW w:w="2700" w:type="dxa"/>
          </w:tcPr>
          <w:p w:rsidR="00AC1888" w:rsidRPr="001E1606" w:rsidRDefault="00AC1888" w:rsidP="001E1606">
            <w:pPr>
              <w:jc w:val="center"/>
              <w:rPr>
                <w:lang w:val="en-US"/>
              </w:rPr>
            </w:pPr>
            <w:r w:rsidRPr="001E1606">
              <w:rPr>
                <w:lang w:val="en-US"/>
              </w:rPr>
              <w:t>0.1*(OFDM Symbol)</w:t>
            </w:r>
          </w:p>
        </w:tc>
      </w:tr>
    </w:tbl>
    <w:p w:rsidR="00AC1888" w:rsidRDefault="00AC1888" w:rsidP="00816B12">
      <w:pPr>
        <w:jc w:val="both"/>
      </w:pPr>
    </w:p>
    <w:tbl>
      <w:tblPr>
        <w:tblpPr w:leftFromText="180" w:rightFromText="180" w:vertAnchor="text" w:horzAnchor="page" w:tblpX="1909" w:tblpY="-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518"/>
        <w:gridCol w:w="4338"/>
      </w:tblGrid>
      <w:tr w:rsidR="00AC1888" w:rsidTr="00F332E0">
        <w:trPr>
          <w:trHeight w:val="3356"/>
        </w:trPr>
        <w:tc>
          <w:tcPr>
            <w:tcW w:w="4518" w:type="dxa"/>
          </w:tcPr>
          <w:p w:rsidR="00AC1888" w:rsidRDefault="00AC1888" w:rsidP="00F332E0">
            <w:pPr>
              <w:jc w:val="both"/>
            </w:pPr>
            <w:r w:rsidRPr="00F332E0">
              <w:rPr>
                <w:noProof/>
                <w:lang w:val="en-US"/>
              </w:rPr>
              <w:pict>
                <v:shape id="Picture 9" o:spid="_x0000_i1032" type="#_x0000_t75" style="width:200.25pt;height:163.5pt;visibility:visible">
                  <v:imagedata r:id="rId14" o:title=""/>
                </v:shape>
              </w:pict>
            </w:r>
          </w:p>
        </w:tc>
        <w:tc>
          <w:tcPr>
            <w:tcW w:w="4338" w:type="dxa"/>
          </w:tcPr>
          <w:p w:rsidR="00AC1888" w:rsidRDefault="00AC1888" w:rsidP="00F332E0">
            <w:pPr>
              <w:jc w:val="both"/>
            </w:pPr>
            <w:r w:rsidRPr="00F332E0">
              <w:rPr>
                <w:noProof/>
                <w:lang w:val="en-US"/>
              </w:rPr>
              <w:pict>
                <v:shape id="_x0000_i1033" type="#_x0000_t75" style="width:203.25pt;height:160.5pt;visibility:visible">
                  <v:imagedata r:id="rId15" o:title=""/>
                </v:shape>
              </w:pict>
            </w:r>
          </w:p>
        </w:tc>
      </w:tr>
    </w:tbl>
    <w:p w:rsidR="00AC1888" w:rsidRPr="000D6DFB" w:rsidRDefault="00AC1888" w:rsidP="000D6DFB">
      <w:pPr>
        <w:tabs>
          <w:tab w:val="left" w:pos="5290"/>
        </w:tabs>
      </w:pPr>
      <w:r>
        <w:tab/>
      </w:r>
    </w:p>
    <w:sectPr w:rsidR="00AC1888" w:rsidRPr="000D6DFB" w:rsidSect="00DB6895">
      <w:footerReference w:type="even" r:id="rId16"/>
      <w:footerReference w:type="default" r:id="rId17"/>
      <w:pgSz w:w="12240" w:h="15840"/>
      <w:pgMar w:top="1440" w:right="1800" w:bottom="1440" w:left="1800" w:header="720" w:footer="720" w:gutter="0"/>
      <w:cols w:space="72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1888" w:rsidRDefault="00AC1888">
      <w:r>
        <w:separator/>
      </w:r>
    </w:p>
  </w:endnote>
  <w:endnote w:type="continuationSeparator" w:id="0">
    <w:p w:rsidR="00AC1888" w:rsidRDefault="00AC188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ngs">
    <w:altName w:val="MS Mincho"/>
    <w:panose1 w:val="00000000000000000000"/>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MS Gothi">
    <w:altName w:val="~??eg"/>
    <w:panose1 w:val="00000000000000000000"/>
    <w:charset w:val="80"/>
    <w:family w:val="moder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43" w:usb2="00000009" w:usb3="00000000" w:csb0="000001FF" w:csb1="00000000"/>
  </w:font>
  <w:font w:name="Batang">
    <w:altName w:val="©öUAA"/>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888" w:rsidRDefault="00AC1888" w:rsidP="000D5FC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C1888" w:rsidRDefault="00AC1888" w:rsidP="000D5FC7">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888" w:rsidRDefault="00AC1888" w:rsidP="000D5FC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rsidR="00AC1888" w:rsidRDefault="00AC1888" w:rsidP="000D5FC7">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1888" w:rsidRDefault="00AC1888">
      <w:r>
        <w:separator/>
      </w:r>
    </w:p>
  </w:footnote>
  <w:footnote w:type="continuationSeparator" w:id="0">
    <w:p w:rsidR="00AC1888" w:rsidRDefault="00AC1888">
      <w:r>
        <w:continuationSeparator/>
      </w:r>
    </w:p>
  </w:footnote>
  <w:footnote w:id="1">
    <w:p w:rsidR="00AC1888" w:rsidRDefault="00AC1888">
      <w:pPr>
        <w:pStyle w:val="FootnoteText"/>
      </w:pPr>
      <w:r>
        <w:rPr>
          <w:rStyle w:val="FootnoteReference"/>
        </w:rPr>
        <w:footnoteRef/>
      </w:r>
      <w:r>
        <w:rPr>
          <w:lang w:val="en-US"/>
        </w:rPr>
        <w:t>For the complete agreement text see reference [1]</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7"/>
    <w:lvl w:ilvl="0">
      <w:start w:val="1"/>
      <w:numFmt w:val="decimal"/>
      <w:lvlText w:val="[%1]"/>
      <w:lvlJc w:val="left"/>
      <w:pPr>
        <w:tabs>
          <w:tab w:val="num" w:pos="567"/>
        </w:tabs>
        <w:ind w:left="567" w:hanging="567"/>
      </w:pPr>
      <w:rPr>
        <w:rFonts w:cs="Times New Roman"/>
      </w:rPr>
    </w:lvl>
  </w:abstractNum>
  <w:abstractNum w:abstractNumId="1">
    <w:nsid w:val="1FC46327"/>
    <w:multiLevelType w:val="hybridMultilevel"/>
    <w:tmpl w:val="23E42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331562A"/>
    <w:multiLevelType w:val="hybridMultilevel"/>
    <w:tmpl w:val="9E6657A2"/>
    <w:lvl w:ilvl="0" w:tplc="5044A3CE">
      <w:start w:val="1"/>
      <w:numFmt w:val="bullet"/>
      <w:lvlText w:val="•"/>
      <w:lvlJc w:val="left"/>
      <w:pPr>
        <w:tabs>
          <w:tab w:val="num" w:pos="720"/>
        </w:tabs>
        <w:ind w:left="720" w:hanging="360"/>
      </w:pPr>
      <w:rPr>
        <w:rFonts w:ascii="Arial" w:hAnsi="Arial" w:hint="default"/>
      </w:rPr>
    </w:lvl>
    <w:lvl w:ilvl="1" w:tplc="BF1AE170">
      <w:start w:val="2628"/>
      <w:numFmt w:val="bullet"/>
      <w:lvlText w:val="–"/>
      <w:lvlJc w:val="left"/>
      <w:pPr>
        <w:tabs>
          <w:tab w:val="num" w:pos="1440"/>
        </w:tabs>
        <w:ind w:left="1440" w:hanging="360"/>
      </w:pPr>
      <w:rPr>
        <w:rFonts w:ascii="Arial" w:hAnsi="Arial" w:hint="default"/>
      </w:rPr>
    </w:lvl>
    <w:lvl w:ilvl="2" w:tplc="116CCEC4">
      <w:start w:val="1"/>
      <w:numFmt w:val="bullet"/>
      <w:lvlText w:val="•"/>
      <w:lvlJc w:val="left"/>
      <w:pPr>
        <w:tabs>
          <w:tab w:val="num" w:pos="2160"/>
        </w:tabs>
        <w:ind w:left="2160" w:hanging="360"/>
      </w:pPr>
      <w:rPr>
        <w:rFonts w:ascii="Arial" w:hAnsi="Arial" w:hint="default"/>
      </w:rPr>
    </w:lvl>
    <w:lvl w:ilvl="3" w:tplc="B78A9E74" w:tentative="1">
      <w:start w:val="1"/>
      <w:numFmt w:val="bullet"/>
      <w:lvlText w:val="•"/>
      <w:lvlJc w:val="left"/>
      <w:pPr>
        <w:tabs>
          <w:tab w:val="num" w:pos="2880"/>
        </w:tabs>
        <w:ind w:left="2880" w:hanging="360"/>
      </w:pPr>
      <w:rPr>
        <w:rFonts w:ascii="Arial" w:hAnsi="Arial" w:hint="default"/>
      </w:rPr>
    </w:lvl>
    <w:lvl w:ilvl="4" w:tplc="4F0C1880" w:tentative="1">
      <w:start w:val="1"/>
      <w:numFmt w:val="bullet"/>
      <w:lvlText w:val="•"/>
      <w:lvlJc w:val="left"/>
      <w:pPr>
        <w:tabs>
          <w:tab w:val="num" w:pos="3600"/>
        </w:tabs>
        <w:ind w:left="3600" w:hanging="360"/>
      </w:pPr>
      <w:rPr>
        <w:rFonts w:ascii="Arial" w:hAnsi="Arial" w:hint="default"/>
      </w:rPr>
    </w:lvl>
    <w:lvl w:ilvl="5" w:tplc="32E024D0" w:tentative="1">
      <w:start w:val="1"/>
      <w:numFmt w:val="bullet"/>
      <w:lvlText w:val="•"/>
      <w:lvlJc w:val="left"/>
      <w:pPr>
        <w:tabs>
          <w:tab w:val="num" w:pos="4320"/>
        </w:tabs>
        <w:ind w:left="4320" w:hanging="360"/>
      </w:pPr>
      <w:rPr>
        <w:rFonts w:ascii="Arial" w:hAnsi="Arial" w:hint="default"/>
      </w:rPr>
    </w:lvl>
    <w:lvl w:ilvl="6" w:tplc="8A660B1C" w:tentative="1">
      <w:start w:val="1"/>
      <w:numFmt w:val="bullet"/>
      <w:lvlText w:val="•"/>
      <w:lvlJc w:val="left"/>
      <w:pPr>
        <w:tabs>
          <w:tab w:val="num" w:pos="5040"/>
        </w:tabs>
        <w:ind w:left="5040" w:hanging="360"/>
      </w:pPr>
      <w:rPr>
        <w:rFonts w:ascii="Arial" w:hAnsi="Arial" w:hint="default"/>
      </w:rPr>
    </w:lvl>
    <w:lvl w:ilvl="7" w:tplc="A5A05BA8" w:tentative="1">
      <w:start w:val="1"/>
      <w:numFmt w:val="bullet"/>
      <w:lvlText w:val="•"/>
      <w:lvlJc w:val="left"/>
      <w:pPr>
        <w:tabs>
          <w:tab w:val="num" w:pos="5760"/>
        </w:tabs>
        <w:ind w:left="5760" w:hanging="360"/>
      </w:pPr>
      <w:rPr>
        <w:rFonts w:ascii="Arial" w:hAnsi="Arial" w:hint="default"/>
      </w:rPr>
    </w:lvl>
    <w:lvl w:ilvl="8" w:tplc="D264C77E"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50"/>
  <w:trackRevisions/>
  <w:defaultTabStop w:val="720"/>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F60D3"/>
    <w:rsid w:val="000035CB"/>
    <w:rsid w:val="00010E93"/>
    <w:rsid w:val="00016478"/>
    <w:rsid w:val="00017082"/>
    <w:rsid w:val="0004180C"/>
    <w:rsid w:val="000457E0"/>
    <w:rsid w:val="00063764"/>
    <w:rsid w:val="000711CD"/>
    <w:rsid w:val="0007449F"/>
    <w:rsid w:val="000748E8"/>
    <w:rsid w:val="000778B2"/>
    <w:rsid w:val="00090DC3"/>
    <w:rsid w:val="000C3D6D"/>
    <w:rsid w:val="000C5E80"/>
    <w:rsid w:val="000D5FC7"/>
    <w:rsid w:val="000D64A0"/>
    <w:rsid w:val="000D6DFB"/>
    <w:rsid w:val="000E326B"/>
    <w:rsid w:val="000E3496"/>
    <w:rsid w:val="000F1D9A"/>
    <w:rsid w:val="00105E2B"/>
    <w:rsid w:val="00107B9C"/>
    <w:rsid w:val="00114B2A"/>
    <w:rsid w:val="001225BC"/>
    <w:rsid w:val="0012494A"/>
    <w:rsid w:val="00126DBE"/>
    <w:rsid w:val="00130DBF"/>
    <w:rsid w:val="00131821"/>
    <w:rsid w:val="00136093"/>
    <w:rsid w:val="00143C8B"/>
    <w:rsid w:val="0014714E"/>
    <w:rsid w:val="0014760D"/>
    <w:rsid w:val="001553EA"/>
    <w:rsid w:val="00155DE4"/>
    <w:rsid w:val="00156891"/>
    <w:rsid w:val="001578FA"/>
    <w:rsid w:val="00174CA8"/>
    <w:rsid w:val="00175EB2"/>
    <w:rsid w:val="00180AD0"/>
    <w:rsid w:val="00195EE1"/>
    <w:rsid w:val="001A7B80"/>
    <w:rsid w:val="001A7DFE"/>
    <w:rsid w:val="001B2E68"/>
    <w:rsid w:val="001B4494"/>
    <w:rsid w:val="001C6D54"/>
    <w:rsid w:val="001E1606"/>
    <w:rsid w:val="001E1E2F"/>
    <w:rsid w:val="001F39B1"/>
    <w:rsid w:val="00201F30"/>
    <w:rsid w:val="00221366"/>
    <w:rsid w:val="0023592F"/>
    <w:rsid w:val="002450D5"/>
    <w:rsid w:val="00280354"/>
    <w:rsid w:val="00285D11"/>
    <w:rsid w:val="00286E1F"/>
    <w:rsid w:val="002A0ACF"/>
    <w:rsid w:val="002A7D78"/>
    <w:rsid w:val="002B1DE6"/>
    <w:rsid w:val="002B1E3A"/>
    <w:rsid w:val="002B6C9A"/>
    <w:rsid w:val="002C5E96"/>
    <w:rsid w:val="002D2940"/>
    <w:rsid w:val="002E7146"/>
    <w:rsid w:val="00301050"/>
    <w:rsid w:val="003030D0"/>
    <w:rsid w:val="0030480E"/>
    <w:rsid w:val="00306F9D"/>
    <w:rsid w:val="00310143"/>
    <w:rsid w:val="00313D54"/>
    <w:rsid w:val="00313EE1"/>
    <w:rsid w:val="00317B4E"/>
    <w:rsid w:val="0032106B"/>
    <w:rsid w:val="003229E3"/>
    <w:rsid w:val="00331719"/>
    <w:rsid w:val="00341507"/>
    <w:rsid w:val="00344FD6"/>
    <w:rsid w:val="00351F31"/>
    <w:rsid w:val="0035430F"/>
    <w:rsid w:val="00364F96"/>
    <w:rsid w:val="00371748"/>
    <w:rsid w:val="00382DD4"/>
    <w:rsid w:val="0039040F"/>
    <w:rsid w:val="004022EF"/>
    <w:rsid w:val="00416E60"/>
    <w:rsid w:val="004248DC"/>
    <w:rsid w:val="0044059B"/>
    <w:rsid w:val="00441006"/>
    <w:rsid w:val="004427C4"/>
    <w:rsid w:val="00443368"/>
    <w:rsid w:val="00450562"/>
    <w:rsid w:val="00456250"/>
    <w:rsid w:val="00457871"/>
    <w:rsid w:val="004645F2"/>
    <w:rsid w:val="00464E83"/>
    <w:rsid w:val="0047075D"/>
    <w:rsid w:val="004719BF"/>
    <w:rsid w:val="004748DF"/>
    <w:rsid w:val="0048461F"/>
    <w:rsid w:val="00485065"/>
    <w:rsid w:val="0048551E"/>
    <w:rsid w:val="00493737"/>
    <w:rsid w:val="004B0E64"/>
    <w:rsid w:val="004B27B8"/>
    <w:rsid w:val="004B38BA"/>
    <w:rsid w:val="004C7DF9"/>
    <w:rsid w:val="00500F92"/>
    <w:rsid w:val="0051686B"/>
    <w:rsid w:val="00517951"/>
    <w:rsid w:val="00520FF0"/>
    <w:rsid w:val="005229F0"/>
    <w:rsid w:val="00532840"/>
    <w:rsid w:val="00533865"/>
    <w:rsid w:val="00537F48"/>
    <w:rsid w:val="0054081F"/>
    <w:rsid w:val="00547530"/>
    <w:rsid w:val="00554FF6"/>
    <w:rsid w:val="005642BA"/>
    <w:rsid w:val="00567331"/>
    <w:rsid w:val="0056783D"/>
    <w:rsid w:val="00572633"/>
    <w:rsid w:val="00575ACC"/>
    <w:rsid w:val="005919DA"/>
    <w:rsid w:val="00592F71"/>
    <w:rsid w:val="005B0C59"/>
    <w:rsid w:val="005D0546"/>
    <w:rsid w:val="005D0F9B"/>
    <w:rsid w:val="005D581C"/>
    <w:rsid w:val="005D67B0"/>
    <w:rsid w:val="005D7721"/>
    <w:rsid w:val="005E6F22"/>
    <w:rsid w:val="00602509"/>
    <w:rsid w:val="0060396C"/>
    <w:rsid w:val="0060451A"/>
    <w:rsid w:val="0060783E"/>
    <w:rsid w:val="00652370"/>
    <w:rsid w:val="00676D62"/>
    <w:rsid w:val="00691B35"/>
    <w:rsid w:val="006A3155"/>
    <w:rsid w:val="006C6CF9"/>
    <w:rsid w:val="006F267A"/>
    <w:rsid w:val="0070027E"/>
    <w:rsid w:val="007002D9"/>
    <w:rsid w:val="0070420C"/>
    <w:rsid w:val="007164E8"/>
    <w:rsid w:val="00724B26"/>
    <w:rsid w:val="0073181A"/>
    <w:rsid w:val="007559CD"/>
    <w:rsid w:val="00756E11"/>
    <w:rsid w:val="00762FCD"/>
    <w:rsid w:val="00764CBB"/>
    <w:rsid w:val="00766B7F"/>
    <w:rsid w:val="00775B98"/>
    <w:rsid w:val="0078138B"/>
    <w:rsid w:val="00785569"/>
    <w:rsid w:val="007876A0"/>
    <w:rsid w:val="00794ACA"/>
    <w:rsid w:val="0079516A"/>
    <w:rsid w:val="007A1E7D"/>
    <w:rsid w:val="007A303E"/>
    <w:rsid w:val="007A5A71"/>
    <w:rsid w:val="007A5CE5"/>
    <w:rsid w:val="007C28AE"/>
    <w:rsid w:val="007C4560"/>
    <w:rsid w:val="007C598E"/>
    <w:rsid w:val="007C71DE"/>
    <w:rsid w:val="007D31D0"/>
    <w:rsid w:val="007D55C1"/>
    <w:rsid w:val="007D7AF2"/>
    <w:rsid w:val="007E0609"/>
    <w:rsid w:val="007E5785"/>
    <w:rsid w:val="007E66E6"/>
    <w:rsid w:val="00806DBD"/>
    <w:rsid w:val="00816B12"/>
    <w:rsid w:val="008232BD"/>
    <w:rsid w:val="00841A34"/>
    <w:rsid w:val="00847F88"/>
    <w:rsid w:val="0085023C"/>
    <w:rsid w:val="008620A0"/>
    <w:rsid w:val="00871E41"/>
    <w:rsid w:val="00874DF7"/>
    <w:rsid w:val="00876DA8"/>
    <w:rsid w:val="00883785"/>
    <w:rsid w:val="008918DC"/>
    <w:rsid w:val="008B1638"/>
    <w:rsid w:val="008B4C0C"/>
    <w:rsid w:val="008C344B"/>
    <w:rsid w:val="008C76C1"/>
    <w:rsid w:val="008C7900"/>
    <w:rsid w:val="008C7B7D"/>
    <w:rsid w:val="008D264F"/>
    <w:rsid w:val="008E2D9D"/>
    <w:rsid w:val="008F277A"/>
    <w:rsid w:val="00903794"/>
    <w:rsid w:val="00924D80"/>
    <w:rsid w:val="009357F7"/>
    <w:rsid w:val="00942E9A"/>
    <w:rsid w:val="00950EEA"/>
    <w:rsid w:val="00960C17"/>
    <w:rsid w:val="00967BDF"/>
    <w:rsid w:val="0097236E"/>
    <w:rsid w:val="00972C61"/>
    <w:rsid w:val="0098003C"/>
    <w:rsid w:val="00986956"/>
    <w:rsid w:val="00993E63"/>
    <w:rsid w:val="009970F7"/>
    <w:rsid w:val="009A14EF"/>
    <w:rsid w:val="009A661F"/>
    <w:rsid w:val="009C05D6"/>
    <w:rsid w:val="009D5EDB"/>
    <w:rsid w:val="009E134E"/>
    <w:rsid w:val="009E5BCA"/>
    <w:rsid w:val="009E79F5"/>
    <w:rsid w:val="009F60D3"/>
    <w:rsid w:val="009F7527"/>
    <w:rsid w:val="00A01B1C"/>
    <w:rsid w:val="00A01C80"/>
    <w:rsid w:val="00A05B61"/>
    <w:rsid w:val="00A31B42"/>
    <w:rsid w:val="00A32545"/>
    <w:rsid w:val="00A36F5A"/>
    <w:rsid w:val="00A51558"/>
    <w:rsid w:val="00A520F4"/>
    <w:rsid w:val="00A525EB"/>
    <w:rsid w:val="00A556BC"/>
    <w:rsid w:val="00A70B04"/>
    <w:rsid w:val="00A833DB"/>
    <w:rsid w:val="00A96934"/>
    <w:rsid w:val="00AA4FF5"/>
    <w:rsid w:val="00AA6082"/>
    <w:rsid w:val="00AB16DF"/>
    <w:rsid w:val="00AC1888"/>
    <w:rsid w:val="00AD1C49"/>
    <w:rsid w:val="00AD28BD"/>
    <w:rsid w:val="00AE0609"/>
    <w:rsid w:val="00AE54EE"/>
    <w:rsid w:val="00B030E9"/>
    <w:rsid w:val="00B03C5B"/>
    <w:rsid w:val="00B0425B"/>
    <w:rsid w:val="00B0645E"/>
    <w:rsid w:val="00B23F37"/>
    <w:rsid w:val="00B43A03"/>
    <w:rsid w:val="00B4511D"/>
    <w:rsid w:val="00B46A67"/>
    <w:rsid w:val="00B52EF1"/>
    <w:rsid w:val="00B652BB"/>
    <w:rsid w:val="00B76635"/>
    <w:rsid w:val="00B76BB6"/>
    <w:rsid w:val="00B93404"/>
    <w:rsid w:val="00BA02CA"/>
    <w:rsid w:val="00BA1336"/>
    <w:rsid w:val="00BA2A57"/>
    <w:rsid w:val="00BA51FF"/>
    <w:rsid w:val="00BA5C1B"/>
    <w:rsid w:val="00BB0C31"/>
    <w:rsid w:val="00BC05AD"/>
    <w:rsid w:val="00BD1178"/>
    <w:rsid w:val="00BD2D06"/>
    <w:rsid w:val="00BE59FD"/>
    <w:rsid w:val="00BF171E"/>
    <w:rsid w:val="00BF3729"/>
    <w:rsid w:val="00BF4BAD"/>
    <w:rsid w:val="00C054B9"/>
    <w:rsid w:val="00C077B7"/>
    <w:rsid w:val="00C32BEC"/>
    <w:rsid w:val="00C341F9"/>
    <w:rsid w:val="00C432C7"/>
    <w:rsid w:val="00C43A2B"/>
    <w:rsid w:val="00C44AED"/>
    <w:rsid w:val="00C54303"/>
    <w:rsid w:val="00C73A16"/>
    <w:rsid w:val="00C751EC"/>
    <w:rsid w:val="00C95CFF"/>
    <w:rsid w:val="00CA13A1"/>
    <w:rsid w:val="00CB07B0"/>
    <w:rsid w:val="00CB1356"/>
    <w:rsid w:val="00CC251E"/>
    <w:rsid w:val="00CE017E"/>
    <w:rsid w:val="00CE25CA"/>
    <w:rsid w:val="00CE4683"/>
    <w:rsid w:val="00CF3D02"/>
    <w:rsid w:val="00D14128"/>
    <w:rsid w:val="00D15887"/>
    <w:rsid w:val="00D16EE3"/>
    <w:rsid w:val="00D255AD"/>
    <w:rsid w:val="00D32C06"/>
    <w:rsid w:val="00D344A6"/>
    <w:rsid w:val="00D375DF"/>
    <w:rsid w:val="00D407F1"/>
    <w:rsid w:val="00D76548"/>
    <w:rsid w:val="00D77ACE"/>
    <w:rsid w:val="00D90CF4"/>
    <w:rsid w:val="00D93E03"/>
    <w:rsid w:val="00DB20F2"/>
    <w:rsid w:val="00DB6895"/>
    <w:rsid w:val="00DC62EA"/>
    <w:rsid w:val="00DD1944"/>
    <w:rsid w:val="00DE35F7"/>
    <w:rsid w:val="00DF2469"/>
    <w:rsid w:val="00DF6775"/>
    <w:rsid w:val="00DF7AFE"/>
    <w:rsid w:val="00E0129E"/>
    <w:rsid w:val="00E1525D"/>
    <w:rsid w:val="00E17F3E"/>
    <w:rsid w:val="00E21680"/>
    <w:rsid w:val="00E32AEF"/>
    <w:rsid w:val="00E371D6"/>
    <w:rsid w:val="00E37845"/>
    <w:rsid w:val="00E44FD8"/>
    <w:rsid w:val="00E55436"/>
    <w:rsid w:val="00E57F65"/>
    <w:rsid w:val="00E704B4"/>
    <w:rsid w:val="00E7188C"/>
    <w:rsid w:val="00E84909"/>
    <w:rsid w:val="00E84ED8"/>
    <w:rsid w:val="00E9128E"/>
    <w:rsid w:val="00E95A23"/>
    <w:rsid w:val="00EA05E8"/>
    <w:rsid w:val="00EA1768"/>
    <w:rsid w:val="00EA7A3A"/>
    <w:rsid w:val="00EB2D0D"/>
    <w:rsid w:val="00EC570D"/>
    <w:rsid w:val="00ED43DD"/>
    <w:rsid w:val="00EE6A84"/>
    <w:rsid w:val="00F03889"/>
    <w:rsid w:val="00F07294"/>
    <w:rsid w:val="00F07FEE"/>
    <w:rsid w:val="00F179BD"/>
    <w:rsid w:val="00F24D0C"/>
    <w:rsid w:val="00F332E0"/>
    <w:rsid w:val="00F41F2C"/>
    <w:rsid w:val="00F4628B"/>
    <w:rsid w:val="00F472D5"/>
    <w:rsid w:val="00F53E98"/>
    <w:rsid w:val="00F67CDC"/>
    <w:rsid w:val="00F82AE3"/>
    <w:rsid w:val="00F931E4"/>
    <w:rsid w:val="00F952FB"/>
    <w:rsid w:val="00FA4A65"/>
    <w:rsid w:val="00FA659D"/>
    <w:rsid w:val="00FC0C5C"/>
    <w:rsid w:val="00FC27ED"/>
    <w:rsid w:val="00FE17FC"/>
    <w:rsid w:val="00FE244F"/>
    <w:rsid w:val="00FE2AE3"/>
    <w:rsid w:val="00FE563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ngs" w:hAnsi="Cambria"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60D3"/>
    <w:pPr>
      <w:overflowPunct w:val="0"/>
      <w:autoSpaceDE w:val="0"/>
      <w:autoSpaceDN w:val="0"/>
      <w:adjustRightInd w:val="0"/>
      <w:spacing w:after="180"/>
      <w:textAlignment w:val="baseline"/>
    </w:pPr>
    <w:rPr>
      <w:rFonts w:ascii="Times New Roman" w:hAnsi="Times New Roman"/>
      <w:sz w:val="20"/>
      <w:szCs w:val="20"/>
      <w:lang w:val="en-GB"/>
    </w:rPr>
  </w:style>
  <w:style w:type="paragraph" w:styleId="Heading1">
    <w:name w:val="heading 1"/>
    <w:basedOn w:val="Normal"/>
    <w:next w:val="Normal"/>
    <w:link w:val="Heading1Char1"/>
    <w:uiPriority w:val="99"/>
    <w:qFormat/>
    <w:rsid w:val="009F60D3"/>
    <w:pPr>
      <w:keepNext/>
      <w:keepLines/>
      <w:pBdr>
        <w:top w:val="single" w:sz="12" w:space="3" w:color="auto"/>
      </w:pBdr>
      <w:spacing w:before="240"/>
      <w:ind w:left="1134" w:hanging="1134"/>
      <w:outlineLvl w:val="0"/>
    </w:pPr>
    <w:rPr>
      <w:rFonts w:ascii="Arial" w:hAnsi="Arial"/>
      <w:sz w:val="24"/>
      <w:lang w:eastAsia="ko-K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F60D3"/>
    <w:rPr>
      <w:rFonts w:ascii="Calibri" w:eastAsia="MS Gothi" w:hAnsi="Calibri" w:cs="Times New Roman"/>
      <w:b/>
      <w:bCs/>
      <w:color w:val="345A8A"/>
      <w:sz w:val="32"/>
      <w:szCs w:val="32"/>
      <w:lang w:val="en-GB"/>
    </w:rPr>
  </w:style>
  <w:style w:type="paragraph" w:styleId="BalloonText">
    <w:name w:val="Balloon Text"/>
    <w:basedOn w:val="Normal"/>
    <w:link w:val="BalloonTextChar"/>
    <w:uiPriority w:val="99"/>
    <w:semiHidden/>
    <w:rsid w:val="00155DE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164E8"/>
    <w:rPr>
      <w:rFonts w:ascii="Times New Roman" w:hAnsi="Times New Roman" w:cs="Times New Roman"/>
      <w:sz w:val="2"/>
      <w:lang w:val="en-GB"/>
    </w:rPr>
  </w:style>
  <w:style w:type="character" w:customStyle="1" w:styleId="Heading1Char1">
    <w:name w:val="Heading 1 Char1"/>
    <w:link w:val="Heading1"/>
    <w:uiPriority w:val="99"/>
    <w:locked/>
    <w:rsid w:val="009F60D3"/>
    <w:rPr>
      <w:rFonts w:ascii="Arial" w:hAnsi="Arial"/>
      <w:sz w:val="24"/>
      <w:lang w:val="en-GB"/>
    </w:rPr>
  </w:style>
  <w:style w:type="character" w:styleId="Hyperlink">
    <w:name w:val="Hyperlink"/>
    <w:basedOn w:val="DefaultParagraphFont"/>
    <w:uiPriority w:val="99"/>
    <w:rsid w:val="002B6C9A"/>
    <w:rPr>
      <w:rFonts w:cs="Times New Roman"/>
      <w:color w:val="0000FF"/>
      <w:u w:val="single"/>
    </w:rPr>
  </w:style>
  <w:style w:type="character" w:styleId="CommentReference">
    <w:name w:val="annotation reference"/>
    <w:basedOn w:val="DefaultParagraphFont"/>
    <w:uiPriority w:val="99"/>
    <w:semiHidden/>
    <w:rsid w:val="00155DE4"/>
    <w:rPr>
      <w:rFonts w:cs="Times New Roman"/>
      <w:sz w:val="16"/>
      <w:szCs w:val="16"/>
    </w:rPr>
  </w:style>
  <w:style w:type="paragraph" w:styleId="CommentText">
    <w:name w:val="annotation text"/>
    <w:basedOn w:val="Normal"/>
    <w:link w:val="CommentTextChar"/>
    <w:uiPriority w:val="99"/>
    <w:semiHidden/>
    <w:rsid w:val="00155DE4"/>
  </w:style>
  <w:style w:type="character" w:customStyle="1" w:styleId="CommentTextChar">
    <w:name w:val="Comment Text Char"/>
    <w:basedOn w:val="DefaultParagraphFont"/>
    <w:link w:val="CommentText"/>
    <w:uiPriority w:val="99"/>
    <w:semiHidden/>
    <w:locked/>
    <w:rsid w:val="007164E8"/>
    <w:rPr>
      <w:rFonts w:ascii="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155DE4"/>
    <w:rPr>
      <w:b/>
      <w:bCs/>
    </w:rPr>
  </w:style>
  <w:style w:type="character" w:customStyle="1" w:styleId="CommentSubjectChar">
    <w:name w:val="Comment Subject Char"/>
    <w:basedOn w:val="CommentTextChar"/>
    <w:link w:val="CommentSubject"/>
    <w:uiPriority w:val="99"/>
    <w:semiHidden/>
    <w:locked/>
    <w:rsid w:val="007164E8"/>
    <w:rPr>
      <w:b/>
      <w:bCs/>
    </w:rPr>
  </w:style>
  <w:style w:type="paragraph" w:styleId="FootnoteText">
    <w:name w:val="footnote text"/>
    <w:basedOn w:val="Normal"/>
    <w:link w:val="FootnoteTextChar"/>
    <w:uiPriority w:val="99"/>
    <w:semiHidden/>
    <w:rsid w:val="00F53E98"/>
  </w:style>
  <w:style w:type="character" w:customStyle="1" w:styleId="FootnoteTextChar">
    <w:name w:val="Footnote Text Char"/>
    <w:basedOn w:val="DefaultParagraphFont"/>
    <w:link w:val="FootnoteText"/>
    <w:uiPriority w:val="99"/>
    <w:semiHidden/>
    <w:locked/>
    <w:rsid w:val="007164E8"/>
    <w:rPr>
      <w:rFonts w:ascii="Times New Roman" w:hAnsi="Times New Roman" w:cs="Times New Roman"/>
      <w:sz w:val="20"/>
      <w:szCs w:val="20"/>
      <w:lang w:val="en-GB"/>
    </w:rPr>
  </w:style>
  <w:style w:type="character" w:styleId="FootnoteReference">
    <w:name w:val="footnote reference"/>
    <w:basedOn w:val="DefaultParagraphFont"/>
    <w:uiPriority w:val="99"/>
    <w:semiHidden/>
    <w:rsid w:val="00F53E98"/>
    <w:rPr>
      <w:rFonts w:cs="Times New Roman"/>
      <w:vertAlign w:val="superscript"/>
    </w:rPr>
  </w:style>
  <w:style w:type="paragraph" w:styleId="Revision">
    <w:name w:val="Revision"/>
    <w:hidden/>
    <w:uiPriority w:val="99"/>
    <w:semiHidden/>
    <w:rsid w:val="00762FCD"/>
    <w:rPr>
      <w:rFonts w:ascii="Times New Roman" w:hAnsi="Times New Roman"/>
      <w:sz w:val="20"/>
      <w:szCs w:val="20"/>
      <w:lang w:val="en-GB"/>
    </w:rPr>
  </w:style>
  <w:style w:type="character" w:styleId="PlaceholderText">
    <w:name w:val="Placeholder Text"/>
    <w:basedOn w:val="DefaultParagraphFont"/>
    <w:uiPriority w:val="99"/>
    <w:semiHidden/>
    <w:rsid w:val="0012494A"/>
    <w:rPr>
      <w:rFonts w:cs="Times New Roman"/>
      <w:color w:val="808080"/>
    </w:rPr>
  </w:style>
  <w:style w:type="paragraph" w:styleId="Footer">
    <w:name w:val="footer"/>
    <w:basedOn w:val="Normal"/>
    <w:link w:val="FooterChar"/>
    <w:uiPriority w:val="99"/>
    <w:rsid w:val="000D5FC7"/>
    <w:pPr>
      <w:tabs>
        <w:tab w:val="center" w:pos="4320"/>
        <w:tab w:val="right" w:pos="8640"/>
      </w:tabs>
    </w:pPr>
  </w:style>
  <w:style w:type="character" w:customStyle="1" w:styleId="FooterChar">
    <w:name w:val="Footer Char"/>
    <w:basedOn w:val="DefaultParagraphFont"/>
    <w:link w:val="Footer"/>
    <w:uiPriority w:val="99"/>
    <w:semiHidden/>
    <w:locked/>
    <w:rsid w:val="00567331"/>
    <w:rPr>
      <w:rFonts w:ascii="Times New Roman" w:hAnsi="Times New Roman" w:cs="Times New Roman"/>
      <w:sz w:val="20"/>
      <w:szCs w:val="20"/>
      <w:lang w:val="en-GB"/>
    </w:rPr>
  </w:style>
  <w:style w:type="character" w:styleId="PageNumber">
    <w:name w:val="page number"/>
    <w:basedOn w:val="DefaultParagraphFont"/>
    <w:uiPriority w:val="99"/>
    <w:rsid w:val="000D5FC7"/>
    <w:rPr>
      <w:rFonts w:cs="Times New Roman"/>
    </w:rPr>
  </w:style>
  <w:style w:type="table" w:styleId="TableGrid">
    <w:name w:val="Table Grid"/>
    <w:basedOn w:val="TableNormal"/>
    <w:uiPriority w:val="99"/>
    <w:locked/>
    <w:rsid w:val="007C456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27007517">
      <w:marLeft w:val="0"/>
      <w:marRight w:val="0"/>
      <w:marTop w:val="0"/>
      <w:marBottom w:val="0"/>
      <w:divBdr>
        <w:top w:val="none" w:sz="0" w:space="0" w:color="auto"/>
        <w:left w:val="none" w:sz="0" w:space="0" w:color="auto"/>
        <w:bottom w:val="none" w:sz="0" w:space="0" w:color="auto"/>
        <w:right w:val="none" w:sz="0" w:space="0" w:color="auto"/>
      </w:divBdr>
      <w:divsChild>
        <w:div w:id="627007521">
          <w:marLeft w:val="0"/>
          <w:marRight w:val="0"/>
          <w:marTop w:val="0"/>
          <w:marBottom w:val="0"/>
          <w:divBdr>
            <w:top w:val="none" w:sz="0" w:space="0" w:color="auto"/>
            <w:left w:val="none" w:sz="0" w:space="0" w:color="auto"/>
            <w:bottom w:val="none" w:sz="0" w:space="0" w:color="auto"/>
            <w:right w:val="none" w:sz="0" w:space="0" w:color="auto"/>
          </w:divBdr>
        </w:div>
      </w:divsChild>
    </w:div>
    <w:div w:id="627007518">
      <w:marLeft w:val="0"/>
      <w:marRight w:val="0"/>
      <w:marTop w:val="0"/>
      <w:marBottom w:val="0"/>
      <w:divBdr>
        <w:top w:val="none" w:sz="0" w:space="0" w:color="auto"/>
        <w:left w:val="none" w:sz="0" w:space="0" w:color="auto"/>
        <w:bottom w:val="none" w:sz="0" w:space="0" w:color="auto"/>
        <w:right w:val="none" w:sz="0" w:space="0" w:color="auto"/>
      </w:divBdr>
      <w:divsChild>
        <w:div w:id="627007519">
          <w:marLeft w:val="0"/>
          <w:marRight w:val="0"/>
          <w:marTop w:val="0"/>
          <w:marBottom w:val="0"/>
          <w:divBdr>
            <w:top w:val="none" w:sz="0" w:space="0" w:color="auto"/>
            <w:left w:val="none" w:sz="0" w:space="0" w:color="auto"/>
            <w:bottom w:val="none" w:sz="0" w:space="0" w:color="auto"/>
            <w:right w:val="none" w:sz="0" w:space="0" w:color="auto"/>
          </w:divBdr>
        </w:div>
        <w:div w:id="627007520">
          <w:marLeft w:val="0"/>
          <w:marRight w:val="0"/>
          <w:marTop w:val="0"/>
          <w:marBottom w:val="0"/>
          <w:divBdr>
            <w:top w:val="none" w:sz="0" w:space="0" w:color="auto"/>
            <w:left w:val="none" w:sz="0" w:space="0" w:color="auto"/>
            <w:bottom w:val="none" w:sz="0" w:space="0" w:color="auto"/>
            <w:right w:val="none" w:sz="0" w:space="0" w:color="auto"/>
          </w:divBdr>
        </w:div>
      </w:divsChild>
    </w:div>
    <w:div w:id="627007526">
      <w:marLeft w:val="0"/>
      <w:marRight w:val="0"/>
      <w:marTop w:val="0"/>
      <w:marBottom w:val="0"/>
      <w:divBdr>
        <w:top w:val="none" w:sz="0" w:space="0" w:color="auto"/>
        <w:left w:val="none" w:sz="0" w:space="0" w:color="auto"/>
        <w:bottom w:val="none" w:sz="0" w:space="0" w:color="auto"/>
        <w:right w:val="none" w:sz="0" w:space="0" w:color="auto"/>
      </w:divBdr>
      <w:divsChild>
        <w:div w:id="627007522">
          <w:marLeft w:val="0"/>
          <w:marRight w:val="0"/>
          <w:marTop w:val="0"/>
          <w:marBottom w:val="0"/>
          <w:divBdr>
            <w:top w:val="none" w:sz="0" w:space="0" w:color="auto"/>
            <w:left w:val="none" w:sz="0" w:space="0" w:color="auto"/>
            <w:bottom w:val="none" w:sz="0" w:space="0" w:color="auto"/>
            <w:right w:val="none" w:sz="0" w:space="0" w:color="auto"/>
          </w:divBdr>
        </w:div>
        <w:div w:id="627007523">
          <w:marLeft w:val="0"/>
          <w:marRight w:val="0"/>
          <w:marTop w:val="0"/>
          <w:marBottom w:val="0"/>
          <w:divBdr>
            <w:top w:val="none" w:sz="0" w:space="0" w:color="auto"/>
            <w:left w:val="none" w:sz="0" w:space="0" w:color="auto"/>
            <w:bottom w:val="none" w:sz="0" w:space="0" w:color="auto"/>
            <w:right w:val="none" w:sz="0" w:space="0" w:color="auto"/>
          </w:divBdr>
        </w:div>
        <w:div w:id="627007524">
          <w:marLeft w:val="0"/>
          <w:marRight w:val="0"/>
          <w:marTop w:val="0"/>
          <w:marBottom w:val="0"/>
          <w:divBdr>
            <w:top w:val="none" w:sz="0" w:space="0" w:color="auto"/>
            <w:left w:val="none" w:sz="0" w:space="0" w:color="auto"/>
            <w:bottom w:val="none" w:sz="0" w:space="0" w:color="auto"/>
            <w:right w:val="none" w:sz="0" w:space="0" w:color="auto"/>
          </w:divBdr>
        </w:div>
        <w:div w:id="627007525">
          <w:marLeft w:val="0"/>
          <w:marRight w:val="0"/>
          <w:marTop w:val="0"/>
          <w:marBottom w:val="0"/>
          <w:divBdr>
            <w:top w:val="none" w:sz="0" w:space="0" w:color="auto"/>
            <w:left w:val="none" w:sz="0" w:space="0" w:color="auto"/>
            <w:bottom w:val="none" w:sz="0" w:space="0" w:color="auto"/>
            <w:right w:val="none" w:sz="0" w:space="0" w:color="auto"/>
          </w:divBdr>
        </w:div>
        <w:div w:id="627007527">
          <w:marLeft w:val="0"/>
          <w:marRight w:val="0"/>
          <w:marTop w:val="0"/>
          <w:marBottom w:val="0"/>
          <w:divBdr>
            <w:top w:val="none" w:sz="0" w:space="0" w:color="auto"/>
            <w:left w:val="none" w:sz="0" w:space="0" w:color="auto"/>
            <w:bottom w:val="none" w:sz="0" w:space="0" w:color="auto"/>
            <w:right w:val="none" w:sz="0" w:space="0" w:color="auto"/>
          </w:divBdr>
        </w:div>
        <w:div w:id="627007528">
          <w:marLeft w:val="0"/>
          <w:marRight w:val="0"/>
          <w:marTop w:val="0"/>
          <w:marBottom w:val="0"/>
          <w:divBdr>
            <w:top w:val="none" w:sz="0" w:space="0" w:color="auto"/>
            <w:left w:val="none" w:sz="0" w:space="0" w:color="auto"/>
            <w:bottom w:val="none" w:sz="0" w:space="0" w:color="auto"/>
            <w:right w:val="none" w:sz="0" w:space="0" w:color="auto"/>
          </w:divBdr>
        </w:div>
        <w:div w:id="6270075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w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wm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wmf"/><Relationship Id="rId10" Type="http://schemas.openxmlformats.org/officeDocument/2006/relationships/image" Target="media/image4.w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8</Pages>
  <Words>2349</Words>
  <Characters>13394</Characters>
  <Application>Microsoft Office Outlook</Application>
  <DocSecurity>0</DocSecurity>
  <Lines>0</Lines>
  <Paragraphs>0</Paragraphs>
  <ScaleCrop>false</ScaleCrop>
  <Company>Idaho National Lab</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#84bis</dc:title>
  <dc:subject/>
  <dc:creator>Ramon Khalona</dc:creator>
  <cp:keywords/>
  <dc:description/>
  <cp:lastModifiedBy>Ramon Khalona</cp:lastModifiedBy>
  <cp:revision>2</cp:revision>
  <dcterms:created xsi:type="dcterms:W3CDTF">2016-05-13T21:17:00Z</dcterms:created>
  <dcterms:modified xsi:type="dcterms:W3CDTF">2016-05-13T21:17:00Z</dcterms:modified>
</cp:coreProperties>
</file>