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4B10E786"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CB30ED">
        <w:rPr>
          <w:rFonts w:ascii="Arial" w:hAnsi="Arial" w:cs="Arial"/>
          <w:b/>
          <w:sz w:val="24"/>
        </w:rPr>
        <w:t>5</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AB7DC0">
        <w:rPr>
          <w:rFonts w:ascii="Arial" w:hAnsi="Arial" w:cs="Arial"/>
          <w:b/>
          <w:sz w:val="24"/>
          <w:lang w:eastAsia="zh-CN"/>
        </w:rPr>
        <w:t>164130</w:t>
      </w:r>
    </w:p>
    <w:p w14:paraId="5C3E292E" w14:textId="1E5EFB71" w:rsidR="00EB10CB" w:rsidRPr="00FC7BBB" w:rsidRDefault="008475FE" w:rsidP="00581FED">
      <w:pPr>
        <w:spacing w:after="0"/>
        <w:rPr>
          <w:rFonts w:ascii="Arial" w:hAnsi="Arial" w:cs="Arial"/>
          <w:b/>
          <w:sz w:val="24"/>
        </w:rPr>
      </w:pPr>
      <w:r>
        <w:rPr>
          <w:rFonts w:ascii="Arial" w:hAnsi="Arial" w:cs="Arial"/>
          <w:b/>
          <w:bCs/>
          <w:sz w:val="24"/>
        </w:rPr>
        <w:t>Nanjing</w:t>
      </w:r>
      <w:r w:rsidR="0091499D" w:rsidRPr="005648BF">
        <w:rPr>
          <w:rFonts w:ascii="Arial" w:hAnsi="Arial" w:cs="Arial"/>
          <w:b/>
          <w:bCs/>
          <w:sz w:val="24"/>
        </w:rPr>
        <w:t xml:space="preserve">, </w:t>
      </w:r>
      <w:r>
        <w:rPr>
          <w:rFonts w:ascii="Arial" w:hAnsi="Arial" w:cs="Arial"/>
          <w:b/>
          <w:bCs/>
          <w:sz w:val="24"/>
        </w:rPr>
        <w:t>China</w:t>
      </w:r>
      <w:r w:rsidR="0091499D" w:rsidRPr="005648BF">
        <w:rPr>
          <w:rFonts w:ascii="Arial" w:eastAsia="MS Mincho" w:hAnsi="Arial" w:cs="Arial"/>
          <w:b/>
          <w:bCs/>
          <w:sz w:val="24"/>
          <w:lang w:val="en-US" w:eastAsia="ja-JP"/>
        </w:rPr>
        <w:t xml:space="preserve">, </w:t>
      </w:r>
      <w:r w:rsidR="00CB30ED">
        <w:rPr>
          <w:rFonts w:ascii="Arial" w:eastAsia="MS Mincho" w:hAnsi="Arial" w:cs="Arial"/>
          <w:b/>
          <w:bCs/>
          <w:sz w:val="24"/>
          <w:lang w:val="en-US" w:eastAsia="ja-JP"/>
        </w:rPr>
        <w:t>23</w:t>
      </w:r>
      <w:r w:rsidR="00CB30ED">
        <w:rPr>
          <w:rFonts w:ascii="Arial" w:eastAsia="MS Mincho" w:hAnsi="Arial" w:cs="Arial"/>
          <w:b/>
          <w:bCs/>
          <w:sz w:val="24"/>
          <w:vertAlign w:val="superscript"/>
          <w:lang w:val="en-US" w:eastAsia="ja-JP"/>
        </w:rPr>
        <w:t>rd</w:t>
      </w:r>
      <w:r w:rsidR="0091499D" w:rsidRPr="005648BF">
        <w:rPr>
          <w:rFonts w:ascii="Arial" w:eastAsia="MS Mincho" w:hAnsi="Arial" w:cs="Arial"/>
          <w:b/>
          <w:bCs/>
          <w:sz w:val="24"/>
          <w:lang w:val="en-US" w:eastAsia="ja-JP"/>
        </w:rPr>
        <w:t xml:space="preserve"> – </w:t>
      </w:r>
      <w:r w:rsidR="00CB30ED">
        <w:rPr>
          <w:rFonts w:ascii="Arial" w:eastAsia="MS Mincho" w:hAnsi="Arial" w:cs="Arial"/>
          <w:b/>
          <w:bCs/>
          <w:sz w:val="24"/>
          <w:lang w:val="en-US" w:eastAsia="ja-JP"/>
        </w:rPr>
        <w:t>27</w:t>
      </w:r>
      <w:r w:rsidR="0091499D" w:rsidRPr="005648BF">
        <w:rPr>
          <w:rFonts w:ascii="Arial" w:eastAsia="MS Mincho" w:hAnsi="Arial" w:cs="Arial"/>
          <w:b/>
          <w:bCs/>
          <w:sz w:val="24"/>
          <w:vertAlign w:val="superscript"/>
          <w:lang w:val="en-US" w:eastAsia="ja-JP"/>
        </w:rPr>
        <w:t>th</w:t>
      </w:r>
      <w:r w:rsidR="0091499D" w:rsidRPr="005648BF">
        <w:rPr>
          <w:rFonts w:ascii="Arial" w:eastAsia="MS Mincho" w:hAnsi="Arial" w:cs="Arial"/>
          <w:b/>
          <w:bCs/>
          <w:sz w:val="24"/>
          <w:lang w:val="en-US" w:eastAsia="ja-JP"/>
        </w:rPr>
        <w:t xml:space="preserve"> </w:t>
      </w:r>
      <w:r w:rsidR="00CB30ED">
        <w:rPr>
          <w:rFonts w:ascii="Arial" w:eastAsia="MS Mincho" w:hAnsi="Arial" w:cs="Arial"/>
          <w:b/>
          <w:bCs/>
          <w:sz w:val="24"/>
          <w:lang w:val="en-US" w:eastAsia="ja-JP"/>
        </w:rPr>
        <w:t>May</w:t>
      </w:r>
      <w:r w:rsidR="0091499D"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CD56F41"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AB7DC0">
        <w:rPr>
          <w:rFonts w:ascii="Arial" w:hAnsi="Arial"/>
          <w:b/>
          <w:sz w:val="24"/>
        </w:rPr>
        <w:t>6.2.1.3</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1604D19A"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AB7DC0">
        <w:rPr>
          <w:rFonts w:ascii="Arial" w:hAnsi="Arial"/>
          <w:b/>
          <w:sz w:val="24"/>
        </w:rPr>
        <w:t>UCI transmission for eLAA SCells</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24887DC2" w14:textId="338CD914" w:rsidR="004C6009" w:rsidRDefault="004C6009" w:rsidP="00FC7BBB">
      <w:pPr>
        <w:pStyle w:val="LGTdoc"/>
        <w:spacing w:before="20" w:afterLines="0" w:line="240" w:lineRule="auto"/>
        <w:rPr>
          <w:sz w:val="20"/>
          <w:szCs w:val="20"/>
          <w:lang w:val="en-US"/>
        </w:rPr>
      </w:pPr>
      <w:r>
        <w:rPr>
          <w:sz w:val="20"/>
          <w:szCs w:val="20"/>
          <w:lang w:val="en-US"/>
        </w:rPr>
        <w:t>In the last RAN WG1 Meeting #84bis, the following working assumption was made [1].</w:t>
      </w:r>
    </w:p>
    <w:p w14:paraId="0DA2A47C" w14:textId="77777777" w:rsidR="004C6009" w:rsidRDefault="004C6009" w:rsidP="00FC7BBB">
      <w:pPr>
        <w:pStyle w:val="LGTdoc"/>
        <w:spacing w:before="20" w:afterLines="0" w:line="240" w:lineRule="auto"/>
        <w:rPr>
          <w:sz w:val="20"/>
          <w:szCs w:val="20"/>
          <w:lang w:val="en-US"/>
        </w:rPr>
      </w:pPr>
    </w:p>
    <w:p w14:paraId="3ACC711D" w14:textId="77777777" w:rsidR="004C6009" w:rsidRPr="004C6009" w:rsidRDefault="004C6009" w:rsidP="004C6009">
      <w:pPr>
        <w:overflowPunct/>
        <w:autoSpaceDE/>
        <w:autoSpaceDN/>
        <w:adjustRightInd/>
        <w:spacing w:after="0"/>
        <w:ind w:left="1440" w:hanging="1440"/>
        <w:textAlignment w:val="auto"/>
        <w:rPr>
          <w:rFonts w:eastAsia="MS Mincho"/>
          <w:b/>
          <w:szCs w:val="24"/>
          <w:u w:val="single"/>
          <w:lang w:val="en-US" w:eastAsia="ja-JP"/>
        </w:rPr>
      </w:pPr>
      <w:r w:rsidRPr="004C6009">
        <w:rPr>
          <w:rFonts w:eastAsia="MS Mincho"/>
          <w:b/>
          <w:szCs w:val="24"/>
          <w:highlight w:val="darkYellow"/>
          <w:u w:val="single"/>
          <w:lang w:val="en-US" w:eastAsia="ja-JP"/>
        </w:rPr>
        <w:t>Working assumptions:</w:t>
      </w:r>
    </w:p>
    <w:p w14:paraId="501C3F99" w14:textId="77777777" w:rsidR="004C6009" w:rsidRPr="004C6009" w:rsidRDefault="004C6009" w:rsidP="004C6009">
      <w:pPr>
        <w:numPr>
          <w:ilvl w:val="0"/>
          <w:numId w:val="9"/>
        </w:numPr>
        <w:overflowPunct/>
        <w:autoSpaceDE/>
        <w:autoSpaceDN/>
        <w:adjustRightInd/>
        <w:spacing w:after="0"/>
        <w:textAlignment w:val="auto"/>
        <w:rPr>
          <w:rFonts w:eastAsia="Batang"/>
        </w:rPr>
      </w:pPr>
      <w:r w:rsidRPr="004C6009">
        <w:rPr>
          <w:rFonts w:eastAsia="Batang"/>
        </w:rPr>
        <w:t>eLAA supports transmission of UCI including at least HARQ-ACK on PUSCH within a “UCI cell group” consisting of only LAA SCells at least for self-scheduling</w:t>
      </w:r>
    </w:p>
    <w:p w14:paraId="66C0B728" w14:textId="77777777" w:rsidR="004C6009" w:rsidRPr="004C6009" w:rsidRDefault="004C6009" w:rsidP="004C6009">
      <w:pPr>
        <w:numPr>
          <w:ilvl w:val="1"/>
          <w:numId w:val="9"/>
        </w:numPr>
        <w:overflowPunct/>
        <w:autoSpaceDE/>
        <w:autoSpaceDN/>
        <w:adjustRightInd/>
        <w:spacing w:after="200" w:line="276" w:lineRule="auto"/>
        <w:contextualSpacing/>
        <w:textAlignment w:val="auto"/>
        <w:rPr>
          <w:rFonts w:eastAsia="Batang"/>
        </w:rPr>
      </w:pPr>
      <w:r w:rsidRPr="004C6009">
        <w:rPr>
          <w:rFonts w:eastAsia="Batang"/>
        </w:rPr>
        <w:t>No PUCCH on any SCell in the UCG</w:t>
      </w:r>
    </w:p>
    <w:p w14:paraId="0A3F6CED" w14:textId="77777777" w:rsidR="004C6009" w:rsidRPr="004C6009" w:rsidRDefault="004C6009" w:rsidP="004C6009">
      <w:pPr>
        <w:numPr>
          <w:ilvl w:val="1"/>
          <w:numId w:val="9"/>
        </w:numPr>
        <w:overflowPunct/>
        <w:autoSpaceDE/>
        <w:autoSpaceDN/>
        <w:adjustRightInd/>
        <w:spacing w:after="200" w:line="276" w:lineRule="auto"/>
        <w:contextualSpacing/>
        <w:textAlignment w:val="auto"/>
        <w:rPr>
          <w:rFonts w:eastAsia="Batang"/>
        </w:rPr>
      </w:pPr>
      <w:r w:rsidRPr="004C6009">
        <w:rPr>
          <w:rFonts w:eastAsia="Batang"/>
        </w:rPr>
        <w:t>This cell group is not referring to a PUCCH cell group</w:t>
      </w:r>
    </w:p>
    <w:p w14:paraId="3E426915" w14:textId="77777777" w:rsidR="004C6009" w:rsidRPr="004C6009" w:rsidRDefault="004C6009" w:rsidP="004C6009">
      <w:pPr>
        <w:numPr>
          <w:ilvl w:val="1"/>
          <w:numId w:val="9"/>
        </w:numPr>
        <w:overflowPunct/>
        <w:autoSpaceDE/>
        <w:autoSpaceDN/>
        <w:adjustRightInd/>
        <w:spacing w:after="200" w:line="276" w:lineRule="auto"/>
        <w:contextualSpacing/>
        <w:textAlignment w:val="auto"/>
        <w:rPr>
          <w:rFonts w:eastAsia="Batang"/>
        </w:rPr>
      </w:pPr>
      <w:r w:rsidRPr="004C6009">
        <w:rPr>
          <w:rFonts w:eastAsia="Batang"/>
        </w:rPr>
        <w:t>FFS: Timing relationship between DL transmissions and HARQ-ACK</w:t>
      </w:r>
    </w:p>
    <w:p w14:paraId="14C6322F" w14:textId="77777777" w:rsidR="004C6009" w:rsidRPr="004C6009" w:rsidRDefault="004C6009" w:rsidP="004C6009">
      <w:pPr>
        <w:numPr>
          <w:ilvl w:val="1"/>
          <w:numId w:val="9"/>
        </w:numPr>
        <w:overflowPunct/>
        <w:autoSpaceDE/>
        <w:autoSpaceDN/>
        <w:adjustRightInd/>
        <w:spacing w:after="200" w:line="276" w:lineRule="auto"/>
        <w:contextualSpacing/>
        <w:textAlignment w:val="auto"/>
        <w:rPr>
          <w:rFonts w:eastAsia="Batang"/>
        </w:rPr>
      </w:pPr>
      <w:r w:rsidRPr="004C6009">
        <w:rPr>
          <w:rFonts w:eastAsia="Batang"/>
        </w:rPr>
        <w:t>FFS: Whether the UCI cell group can also include an SCell in the licensed band</w:t>
      </w:r>
    </w:p>
    <w:p w14:paraId="127FE99A" w14:textId="77777777" w:rsidR="004C6009" w:rsidRPr="004C6009" w:rsidRDefault="004C6009" w:rsidP="004C6009">
      <w:pPr>
        <w:numPr>
          <w:ilvl w:val="0"/>
          <w:numId w:val="9"/>
        </w:numPr>
        <w:overflowPunct/>
        <w:autoSpaceDE/>
        <w:autoSpaceDN/>
        <w:adjustRightInd/>
        <w:spacing w:after="200" w:line="276" w:lineRule="auto"/>
        <w:contextualSpacing/>
        <w:textAlignment w:val="auto"/>
        <w:rPr>
          <w:rFonts w:eastAsia="Batang"/>
        </w:rPr>
      </w:pPr>
      <w:r w:rsidRPr="004C6009">
        <w:rPr>
          <w:rFonts w:eastAsia="Batang"/>
        </w:rPr>
        <w:t>All HARQ-ACKs for SCells within the UCI cell group are always carried on PUSCH on one or more SCells within the UCI cell group when the UCI cell group is configured</w:t>
      </w:r>
    </w:p>
    <w:p w14:paraId="0AC59732" w14:textId="1A3F54AD" w:rsidR="00954DD9" w:rsidRPr="00D3725C" w:rsidRDefault="004C6009" w:rsidP="00FC7BBB">
      <w:pPr>
        <w:pStyle w:val="LGTdoc"/>
        <w:spacing w:before="20" w:afterLines="0" w:line="240" w:lineRule="auto"/>
        <w:rPr>
          <w:sz w:val="20"/>
          <w:szCs w:val="20"/>
        </w:rPr>
      </w:pPr>
      <w:r>
        <w:rPr>
          <w:sz w:val="20"/>
          <w:szCs w:val="20"/>
        </w:rPr>
        <w:t>In this contribution, we will discuss on how to enable the HARQ ACK feedback with the UCI cell group concept along with the remaining FFS points</w:t>
      </w:r>
      <w:r w:rsidR="00B20568">
        <w:rPr>
          <w:sz w:val="20"/>
          <w:szCs w:val="20"/>
        </w:rPr>
        <w:t xml:space="preserve">. Apart from this, we will share our views on the </w:t>
      </w:r>
      <w:r w:rsidR="00D97314">
        <w:rPr>
          <w:sz w:val="20"/>
          <w:szCs w:val="20"/>
        </w:rPr>
        <w:t xml:space="preserve">need of </w:t>
      </w:r>
      <w:r w:rsidR="00B20568">
        <w:rPr>
          <w:sz w:val="20"/>
          <w:szCs w:val="20"/>
        </w:rPr>
        <w:t>UCI cell group itself later in th</w:t>
      </w:r>
      <w:r w:rsidR="00097067">
        <w:rPr>
          <w:sz w:val="20"/>
          <w:szCs w:val="20"/>
        </w:rPr>
        <w:t>is</w:t>
      </w:r>
      <w:r w:rsidR="00B20568">
        <w:rPr>
          <w:sz w:val="20"/>
          <w:szCs w:val="20"/>
        </w:rPr>
        <w:t xml:space="preserve"> contribution.</w:t>
      </w:r>
    </w:p>
    <w:p w14:paraId="0D34D45E" w14:textId="2BC5F1B6" w:rsidR="00EB10CB" w:rsidRDefault="00D3725C"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Dynamic triggering of HARQ ACK feedback</w:t>
      </w:r>
    </w:p>
    <w:p w14:paraId="50D8DCF1" w14:textId="26AD9DFB" w:rsidR="00D3725C" w:rsidRDefault="00D3725C" w:rsidP="00954DD9">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In LAA SCells, not only the DL/UL frame configuration is dynamically changing but also </w:t>
      </w:r>
      <w:r w:rsidR="00D71A35">
        <w:rPr>
          <w:b w:val="0"/>
          <w:snapToGrid/>
          <w:color w:val="000000" w:themeColor="text1"/>
          <w:kern w:val="2"/>
          <w:sz w:val="20"/>
          <w:lang w:val="en-US"/>
        </w:rPr>
        <w:t xml:space="preserve">a UE cannot predict it a priori. This motivates a more flexible HARQ ACK feedback timing relationship for UCI cell group. </w:t>
      </w:r>
    </w:p>
    <w:p w14:paraId="7CAFDD6C" w14:textId="77777777" w:rsidR="00D3725C" w:rsidRDefault="00D3725C" w:rsidP="00954DD9">
      <w:pPr>
        <w:pStyle w:val="LGTdoc1"/>
        <w:spacing w:beforeLines="0" w:before="120" w:after="120" w:afterAutospacing="0"/>
        <w:rPr>
          <w:b w:val="0"/>
          <w:snapToGrid/>
          <w:color w:val="000000" w:themeColor="text1"/>
          <w:kern w:val="2"/>
          <w:sz w:val="20"/>
          <w:lang w:val="en-US"/>
        </w:rPr>
      </w:pPr>
    </w:p>
    <w:p w14:paraId="6D927694" w14:textId="53B88303" w:rsidR="00D71A35" w:rsidRDefault="00D71A35" w:rsidP="00D71A35">
      <w:pPr>
        <w:pStyle w:val="LGTdoc1"/>
        <w:spacing w:beforeLines="0" w:before="120" w:after="120" w:afterAutospacing="0"/>
        <w:jc w:val="center"/>
      </w:pPr>
      <w:r>
        <w:object w:dxaOrig="13789" w:dyaOrig="2761" w14:anchorId="13BF6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pt;height:78.45pt" o:ole="">
            <v:imagedata r:id="rId12" o:title=""/>
          </v:shape>
          <o:OLEObject Type="Embed" ProgID="Visio.Drawing.15" ShapeID="_x0000_i1025" DrawAspect="Content" ObjectID="_1524677124" r:id="rId13"/>
        </w:object>
      </w:r>
    </w:p>
    <w:p w14:paraId="320AA4FC" w14:textId="06214D87" w:rsidR="00D71A35" w:rsidRPr="00FC7BBB" w:rsidRDefault="00D71A35" w:rsidP="00D71A35">
      <w:pPr>
        <w:pStyle w:val="LGTdoc1"/>
        <w:spacing w:beforeLines="0" w:before="120" w:after="120" w:afterAutospacing="0"/>
        <w:jc w:val="center"/>
        <w:rPr>
          <w:snapToGrid/>
          <w:kern w:val="2"/>
          <w:sz w:val="20"/>
        </w:rPr>
      </w:pPr>
      <w:r w:rsidRPr="00FC7BBB">
        <w:rPr>
          <w:snapToGrid/>
          <w:kern w:val="2"/>
          <w:sz w:val="20"/>
        </w:rPr>
        <w:t xml:space="preserve">Figure 1. Proposed </w:t>
      </w:r>
      <w:r>
        <w:rPr>
          <w:snapToGrid/>
          <w:kern w:val="2"/>
          <w:sz w:val="20"/>
        </w:rPr>
        <w:t>dynamic triggering of pending HARQ ACKs</w:t>
      </w:r>
    </w:p>
    <w:p w14:paraId="6886F7C8" w14:textId="77777777" w:rsidR="00D71A35" w:rsidRPr="00D71A35" w:rsidRDefault="00D71A35" w:rsidP="00954DD9">
      <w:pPr>
        <w:pStyle w:val="LGTdoc1"/>
        <w:spacing w:beforeLines="0" w:before="120" w:after="120" w:afterAutospacing="0"/>
        <w:rPr>
          <w:b w:val="0"/>
          <w:snapToGrid/>
          <w:color w:val="000000" w:themeColor="text1"/>
          <w:kern w:val="2"/>
          <w:sz w:val="20"/>
        </w:rPr>
      </w:pPr>
    </w:p>
    <w:p w14:paraId="59612A98" w14:textId="06B87D73" w:rsidR="00C47459" w:rsidRDefault="00C47459" w:rsidP="00733F3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In Figure 1 above, we illustrate a proposed dynamic triggering of pending HARQ ACKs. When triggered, </w:t>
      </w:r>
      <w:r w:rsidR="00E50CF3">
        <w:rPr>
          <w:b w:val="0"/>
          <w:snapToGrid/>
          <w:color w:val="000000" w:themeColor="text1"/>
          <w:kern w:val="2"/>
          <w:sz w:val="20"/>
          <w:lang w:val="en-US"/>
        </w:rPr>
        <w:t xml:space="preserve">all the pending feedback messages which satisfy the required processing delay can be transmitted in the indicated PUSCH resource. </w:t>
      </w:r>
    </w:p>
    <w:p w14:paraId="2279FF79" w14:textId="57D44599" w:rsidR="00E50CF3" w:rsidRDefault="00E50CF3" w:rsidP="00E50CF3">
      <w:pPr>
        <w:pStyle w:val="LGTdoc1"/>
        <w:spacing w:beforeLines="0" w:before="240" w:after="240" w:afterAutospacing="0"/>
        <w:rPr>
          <w:snapToGrid/>
          <w:kern w:val="2"/>
          <w:sz w:val="20"/>
          <w:lang w:val="en-US"/>
        </w:rPr>
      </w:pPr>
      <w:r w:rsidRPr="00FC7BBB">
        <w:rPr>
          <w:snapToGrid/>
          <w:kern w:val="2"/>
          <w:sz w:val="20"/>
          <w:lang w:val="en-US"/>
        </w:rPr>
        <w:t>Proposal</w:t>
      </w:r>
      <w:r w:rsidR="00EE18ED">
        <w:rPr>
          <w:snapToGrid/>
          <w:kern w:val="2"/>
          <w:sz w:val="20"/>
          <w:lang w:val="en-US"/>
        </w:rPr>
        <w:t xml:space="preserve"> 1</w:t>
      </w:r>
      <w:r w:rsidRPr="00FC7BBB">
        <w:rPr>
          <w:snapToGrid/>
          <w:kern w:val="2"/>
          <w:sz w:val="20"/>
          <w:lang w:val="en-US"/>
        </w:rPr>
        <w:t xml:space="preserve">: </w:t>
      </w:r>
      <w:r>
        <w:rPr>
          <w:snapToGrid/>
          <w:kern w:val="2"/>
          <w:sz w:val="20"/>
          <w:lang w:val="en-US"/>
        </w:rPr>
        <w:t>Within the UCI cell group, the transmission of HARQ ACKs is based on the triggering, which evokes the transmission of all the pending feedback messages satisfying the processing delay.</w:t>
      </w:r>
    </w:p>
    <w:p w14:paraId="2AA87D67" w14:textId="29E625A0" w:rsidR="00C47459" w:rsidRDefault="00E50CF3" w:rsidP="00733F3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On the other hand, there could be misunderstanding on the HARQ ACK feedback codebook size as not only the frame structure is dynamic but also due to the error cases. </w:t>
      </w:r>
      <w:r w:rsidR="007F146E">
        <w:rPr>
          <w:b w:val="0"/>
          <w:snapToGrid/>
          <w:color w:val="000000" w:themeColor="text1"/>
          <w:kern w:val="2"/>
          <w:sz w:val="20"/>
          <w:lang w:val="en-US"/>
        </w:rPr>
        <w:t xml:space="preserve">Thus, ultimately, it will be preferable to send the HARQ process ID along with the feedback message. The most efficient way of doing this is a bitmap-based HARQ process association, where the HARQ </w:t>
      </w:r>
      <w:r w:rsidR="007F146E">
        <w:rPr>
          <w:b w:val="0"/>
          <w:snapToGrid/>
          <w:color w:val="000000" w:themeColor="text1"/>
          <w:kern w:val="2"/>
          <w:sz w:val="20"/>
          <w:lang w:val="en-US"/>
        </w:rPr>
        <w:lastRenderedPageBreak/>
        <w:t>process ID corresponds to the position in bitmap. This approach is not different from having the HARQ ACK feedback codebook size to be identical to the total number of supported HARQ processes.</w:t>
      </w:r>
    </w:p>
    <w:p w14:paraId="5769324C" w14:textId="77777777" w:rsidR="007F146E" w:rsidRDefault="007F146E" w:rsidP="00733F31">
      <w:pPr>
        <w:pStyle w:val="LGTdoc1"/>
        <w:spacing w:beforeLines="0" w:before="120" w:after="120" w:afterAutospacing="0"/>
        <w:rPr>
          <w:b w:val="0"/>
          <w:snapToGrid/>
          <w:color w:val="000000" w:themeColor="text1"/>
          <w:kern w:val="2"/>
          <w:sz w:val="20"/>
          <w:lang w:val="en-US"/>
        </w:rPr>
      </w:pPr>
    </w:p>
    <w:p w14:paraId="1CDFAE6E" w14:textId="64E67030" w:rsidR="00C47459" w:rsidRDefault="007F146E" w:rsidP="007F146E">
      <w:pPr>
        <w:pStyle w:val="LGTdoc1"/>
        <w:spacing w:beforeLines="0" w:before="120" w:after="120" w:afterAutospacing="0"/>
        <w:jc w:val="center"/>
        <w:rPr>
          <w:b w:val="0"/>
          <w:snapToGrid/>
          <w:color w:val="000000" w:themeColor="text1"/>
          <w:kern w:val="2"/>
          <w:sz w:val="20"/>
          <w:lang w:val="en-US"/>
        </w:rPr>
      </w:pPr>
      <w:r w:rsidRPr="007A3D9B">
        <w:rPr>
          <w:rFonts w:ascii="Arial" w:hAnsi="Arial" w:cs="Arial"/>
          <w:noProof/>
          <w:spacing w:val="6"/>
          <w:lang w:val="en-US"/>
        </w:rPr>
        <w:drawing>
          <wp:inline distT="0" distB="0" distL="0" distR="0" wp14:anchorId="776ABBA6" wp14:editId="54ADC3D1">
            <wp:extent cx="1752600" cy="462471"/>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1793143" cy="473169"/>
                    </a:xfrm>
                    <a:prstGeom prst="rect">
                      <a:avLst/>
                    </a:prstGeom>
                  </pic:spPr>
                </pic:pic>
              </a:graphicData>
            </a:graphic>
          </wp:inline>
        </w:drawing>
      </w:r>
    </w:p>
    <w:p w14:paraId="4C336A45" w14:textId="654BC3A2" w:rsidR="00C47459" w:rsidRPr="007F146E" w:rsidRDefault="007F146E" w:rsidP="007F146E">
      <w:pPr>
        <w:pStyle w:val="LGTdoc1"/>
        <w:spacing w:beforeLines="0" w:before="120" w:after="120" w:afterAutospacing="0"/>
        <w:jc w:val="center"/>
        <w:rPr>
          <w:snapToGrid/>
          <w:kern w:val="2"/>
          <w:sz w:val="20"/>
        </w:rPr>
      </w:pPr>
      <w:r w:rsidRPr="00FC7BBB">
        <w:rPr>
          <w:snapToGrid/>
          <w:kern w:val="2"/>
          <w:sz w:val="20"/>
        </w:rPr>
        <w:t xml:space="preserve">Figure 1. </w:t>
      </w:r>
      <w:r>
        <w:rPr>
          <w:snapToGrid/>
          <w:kern w:val="2"/>
          <w:sz w:val="20"/>
        </w:rPr>
        <w:t>B</w:t>
      </w:r>
      <w:r w:rsidR="001E10A2">
        <w:rPr>
          <w:snapToGrid/>
          <w:kern w:val="2"/>
          <w:sz w:val="20"/>
        </w:rPr>
        <w:t>it</w:t>
      </w:r>
      <w:r>
        <w:rPr>
          <w:snapToGrid/>
          <w:kern w:val="2"/>
          <w:sz w:val="20"/>
        </w:rPr>
        <w:t>map based HARQ ACK feedback association</w:t>
      </w:r>
    </w:p>
    <w:p w14:paraId="3DD49125" w14:textId="057ED8F3" w:rsidR="007F146E" w:rsidRDefault="007F146E" w:rsidP="007F146E">
      <w:pPr>
        <w:pStyle w:val="LGTdoc1"/>
        <w:spacing w:beforeLines="0" w:before="240" w:after="240" w:afterAutospacing="0"/>
        <w:rPr>
          <w:snapToGrid/>
          <w:kern w:val="2"/>
          <w:sz w:val="20"/>
          <w:lang w:val="en-US"/>
        </w:rPr>
      </w:pPr>
      <w:r w:rsidRPr="00FC7BBB">
        <w:rPr>
          <w:snapToGrid/>
          <w:kern w:val="2"/>
          <w:sz w:val="20"/>
          <w:lang w:val="en-US"/>
        </w:rPr>
        <w:t>Proposal</w:t>
      </w:r>
      <w:r w:rsidR="00EE18ED">
        <w:rPr>
          <w:snapToGrid/>
          <w:kern w:val="2"/>
          <w:sz w:val="20"/>
          <w:lang w:val="en-US"/>
        </w:rPr>
        <w:t xml:space="preserve"> 2</w:t>
      </w:r>
      <w:r w:rsidRPr="00FC7BBB">
        <w:rPr>
          <w:snapToGrid/>
          <w:kern w:val="2"/>
          <w:sz w:val="20"/>
          <w:lang w:val="en-US"/>
        </w:rPr>
        <w:t xml:space="preserve">: </w:t>
      </w:r>
      <w:r>
        <w:rPr>
          <w:snapToGrid/>
          <w:kern w:val="2"/>
          <w:sz w:val="20"/>
          <w:lang w:val="en-US"/>
        </w:rPr>
        <w:t>B</w:t>
      </w:r>
      <w:r w:rsidR="001E10A2">
        <w:rPr>
          <w:snapToGrid/>
          <w:kern w:val="2"/>
          <w:sz w:val="20"/>
          <w:lang w:val="en-US"/>
        </w:rPr>
        <w:t>it</w:t>
      </w:r>
      <w:r>
        <w:rPr>
          <w:snapToGrid/>
          <w:kern w:val="2"/>
          <w:sz w:val="20"/>
          <w:lang w:val="en-US"/>
        </w:rPr>
        <w:t>map based HARQ process association is used for HARQ ACK feedback in UCI cell group.</w:t>
      </w:r>
    </w:p>
    <w:p w14:paraId="0D1E781D" w14:textId="18969A44" w:rsidR="007F146E" w:rsidRDefault="007F146E" w:rsidP="00733F3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To make the feedback payload compact, a couple of approaches can be considered:</w:t>
      </w:r>
    </w:p>
    <w:p w14:paraId="31B1E679" w14:textId="77777777" w:rsidR="001E10A2" w:rsidRDefault="007F146E" w:rsidP="007F146E">
      <w:pPr>
        <w:pStyle w:val="LGTdoc1"/>
        <w:numPr>
          <w:ilvl w:val="0"/>
          <w:numId w:val="10"/>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 total number of supported HARQ process is configurable such that the</w:t>
      </w:r>
      <w:r w:rsidR="001E10A2">
        <w:rPr>
          <w:b w:val="0"/>
          <w:snapToGrid/>
          <w:color w:val="000000" w:themeColor="text1"/>
          <w:kern w:val="2"/>
          <w:sz w:val="20"/>
          <w:lang w:val="en-US"/>
        </w:rPr>
        <w:t xml:space="preserve"> bitmap size, or equivalently the feedback codebook size, is configurable.</w:t>
      </w:r>
    </w:p>
    <w:p w14:paraId="629A4691" w14:textId="408988B1" w:rsidR="00AA7D97" w:rsidRDefault="00097067" w:rsidP="00AA7D97">
      <w:pPr>
        <w:pStyle w:val="LGTdoc1"/>
        <w:numPr>
          <w:ilvl w:val="0"/>
          <w:numId w:val="10"/>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B</w:t>
      </w:r>
      <w:r w:rsidR="001E10A2">
        <w:rPr>
          <w:b w:val="0"/>
          <w:snapToGrid/>
          <w:color w:val="000000" w:themeColor="text1"/>
          <w:kern w:val="2"/>
          <w:sz w:val="20"/>
          <w:lang w:val="en-US"/>
        </w:rPr>
        <w:t>undling can be performed over processes, codewords or</w:t>
      </w:r>
      <w:r w:rsidR="007F146E">
        <w:rPr>
          <w:b w:val="0"/>
          <w:snapToGrid/>
          <w:color w:val="000000" w:themeColor="text1"/>
          <w:kern w:val="2"/>
          <w:sz w:val="20"/>
          <w:lang w:val="en-US"/>
        </w:rPr>
        <w:t xml:space="preserve"> </w:t>
      </w:r>
      <w:r w:rsidR="001E10A2">
        <w:rPr>
          <w:b w:val="0"/>
          <w:snapToGrid/>
          <w:color w:val="000000" w:themeColor="text1"/>
          <w:kern w:val="2"/>
          <w:sz w:val="20"/>
          <w:lang w:val="en-US"/>
        </w:rPr>
        <w:t>both.</w:t>
      </w:r>
    </w:p>
    <w:p w14:paraId="315E6F7A" w14:textId="18DD27F7" w:rsidR="00AA7D97" w:rsidRPr="00AA7D97" w:rsidRDefault="00AA7D97" w:rsidP="00AA7D9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feedback payload size can be proportional to the number of </w:t>
      </w:r>
      <w:r w:rsidR="00605719">
        <w:rPr>
          <w:b w:val="0"/>
          <w:snapToGrid/>
          <w:color w:val="000000" w:themeColor="text1"/>
          <w:kern w:val="2"/>
          <w:sz w:val="20"/>
          <w:lang w:val="en-US"/>
        </w:rPr>
        <w:t>carriers within the UCI cell group.</w:t>
      </w:r>
    </w:p>
    <w:p w14:paraId="21A6712E" w14:textId="29D513A4" w:rsidR="001E10A2" w:rsidRDefault="001E10A2" w:rsidP="001E10A2">
      <w:pPr>
        <w:pStyle w:val="LGTdoc1"/>
        <w:spacing w:beforeLines="0" w:before="240" w:after="240" w:afterAutospacing="0"/>
        <w:rPr>
          <w:snapToGrid/>
          <w:kern w:val="2"/>
          <w:sz w:val="20"/>
          <w:lang w:val="en-US"/>
        </w:rPr>
      </w:pPr>
      <w:r w:rsidRPr="00FC7BBB">
        <w:rPr>
          <w:snapToGrid/>
          <w:kern w:val="2"/>
          <w:sz w:val="20"/>
          <w:lang w:val="en-US"/>
        </w:rPr>
        <w:t>Proposal</w:t>
      </w:r>
      <w:r w:rsidR="00EE18ED">
        <w:rPr>
          <w:snapToGrid/>
          <w:kern w:val="2"/>
          <w:sz w:val="20"/>
          <w:lang w:val="en-US"/>
        </w:rPr>
        <w:t xml:space="preserve"> 3</w:t>
      </w:r>
      <w:r w:rsidRPr="00FC7BBB">
        <w:rPr>
          <w:snapToGrid/>
          <w:kern w:val="2"/>
          <w:sz w:val="20"/>
          <w:lang w:val="en-US"/>
        </w:rPr>
        <w:t xml:space="preserve">: </w:t>
      </w:r>
      <w:r>
        <w:rPr>
          <w:snapToGrid/>
          <w:kern w:val="2"/>
          <w:sz w:val="20"/>
          <w:lang w:val="en-US"/>
        </w:rPr>
        <w:t xml:space="preserve">Reducing the feedback payload size can be considered </w:t>
      </w:r>
      <w:r w:rsidR="00097067">
        <w:rPr>
          <w:snapToGrid/>
          <w:kern w:val="2"/>
          <w:sz w:val="20"/>
          <w:lang w:val="en-US"/>
        </w:rPr>
        <w:t>including</w:t>
      </w:r>
      <w:r>
        <w:rPr>
          <w:snapToGrid/>
          <w:kern w:val="2"/>
          <w:sz w:val="20"/>
          <w:lang w:val="en-US"/>
        </w:rPr>
        <w:t xml:space="preserve"> configuring the number of supported HARQ p</w:t>
      </w:r>
      <w:r w:rsidR="00097067">
        <w:rPr>
          <w:snapToGrid/>
          <w:kern w:val="2"/>
          <w:sz w:val="20"/>
          <w:lang w:val="en-US"/>
        </w:rPr>
        <w:t>rocesses or bundling the HARQ ACK feedbacks</w:t>
      </w:r>
      <w:r>
        <w:rPr>
          <w:snapToGrid/>
          <w:kern w:val="2"/>
          <w:sz w:val="20"/>
          <w:lang w:val="en-US"/>
        </w:rPr>
        <w:t xml:space="preserve"> over processes, codewords, or both. </w:t>
      </w:r>
    </w:p>
    <w:p w14:paraId="7CBEAC7E" w14:textId="6813CC13" w:rsidR="009F5DDA" w:rsidRDefault="009F5DDA" w:rsidP="009F5DDA">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 xml:space="preserve">Discussion on the </w:t>
      </w:r>
      <w:r w:rsidR="001E10A2">
        <w:rPr>
          <w:rFonts w:ascii="Arial" w:hAnsi="Arial" w:cs="Arial"/>
          <w:lang w:val="en-US"/>
        </w:rPr>
        <w:t>need of UCI cell group</w:t>
      </w:r>
    </w:p>
    <w:p w14:paraId="1E0A9CB9" w14:textId="29E2FC4A" w:rsidR="00EE18ED" w:rsidRDefault="001E10A2"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Apart from the discussion on the possible design on the dynamic triggering of HARQ ACK feedback under the</w:t>
      </w:r>
      <w:r w:rsidR="00097067">
        <w:rPr>
          <w:b w:val="0"/>
          <w:snapToGrid/>
          <w:color w:val="000000" w:themeColor="text1"/>
          <w:kern w:val="2"/>
          <w:sz w:val="20"/>
          <w:lang w:val="en-US"/>
        </w:rPr>
        <w:t xml:space="preserve"> current</w:t>
      </w:r>
      <w:r>
        <w:rPr>
          <w:b w:val="0"/>
          <w:snapToGrid/>
          <w:color w:val="000000" w:themeColor="text1"/>
          <w:kern w:val="2"/>
          <w:sz w:val="20"/>
          <w:lang w:val="en-US"/>
        </w:rPr>
        <w:t xml:space="preserve"> working assumption on the UCI cell group, it is questionable whether the UCI cell group concept </w:t>
      </w:r>
      <w:r w:rsidR="00EE18ED">
        <w:rPr>
          <w:b w:val="0"/>
          <w:snapToGrid/>
          <w:color w:val="000000" w:themeColor="text1"/>
          <w:kern w:val="2"/>
          <w:sz w:val="20"/>
          <w:lang w:val="en-US"/>
        </w:rPr>
        <w:t>should be introduced within the scope of</w:t>
      </w:r>
      <w:r>
        <w:rPr>
          <w:b w:val="0"/>
          <w:snapToGrid/>
          <w:color w:val="000000" w:themeColor="text1"/>
          <w:kern w:val="2"/>
          <w:sz w:val="20"/>
          <w:lang w:val="en-US"/>
        </w:rPr>
        <w:t xml:space="preserve"> the current work item. </w:t>
      </w:r>
      <w:r w:rsidR="00422E31">
        <w:rPr>
          <w:b w:val="0"/>
          <w:snapToGrid/>
          <w:color w:val="000000" w:themeColor="text1"/>
          <w:kern w:val="2"/>
          <w:sz w:val="20"/>
          <w:lang w:val="en-US"/>
        </w:rPr>
        <w:t>The UCI cell group may be short-lived</w:t>
      </w:r>
      <w:r w:rsidR="00EE18ED">
        <w:rPr>
          <w:b w:val="0"/>
          <w:snapToGrid/>
          <w:color w:val="000000" w:themeColor="text1"/>
          <w:kern w:val="2"/>
          <w:sz w:val="20"/>
          <w:lang w:val="en-US"/>
        </w:rPr>
        <w:t xml:space="preserve"> and become obsolete once PUCCH is introduced in the later stage of the current release.</w:t>
      </w:r>
    </w:p>
    <w:p w14:paraId="7752EA12" w14:textId="47F57905" w:rsidR="00605719" w:rsidRDefault="00605719"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On the other hand, given the agreement “</w:t>
      </w:r>
      <w:r w:rsidRPr="00605719">
        <w:rPr>
          <w:b w:val="0"/>
          <w:snapToGrid/>
          <w:color w:val="000000" w:themeColor="text1"/>
          <w:kern w:val="2"/>
          <w:sz w:val="20"/>
          <w:lang w:val="en-US"/>
        </w:rPr>
        <w:t>All HARQ-ACKs for SCells within the UCI cell group are always carried on PUSCH on one or more SCells within the UCI cell group when the UCI cell group is configured</w:t>
      </w:r>
      <w:r>
        <w:rPr>
          <w:b w:val="0"/>
          <w:snapToGrid/>
          <w:color w:val="000000" w:themeColor="text1"/>
          <w:kern w:val="2"/>
          <w:sz w:val="20"/>
          <w:lang w:val="en-US"/>
        </w:rPr>
        <w:t xml:space="preserve">,” the UCI for the configured UCI cell group should remain within the UCI cell group. </w:t>
      </w:r>
      <w:r w:rsidR="00F31330">
        <w:rPr>
          <w:b w:val="0"/>
          <w:snapToGrid/>
          <w:color w:val="000000" w:themeColor="text1"/>
          <w:kern w:val="2"/>
          <w:sz w:val="20"/>
          <w:lang w:val="en-US"/>
        </w:rPr>
        <w:t xml:space="preserve">This implies that there could be no fallback option of re-routing to the licensed carrier. </w:t>
      </w:r>
      <w:r w:rsidR="00097067">
        <w:rPr>
          <w:b w:val="0"/>
          <w:snapToGrid/>
          <w:color w:val="000000" w:themeColor="text1"/>
          <w:kern w:val="2"/>
          <w:sz w:val="20"/>
          <w:lang w:val="en-US"/>
        </w:rPr>
        <w:t>Thus, the</w:t>
      </w:r>
      <w:bookmarkStart w:id="4" w:name="_GoBack"/>
      <w:bookmarkEnd w:id="4"/>
      <w:r w:rsidR="00F31330">
        <w:rPr>
          <w:b w:val="0"/>
          <w:snapToGrid/>
          <w:color w:val="000000" w:themeColor="text1"/>
          <w:kern w:val="2"/>
          <w:sz w:val="20"/>
          <w:lang w:val="en-US"/>
        </w:rPr>
        <w:t xml:space="preserve"> UCI cell group can cause unexpectedly long delay in the HARQ ACK feedback and such delay can be especially detrimental to the CA operation with a licensed carrier.</w:t>
      </w:r>
    </w:p>
    <w:p w14:paraId="6B067D44" w14:textId="0AFC0B4C" w:rsidR="001E10A2" w:rsidRDefault="00F93408"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Thus</w:t>
      </w:r>
      <w:r w:rsidR="00EE18ED">
        <w:rPr>
          <w:b w:val="0"/>
          <w:snapToGrid/>
          <w:color w:val="000000" w:themeColor="text1"/>
          <w:kern w:val="2"/>
          <w:sz w:val="20"/>
          <w:lang w:val="en-US"/>
        </w:rPr>
        <w:t xml:space="preserve">, we are skeptical of introducing such temporary concept of UCI cell group. </w:t>
      </w:r>
      <w:r w:rsidR="00C26B7E">
        <w:rPr>
          <w:b w:val="0"/>
          <w:snapToGrid/>
          <w:color w:val="000000" w:themeColor="text1"/>
          <w:kern w:val="2"/>
          <w:sz w:val="20"/>
          <w:lang w:val="en-US"/>
        </w:rPr>
        <w:t xml:space="preserve">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19293A9" w14:textId="57D2D34C" w:rsidR="00915C3F" w:rsidRPr="00EE18ED" w:rsidRDefault="00027345" w:rsidP="00EE18ED">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discussed</w:t>
      </w:r>
      <w:r w:rsidR="00EE18ED">
        <w:rPr>
          <w:sz w:val="20"/>
          <w:szCs w:val="20"/>
          <w:lang w:val="en-US"/>
        </w:rPr>
        <w:t xml:space="preserve"> about the UCI transmission for eLAA SCells and the following proposals were made under the current working assumption. </w:t>
      </w:r>
    </w:p>
    <w:p w14:paraId="37DC5674" w14:textId="77777777" w:rsidR="00EE18ED" w:rsidRDefault="00EE18ED" w:rsidP="00EE18ED">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t>
      </w:r>
      <w:r>
        <w:rPr>
          <w:snapToGrid/>
          <w:kern w:val="2"/>
          <w:sz w:val="20"/>
          <w:lang w:val="en-US"/>
        </w:rPr>
        <w:t>Within the UCI cell group, the transmission of HARQ ACKs is based on the triggering, which evokes the transmission of all the pending feedback messages satisfying the processing delay.</w:t>
      </w:r>
    </w:p>
    <w:p w14:paraId="018EFCBB" w14:textId="77777777" w:rsidR="00EE18ED" w:rsidRDefault="00EE18ED" w:rsidP="00EE18ED">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2</w:t>
      </w:r>
      <w:r w:rsidRPr="00FC7BBB">
        <w:rPr>
          <w:snapToGrid/>
          <w:kern w:val="2"/>
          <w:sz w:val="20"/>
          <w:lang w:val="en-US"/>
        </w:rPr>
        <w:t xml:space="preserve">: </w:t>
      </w:r>
      <w:r>
        <w:rPr>
          <w:snapToGrid/>
          <w:kern w:val="2"/>
          <w:sz w:val="20"/>
          <w:lang w:val="en-US"/>
        </w:rPr>
        <w:t>Bitmap based HARQ process association is used for HARQ ACK feedback in UCI cell group.</w:t>
      </w:r>
    </w:p>
    <w:p w14:paraId="3AC4C5BF" w14:textId="77777777" w:rsidR="00097067" w:rsidRDefault="00097067" w:rsidP="00097067">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3</w:t>
      </w:r>
      <w:r w:rsidRPr="00FC7BBB">
        <w:rPr>
          <w:snapToGrid/>
          <w:kern w:val="2"/>
          <w:sz w:val="20"/>
          <w:lang w:val="en-US"/>
        </w:rPr>
        <w:t xml:space="preserve">: </w:t>
      </w:r>
      <w:r>
        <w:rPr>
          <w:snapToGrid/>
          <w:kern w:val="2"/>
          <w:sz w:val="20"/>
          <w:lang w:val="en-US"/>
        </w:rPr>
        <w:t xml:space="preserve">Reducing the feedback payload size can be considered including configuring the number of supported HARQ processes or bundling the HARQ ACK feedbacks over processes, codewords, or both. </w:t>
      </w: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56F1D0E4" w14:textId="2DDF3E21" w:rsidR="004C6009" w:rsidRDefault="00970EC2" w:rsidP="00991F9D">
      <w:pPr>
        <w:pStyle w:val="LGTdoc"/>
        <w:spacing w:before="120" w:after="120"/>
        <w:ind w:left="300" w:hangingChars="150" w:hanging="300"/>
        <w:jc w:val="left"/>
        <w:rPr>
          <w:sz w:val="20"/>
        </w:rPr>
      </w:pPr>
      <w:r w:rsidRPr="00FC7BBB">
        <w:rPr>
          <w:sz w:val="20"/>
        </w:rPr>
        <w:t xml:space="preserve">[1] </w:t>
      </w:r>
      <w:r w:rsidR="004C6009">
        <w:rPr>
          <w:sz w:val="20"/>
        </w:rPr>
        <w:t>RAN1 Chairman’s Note</w:t>
      </w:r>
      <w:r w:rsidR="004C6009" w:rsidRPr="00EF467A">
        <w:rPr>
          <w:sz w:val="20"/>
        </w:rPr>
        <w:t>, 3GPP TSG RAN WG1 Meeting #84, February, 2016</w:t>
      </w:r>
    </w:p>
    <w:p w14:paraId="0DAB2549" w14:textId="4E00E400" w:rsidR="00954DD9" w:rsidRDefault="00954DD9" w:rsidP="00EE18ED">
      <w:pPr>
        <w:pStyle w:val="LGTdoc"/>
        <w:spacing w:before="120" w:after="120"/>
        <w:jc w:val="left"/>
        <w:rPr>
          <w:sz w:val="20"/>
        </w:rPr>
      </w:pPr>
    </w:p>
    <w:sectPr w:rsidR="00954DD9" w:rsidSect="00FC27AE">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7DC2" w14:textId="77777777" w:rsidR="0064676A" w:rsidRDefault="0064676A">
      <w:r>
        <w:separator/>
      </w:r>
    </w:p>
  </w:endnote>
  <w:endnote w:type="continuationSeparator" w:id="0">
    <w:p w14:paraId="79C2A55B" w14:textId="77777777" w:rsidR="0064676A" w:rsidRDefault="0064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70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06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EAFFF" w14:textId="77777777" w:rsidR="0064676A" w:rsidRDefault="0064676A">
      <w:r>
        <w:separator/>
      </w:r>
    </w:p>
  </w:footnote>
  <w:footnote w:type="continuationSeparator" w:id="0">
    <w:p w14:paraId="370BA4E9" w14:textId="77777777" w:rsidR="0064676A" w:rsidRDefault="00646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BE6737"/>
    <w:multiLevelType w:val="hybridMultilevel"/>
    <w:tmpl w:val="39C0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8"/>
  </w:num>
  <w:num w:numId="5">
    <w:abstractNumId w:val="3"/>
  </w:num>
  <w:num w:numId="6">
    <w:abstractNumId w:val="5"/>
  </w:num>
  <w:num w:numId="7">
    <w:abstractNumId w:val="2"/>
  </w:num>
  <w:num w:numId="8">
    <w:abstractNumId w:val="1"/>
  </w:num>
  <w:num w:numId="9">
    <w:abstractNumId w:val="9"/>
  </w:num>
  <w:num w:numId="1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67"/>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5"/>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10A2"/>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2FD"/>
    <w:rsid w:val="002C782F"/>
    <w:rsid w:val="002C7B03"/>
    <w:rsid w:val="002C7B0D"/>
    <w:rsid w:val="002C7D95"/>
    <w:rsid w:val="002D001E"/>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A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2E31"/>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871"/>
    <w:rsid w:val="00453C18"/>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21"/>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009"/>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31"/>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719"/>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981"/>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676A"/>
    <w:rsid w:val="006467F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BD8"/>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31"/>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1B2"/>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46E"/>
    <w:rsid w:val="007F18C0"/>
    <w:rsid w:val="007F22A5"/>
    <w:rsid w:val="007F2DBB"/>
    <w:rsid w:val="007F2ED4"/>
    <w:rsid w:val="007F3FB0"/>
    <w:rsid w:val="007F43A9"/>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6CA"/>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3D3"/>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EF"/>
    <w:rsid w:val="008E5B5F"/>
    <w:rsid w:val="008E5D5A"/>
    <w:rsid w:val="008E6264"/>
    <w:rsid w:val="008E6333"/>
    <w:rsid w:val="008E666F"/>
    <w:rsid w:val="008E6788"/>
    <w:rsid w:val="008E708F"/>
    <w:rsid w:val="008E791A"/>
    <w:rsid w:val="008E7DB3"/>
    <w:rsid w:val="008F01AB"/>
    <w:rsid w:val="008F0460"/>
    <w:rsid w:val="008F0621"/>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420"/>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4DD9"/>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5DDA"/>
    <w:rsid w:val="009F6410"/>
    <w:rsid w:val="009F6457"/>
    <w:rsid w:val="009F669B"/>
    <w:rsid w:val="009F66DF"/>
    <w:rsid w:val="009F7169"/>
    <w:rsid w:val="009F76CB"/>
    <w:rsid w:val="009F7883"/>
    <w:rsid w:val="009F7CB0"/>
    <w:rsid w:val="00A00519"/>
    <w:rsid w:val="00A01006"/>
    <w:rsid w:val="00A011C6"/>
    <w:rsid w:val="00A02B26"/>
    <w:rsid w:val="00A0315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A7D97"/>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B7DC0"/>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568"/>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37B36"/>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C04"/>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6B7E"/>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70AA"/>
    <w:rsid w:val="00C47459"/>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30ED"/>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25C"/>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1A3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314"/>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135"/>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0CF3"/>
    <w:rsid w:val="00E51548"/>
    <w:rsid w:val="00E515A3"/>
    <w:rsid w:val="00E51E23"/>
    <w:rsid w:val="00E52CCE"/>
    <w:rsid w:val="00E52F76"/>
    <w:rsid w:val="00E53098"/>
    <w:rsid w:val="00E5315C"/>
    <w:rsid w:val="00E538E0"/>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8ED"/>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330"/>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08"/>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DF47A94-5F31-4176-897F-6DDA2B43246B}">
  <ds:schemaRefs>
    <ds:schemaRef ds:uri="http://schemas.openxmlformats.org/officeDocument/2006/bibliography"/>
  </ds:schemaRefs>
</ds:datastoreItem>
</file>

<file path=customXml/itemProps5.xml><?xml version="1.0" encoding="utf-8"?>
<ds:datastoreItem xmlns:ds="http://schemas.openxmlformats.org/officeDocument/2006/customXml" ds:itemID="{C71FCF53-3C69-45DC-84D6-8F63D35E6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828</Words>
  <Characters>4166</Characters>
  <Application>Microsoft Office Word</Application>
  <DocSecurity>0</DocSecurity>
  <Lines>71</Lines>
  <Paragraphs>40</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7</cp:revision>
  <cp:lastPrinted>2015-11-06T09:53:00Z</cp:lastPrinted>
  <dcterms:created xsi:type="dcterms:W3CDTF">2016-05-12T17:27:00Z</dcterms:created>
  <dcterms:modified xsi:type="dcterms:W3CDTF">2016-05-14T03:39:00Z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19e5fa4f-c664-4386-9d37-225435d33b5e</vt:lpwstr>
  </property>
  <property fmtid="{D5CDD505-2E9C-101B-9397-08002B2CF9AE}" pid="4" name="CTP_TimeStamp">
    <vt:lpwstr>2016-05-14 03:39:29Z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