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F62" w:rsidRPr="00626F62" w:rsidRDefault="00626F62" w:rsidP="00626F62">
      <w:pPr>
        <w:pStyle w:val="FootnoteText"/>
        <w:tabs>
          <w:tab w:val="left" w:pos="8222"/>
        </w:tabs>
        <w:rPr>
          <w:rFonts w:ascii="Arial" w:eastAsia="Times New Roman" w:hAnsi="Arial" w:cs="Arial"/>
          <w:b/>
          <w:bCs/>
          <w:noProof/>
          <w:szCs w:val="18"/>
          <w:lang w:eastAsia="zh-CN"/>
        </w:rPr>
      </w:pPr>
      <w:bookmarkStart w:id="0" w:name="OLE_LINK1"/>
      <w:r w:rsidRPr="00626F62">
        <w:rPr>
          <w:rFonts w:ascii="Arial" w:eastAsia="Times New Roman" w:hAnsi="Arial" w:cs="Arial"/>
          <w:b/>
          <w:bCs/>
          <w:noProof/>
          <w:szCs w:val="18"/>
          <w:lang w:eastAsia="zh-CN"/>
        </w:rPr>
        <w:t>3GPP T</w:t>
      </w:r>
      <w:r w:rsidR="00DC659E">
        <w:rPr>
          <w:rFonts w:ascii="Arial" w:eastAsia="Times New Roman" w:hAnsi="Arial" w:cs="Arial"/>
          <w:b/>
          <w:bCs/>
          <w:noProof/>
          <w:szCs w:val="18"/>
          <w:lang w:eastAsia="zh-CN"/>
        </w:rPr>
        <w:t>SG RAN WG1 Meeting #8</w:t>
      </w:r>
      <w:r w:rsidR="00072168">
        <w:rPr>
          <w:rFonts w:ascii="Arial" w:eastAsia="Times New Roman" w:hAnsi="Arial" w:cs="Arial"/>
          <w:b/>
          <w:bCs/>
          <w:noProof/>
          <w:szCs w:val="18"/>
          <w:lang w:eastAsia="zh-CN"/>
        </w:rPr>
        <w:t>4</w:t>
      </w:r>
      <w:r w:rsidR="00DC659E">
        <w:rPr>
          <w:rFonts w:ascii="Arial" w:eastAsia="Times New Roman" w:hAnsi="Arial" w:cs="Arial"/>
          <w:b/>
          <w:bCs/>
          <w:noProof/>
          <w:szCs w:val="18"/>
          <w:lang w:eastAsia="zh-CN"/>
        </w:rPr>
        <w:tab/>
      </w:r>
      <w:r w:rsidR="002C2116">
        <w:rPr>
          <w:rFonts w:ascii="Arial" w:eastAsia="Times New Roman" w:hAnsi="Arial" w:cs="Arial"/>
          <w:b/>
          <w:bCs/>
          <w:noProof/>
          <w:szCs w:val="18"/>
          <w:lang w:eastAsia="zh-CN"/>
        </w:rPr>
        <w:t>R1-161002</w:t>
      </w:r>
    </w:p>
    <w:p w:rsidR="00626F62" w:rsidRDefault="00F70579" w:rsidP="00626F62">
      <w:pPr>
        <w:pStyle w:val="FootnoteText"/>
        <w:tabs>
          <w:tab w:val="left" w:pos="8222"/>
        </w:tabs>
        <w:rPr>
          <w:rFonts w:ascii="Arial" w:eastAsia="Times New Roman" w:hAnsi="Arial" w:cs="Arial"/>
          <w:b/>
          <w:bCs/>
          <w:noProof/>
          <w:szCs w:val="18"/>
          <w:lang w:eastAsia="zh-CN"/>
        </w:rPr>
      </w:pPr>
      <w:r>
        <w:rPr>
          <w:rFonts w:ascii="Arial" w:eastAsia="Times New Roman" w:hAnsi="Arial" w:cs="Arial"/>
          <w:b/>
          <w:bCs/>
          <w:noProof/>
          <w:szCs w:val="18"/>
          <w:lang w:eastAsia="zh-CN"/>
        </w:rPr>
        <w:t>St. Julian’s</w:t>
      </w:r>
      <w:r w:rsidR="00023605" w:rsidRPr="00C976BE">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Malta, 15</w:t>
      </w:r>
      <w:r w:rsidR="00023605" w:rsidRPr="00C976BE">
        <w:rPr>
          <w:rFonts w:ascii="Arial" w:eastAsia="Times New Roman" w:hAnsi="Arial" w:cs="Arial"/>
          <w:b/>
          <w:bCs/>
          <w:noProof/>
          <w:szCs w:val="18"/>
          <w:vertAlign w:val="superscript"/>
          <w:lang w:eastAsia="zh-CN"/>
        </w:rPr>
        <w:t>th</w:t>
      </w:r>
      <w:r>
        <w:rPr>
          <w:rFonts w:ascii="Arial" w:eastAsia="Times New Roman" w:hAnsi="Arial" w:cs="Arial"/>
          <w:b/>
          <w:bCs/>
          <w:noProof/>
          <w:szCs w:val="18"/>
          <w:lang w:eastAsia="zh-CN"/>
        </w:rPr>
        <w:t xml:space="preserve"> – 19</w:t>
      </w:r>
      <w:r w:rsidR="00023605" w:rsidRPr="00C976BE">
        <w:rPr>
          <w:rFonts w:ascii="Arial" w:eastAsia="Times New Roman" w:hAnsi="Arial" w:cs="Arial"/>
          <w:b/>
          <w:bCs/>
          <w:noProof/>
          <w:szCs w:val="18"/>
          <w:vertAlign w:val="superscript"/>
          <w:lang w:eastAsia="zh-CN"/>
        </w:rPr>
        <w:t>th</w:t>
      </w:r>
      <w:r w:rsidR="00023605" w:rsidRPr="00C976BE">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February</w:t>
      </w:r>
      <w:r w:rsidR="00023605" w:rsidRPr="00C976BE">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2016</w:t>
      </w:r>
    </w:p>
    <w:p w:rsidR="00741C50" w:rsidRPr="00E70914" w:rsidRDefault="00741C50" w:rsidP="007E4D40">
      <w:pPr>
        <w:pStyle w:val="Header"/>
        <w:tabs>
          <w:tab w:val="clear" w:pos="4536"/>
          <w:tab w:val="left" w:pos="1800"/>
        </w:tabs>
        <w:ind w:left="1800" w:hanging="1800"/>
        <w:jc w:val="both"/>
      </w:pPr>
    </w:p>
    <w:p w:rsidR="007E4D40" w:rsidRPr="00E70914" w:rsidRDefault="007E4D40" w:rsidP="007E4D40">
      <w:pPr>
        <w:pStyle w:val="Header"/>
        <w:tabs>
          <w:tab w:val="clear" w:pos="4536"/>
          <w:tab w:val="left" w:pos="1800"/>
        </w:tabs>
        <w:ind w:left="1800" w:hanging="1800"/>
        <w:jc w:val="both"/>
      </w:pPr>
      <w:bookmarkStart w:id="1" w:name="_GoBack"/>
      <w:bookmarkEnd w:id="1"/>
      <w:r w:rsidRPr="00E70914">
        <w:t>Source:</w:t>
      </w:r>
      <w:r w:rsidRPr="00E70914">
        <w:tab/>
        <w:t>Ericsson</w:t>
      </w:r>
    </w:p>
    <w:p w:rsidR="00923649" w:rsidRDefault="007E4D40" w:rsidP="007E4D40">
      <w:pPr>
        <w:pStyle w:val="Header"/>
        <w:tabs>
          <w:tab w:val="left" w:pos="1800"/>
        </w:tabs>
        <w:jc w:val="both"/>
      </w:pPr>
      <w:r w:rsidRPr="00E70914">
        <w:t>Title:</w:t>
      </w:r>
      <w:r w:rsidRPr="00E70914">
        <w:tab/>
      </w:r>
      <w:r w:rsidR="002C2116">
        <w:t>On an LAA SCell with 10 MHz Bandwidth</w:t>
      </w:r>
    </w:p>
    <w:p w:rsidR="007E4D40" w:rsidRPr="00E70914" w:rsidRDefault="00366D7B" w:rsidP="007E4D40">
      <w:pPr>
        <w:pStyle w:val="Header"/>
        <w:tabs>
          <w:tab w:val="left" w:pos="1800"/>
        </w:tabs>
        <w:jc w:val="both"/>
      </w:pPr>
      <w:r>
        <w:t>Agenda Item:</w:t>
      </w:r>
      <w:r w:rsidR="001B0DC3">
        <w:tab/>
      </w:r>
      <w:r w:rsidR="002C2116">
        <w:t>7.3.1.6</w:t>
      </w:r>
    </w:p>
    <w:p w:rsidR="007E4D40" w:rsidRPr="00E70914" w:rsidRDefault="007E4D40" w:rsidP="007E4D40">
      <w:pPr>
        <w:pStyle w:val="Header"/>
        <w:tabs>
          <w:tab w:val="left" w:pos="1800"/>
        </w:tabs>
        <w:jc w:val="both"/>
      </w:pPr>
      <w:r w:rsidRPr="00E70914">
        <w:t>Document for:</w:t>
      </w:r>
      <w:r w:rsidRPr="00E70914">
        <w:tab/>
        <w:t>Discussion and Decision</w:t>
      </w:r>
    </w:p>
    <w:bookmarkEnd w:id="0"/>
    <w:p w:rsidR="002443A0" w:rsidRPr="00E70914" w:rsidRDefault="002443A0" w:rsidP="002443A0">
      <w:pPr>
        <w:pBdr>
          <w:bottom w:val="single" w:sz="4" w:space="1" w:color="auto"/>
        </w:pBdr>
        <w:tabs>
          <w:tab w:val="left" w:pos="2552"/>
        </w:tabs>
        <w:jc w:val="both"/>
      </w:pPr>
    </w:p>
    <w:p w:rsidR="002443A0" w:rsidRDefault="002443A0" w:rsidP="002443A0">
      <w:pPr>
        <w:pStyle w:val="Heading1"/>
        <w:jc w:val="both"/>
      </w:pPr>
      <w:bookmarkStart w:id="2" w:name="_Ref301342314"/>
      <w:r w:rsidRPr="00E70914">
        <w:t>Introduction</w:t>
      </w:r>
      <w:bookmarkEnd w:id="2"/>
    </w:p>
    <w:p w:rsidR="005F511E" w:rsidRPr="00423DF8" w:rsidRDefault="00E0738F" w:rsidP="00423DF8">
      <w:pPr>
        <w:pStyle w:val="BodyText"/>
      </w:pPr>
      <w:r>
        <w:t>In RAN#70</w:t>
      </w:r>
      <w:r w:rsidR="00A63871">
        <w:t>, a</w:t>
      </w:r>
      <w:r w:rsidR="00B93363">
        <w:t xml:space="preserve"> </w:t>
      </w:r>
      <w:r w:rsidR="00A63871">
        <w:t xml:space="preserve">work item on </w:t>
      </w:r>
      <w:r w:rsidR="005E07AF">
        <w:t xml:space="preserve">enhanced </w:t>
      </w:r>
      <w:r w:rsidR="00A63871">
        <w:t>Licensed-Assisted</w:t>
      </w:r>
      <w:r w:rsidR="00D650DE">
        <w:t xml:space="preserve"> </w:t>
      </w:r>
      <w:r w:rsidR="00A63871">
        <w:t xml:space="preserve">Access (LAA) to unlicensed spectrum was approved </w:t>
      </w:r>
      <w:r w:rsidR="00D650DE">
        <w:fldChar w:fldCharType="begin"/>
      </w:r>
      <w:r w:rsidR="00D650DE">
        <w:instrText xml:space="preserve"> REF _Ref427071267 \r \h </w:instrText>
      </w:r>
      <w:r w:rsidR="00D650DE">
        <w:fldChar w:fldCharType="separate"/>
      </w:r>
      <w:r w:rsidR="00336907">
        <w:t>[1]</w:t>
      </w:r>
      <w:r w:rsidR="00D650DE">
        <w:fldChar w:fldCharType="end"/>
      </w:r>
      <w:r w:rsidR="00A63871">
        <w:t>.</w:t>
      </w:r>
      <w:r w:rsidR="002C2116">
        <w:t xml:space="preserve"> The work item listed completion of the support for an LAA SCell with 10 MHz bandwidth among its objectives. While most of the work on this front was envisioned to be in RAN4, RAN1 was also listed as a working group which should consider any possible work in this area. In this contribution we provide our view on </w:t>
      </w:r>
      <w:r w:rsidR="007E6A94">
        <w:t>the support of this and conclude that there is no need to perform any work in RAN1 on this issue</w:t>
      </w:r>
      <w:r w:rsidR="00A63871">
        <w:t>.</w:t>
      </w:r>
    </w:p>
    <w:p w:rsidR="00387838" w:rsidRDefault="007E6A94" w:rsidP="00CD3827">
      <w:pPr>
        <w:pStyle w:val="Heading1"/>
        <w:jc w:val="both"/>
      </w:pPr>
      <w:bookmarkStart w:id="3" w:name="_Ref410305256"/>
      <w:r>
        <w:t>Discussion</w:t>
      </w:r>
    </w:p>
    <w:bookmarkEnd w:id="3"/>
    <w:p w:rsidR="00D92744" w:rsidRDefault="00D92744" w:rsidP="00D92744">
      <w:pPr>
        <w:pStyle w:val="Heading2"/>
      </w:pPr>
      <w:r>
        <w:t xml:space="preserve">Regional </w:t>
      </w:r>
      <w:r w:rsidR="00F5127B">
        <w:t xml:space="preserve">applicability </w:t>
      </w:r>
      <w:r>
        <w:t>restriction</w:t>
      </w:r>
    </w:p>
    <w:p w:rsidR="00607431" w:rsidRDefault="00607431" w:rsidP="005A3FC3">
      <w:pPr>
        <w:pStyle w:val="BodyText"/>
      </w:pPr>
      <w:r>
        <w:t xml:space="preserve">Appropriate bandwidth for operation of LAA SCells in different bands falls under the jurisdiction of RAN4 and RAN4 can determine the appropriate cases where 10 MHz should be used. Generally, </w:t>
      </w:r>
      <w:r w:rsidR="0071668E">
        <w:t xml:space="preserve">LAA should use 20 MHz channel bandwidths that are roughly aligned with the Wi-Fi channel definitions, as already defined by RAN4, in bands and channels where Wi-Fi also operates. In bands where Wi-Fi is absent or where an extra 10 MHz channel is available in unlicensed spectrum, as may be the case in India, LAA can operate a 10 MHz channel if necessary to utilize the spectrum efficiently. Since LAA is expected to essentially use the same channel bandwidths as Wi-Fi, when coexisting with Wi-Fi, there is no additional work needed to evaluate coexistence. </w:t>
      </w:r>
    </w:p>
    <w:p w:rsidR="00877BBB" w:rsidRDefault="00877BBB" w:rsidP="00877BBB">
      <w:pPr>
        <w:pStyle w:val="Heading2"/>
      </w:pPr>
      <w:r>
        <w:t>LBT parameters</w:t>
      </w:r>
    </w:p>
    <w:p w:rsidR="00877BBB" w:rsidRDefault="00877BBB" w:rsidP="005A3FC3">
      <w:pPr>
        <w:pStyle w:val="BodyText"/>
      </w:pPr>
      <w:r>
        <w:t xml:space="preserve">The RAN1 specifications are generally bandwidth agnostic and this is the case for LAA </w:t>
      </w:r>
      <w:proofErr w:type="spellStart"/>
      <w:r>
        <w:t>SCells</w:t>
      </w:r>
      <w:proofErr w:type="spellEnd"/>
      <w:r>
        <w:t xml:space="preserve"> as well. One aspect that was specified explicitly for 20 MHz bandwidths was a term in the calculation of the maximum energy detection threshold </w:t>
      </w:r>
      <w:r w:rsidRPr="00577BE8">
        <w:rPr>
          <w:position w:val="-14"/>
        </w:rPr>
        <w:object w:dxaOrig="9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5pt;height:18.9pt" o:ole="">
            <v:imagedata r:id="rId9" o:title=""/>
          </v:shape>
          <o:OLEObject Type="Embed" ProgID="Equation.3" ShapeID="_x0000_i1025" DrawAspect="Content" ObjectID="_1516208792" r:id="rId10"/>
        </w:object>
      </w:r>
      <w:r>
        <w:t xml:space="preserve">which was set to -72 </w:t>
      </w:r>
      <w:proofErr w:type="spellStart"/>
      <w:r>
        <w:t>dBm</w:t>
      </w:r>
      <w:proofErr w:type="spellEnd"/>
      <w:r>
        <w:t xml:space="preserve"> for a 20 MHz bandwidth. However, this is applicable when the absence of Wi-Fi cannot be guaranteed. As discussed in the previous section, the 10 MHz system bandwidth should only be used when it is clear that Wi-Fi is not operating on a carrier with overlapping spectrum. If this condition is satisfied, then the energy detection thresholds are also specified in a way that is bandwidth agnostic.</w:t>
      </w:r>
    </w:p>
    <w:p w:rsidR="00D92744" w:rsidRDefault="00D92744" w:rsidP="00D92744">
      <w:pPr>
        <w:pStyle w:val="Heading2"/>
      </w:pPr>
      <w:r>
        <w:t>UL resource allocation</w:t>
      </w:r>
    </w:p>
    <w:p w:rsidR="00D92744" w:rsidRDefault="00D92744" w:rsidP="005A3FC3">
      <w:pPr>
        <w:pStyle w:val="BodyText"/>
      </w:pPr>
      <w:r>
        <w:t xml:space="preserve">Regarding the number of UL interlaces </w:t>
      </w:r>
      <w:r>
        <w:fldChar w:fldCharType="begin"/>
      </w:r>
      <w:r>
        <w:instrText xml:space="preserve"> REF _Ref442451168 \r \h </w:instrText>
      </w:r>
      <w:r>
        <w:fldChar w:fldCharType="separate"/>
      </w:r>
      <w:r w:rsidR="00336907">
        <w:t>[2]</w:t>
      </w:r>
      <w:r>
        <w:fldChar w:fldCharType="end"/>
      </w:r>
      <w:r>
        <w:t xml:space="preserve"> to use for a 10 MHz</w:t>
      </w:r>
      <w:r w:rsidR="000D10E6">
        <w:t xml:space="preserve"> LAA SCell</w:t>
      </w:r>
      <w:r>
        <w:t xml:space="preserve">, at least the following two factors should be considered: UL transmit power limitation and resource capacity for </w:t>
      </w:r>
      <w:proofErr w:type="gramStart"/>
      <w:r>
        <w:t>an interlace</w:t>
      </w:r>
      <w:proofErr w:type="gramEnd"/>
      <w:r>
        <w:t>.</w:t>
      </w:r>
    </w:p>
    <w:p w:rsidR="000D10E6" w:rsidRDefault="00D92744" w:rsidP="005A3FC3">
      <w:pPr>
        <w:pStyle w:val="BodyText"/>
      </w:pPr>
      <w:r>
        <w:t xml:space="preserve">As discussed in </w:t>
      </w:r>
      <w:r>
        <w:fldChar w:fldCharType="begin"/>
      </w:r>
      <w:r>
        <w:instrText xml:space="preserve"> REF _Ref442451168 \r \h </w:instrText>
      </w:r>
      <w:r>
        <w:fldChar w:fldCharType="separate"/>
      </w:r>
      <w:r w:rsidR="00336907">
        <w:t>[2]</w:t>
      </w:r>
      <w:r>
        <w:fldChar w:fldCharType="end"/>
      </w:r>
      <w:r>
        <w:t xml:space="preserve">, a new interlaced resource allocation is needed for LAA UL </w:t>
      </w:r>
      <w:proofErr w:type="spellStart"/>
      <w:r>
        <w:t>SCell</w:t>
      </w:r>
      <w:proofErr w:type="spellEnd"/>
      <w:r>
        <w:t xml:space="preserve"> to </w:t>
      </w:r>
      <w:r w:rsidR="002B189F">
        <w:t xml:space="preserve">operate efficiently in the presence of </w:t>
      </w:r>
      <w:r>
        <w:t xml:space="preserve">power spectral density limits. </w:t>
      </w:r>
      <w:r w:rsidRPr="00D92744">
        <w:t xml:space="preserve">For most cases the requirement is stated with a resolution bandwidth of 1 </w:t>
      </w:r>
      <w:proofErr w:type="spellStart"/>
      <w:r w:rsidRPr="00D92744">
        <w:t>MHz.</w:t>
      </w:r>
      <w:proofErr w:type="spellEnd"/>
      <w:r>
        <w:t xml:space="preserve"> </w:t>
      </w:r>
      <w:r w:rsidRPr="00D92744">
        <w:t xml:space="preserve">For example, the ETSI 301 893 specs requires 10 </w:t>
      </w:r>
      <w:proofErr w:type="spellStart"/>
      <w:r w:rsidRPr="00D92744">
        <w:t>dBm</w:t>
      </w:r>
      <w:proofErr w:type="spellEnd"/>
      <w:r w:rsidRPr="00D92744">
        <w:t xml:space="preserve">/MHz for 5150-5350 </w:t>
      </w:r>
      <w:proofErr w:type="spellStart"/>
      <w:r w:rsidRPr="00D92744">
        <w:t>MHz.</w:t>
      </w:r>
      <w:proofErr w:type="spellEnd"/>
      <w:r>
        <w:t xml:space="preserve"> Based on these consideration</w:t>
      </w:r>
      <w:r w:rsidR="002B189F">
        <w:t>s</w:t>
      </w:r>
      <w:r>
        <w:t xml:space="preserve">, we calculate and show the transmit power limitations using different UL resource allocation schemes in </w:t>
      </w:r>
      <w:r>
        <w:fldChar w:fldCharType="begin"/>
      </w:r>
      <w:r>
        <w:instrText xml:space="preserve"> REF _Ref442451494 \h </w:instrText>
      </w:r>
      <w:r>
        <w:fldChar w:fldCharType="separate"/>
      </w:r>
      <w:r w:rsidR="00336907">
        <w:t xml:space="preserve">Figure </w:t>
      </w:r>
      <w:r w:rsidR="00336907">
        <w:rPr>
          <w:noProof/>
        </w:rPr>
        <w:t>1</w:t>
      </w:r>
      <w:r>
        <w:fldChar w:fldCharType="end"/>
      </w:r>
      <w:r>
        <w:t xml:space="preserve">. It can be observed that </w:t>
      </w:r>
      <w:r w:rsidR="000D10E6">
        <w:t>using five interlaces in a 10 MHz LAA SCell allows the UE to transmit at higher power when it is located at the cell edge.</w:t>
      </w:r>
    </w:p>
    <w:p w:rsidR="00336907" w:rsidRPr="000D10E6" w:rsidRDefault="00336907" w:rsidP="00336907">
      <w:pPr>
        <w:pStyle w:val="BodyText"/>
        <w:rPr>
          <w:b/>
        </w:rPr>
      </w:pPr>
      <w:r w:rsidRPr="000D10E6">
        <w:rPr>
          <w:b/>
        </w:rPr>
        <w:lastRenderedPageBreak/>
        <w:t>Observation 1 Using five interlaces in a 10 MHz LAA SCell allows the UE to transmit at higher power when it is located at the cell edge.</w:t>
      </w:r>
    </w:p>
    <w:p w:rsidR="00D92744" w:rsidRDefault="00D92744" w:rsidP="00D92744">
      <w:pPr>
        <w:pStyle w:val="BodyText"/>
        <w:jc w:val="center"/>
      </w:pPr>
      <w:r>
        <w:rPr>
          <w:noProof/>
          <w:color w:val="1F497D"/>
        </w:rPr>
        <w:drawing>
          <wp:inline distT="0" distB="0" distL="0" distR="0" wp14:anchorId="4E892D41" wp14:editId="7F9A026E">
            <wp:extent cx="3593465" cy="2694940"/>
            <wp:effectExtent l="0" t="0" r="0" b="0"/>
            <wp:docPr id="1" name="Picture 1" descr="cid:image003.png@01D15CEE.2A39D4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15CEE.2A39D4E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593465" cy="2694940"/>
                    </a:xfrm>
                    <a:prstGeom prst="rect">
                      <a:avLst/>
                    </a:prstGeom>
                    <a:noFill/>
                    <a:ln>
                      <a:noFill/>
                    </a:ln>
                  </pic:spPr>
                </pic:pic>
              </a:graphicData>
            </a:graphic>
          </wp:inline>
        </w:drawing>
      </w:r>
    </w:p>
    <w:p w:rsidR="00D92744" w:rsidRDefault="00D92744" w:rsidP="00D92744">
      <w:pPr>
        <w:pStyle w:val="Caption"/>
        <w:jc w:val="center"/>
      </w:pPr>
      <w:bookmarkStart w:id="4" w:name="_Ref442451494"/>
      <w:r>
        <w:t xml:space="preserve">Figure </w:t>
      </w:r>
      <w:r w:rsidR="0085767A">
        <w:fldChar w:fldCharType="begin"/>
      </w:r>
      <w:r w:rsidR="0085767A">
        <w:instrText xml:space="preserve"> SEQ Figure \* ARABIC </w:instrText>
      </w:r>
      <w:r w:rsidR="0085767A">
        <w:fldChar w:fldCharType="separate"/>
      </w:r>
      <w:r w:rsidR="00336907">
        <w:rPr>
          <w:noProof/>
        </w:rPr>
        <w:t>1</w:t>
      </w:r>
      <w:r w:rsidR="0085767A">
        <w:rPr>
          <w:noProof/>
        </w:rPr>
        <w:fldChar w:fldCharType="end"/>
      </w:r>
      <w:bookmarkEnd w:id="4"/>
      <w:r>
        <w:t xml:space="preserve"> Transmit power limitations based on different UL resource allocation schemes.</w:t>
      </w:r>
    </w:p>
    <w:p w:rsidR="00D92744" w:rsidRDefault="00D92744" w:rsidP="00D92744"/>
    <w:p w:rsidR="00D92744" w:rsidRDefault="00336907" w:rsidP="00336907">
      <w:pPr>
        <w:pStyle w:val="BodyText"/>
      </w:pPr>
      <w:r>
        <w:t xml:space="preserve">Secondly, using five interlaces avoids the resource pruning issues (for an allocation of 7 interlaces) discussed in </w:t>
      </w:r>
      <w:r>
        <w:fldChar w:fldCharType="begin"/>
      </w:r>
      <w:r>
        <w:instrText xml:space="preserve"> REF _Ref442451168 \r \h </w:instrText>
      </w:r>
      <w:r>
        <w:fldChar w:fldCharType="separate"/>
      </w:r>
      <w:r>
        <w:t>[2]</w:t>
      </w:r>
      <w:r>
        <w:fldChar w:fldCharType="end"/>
      </w:r>
      <w:r>
        <w:t xml:space="preserve">. As explicitly tabulated in </w:t>
      </w:r>
      <w:r>
        <w:fldChar w:fldCharType="begin"/>
      </w:r>
      <w:r>
        <w:instrText xml:space="preserve"> REF _Ref442452279 \h </w:instrText>
      </w:r>
      <w:r>
        <w:fldChar w:fldCharType="separate"/>
      </w:r>
      <w:r>
        <w:t xml:space="preserve">Figure </w:t>
      </w:r>
      <w:r>
        <w:rPr>
          <w:noProof/>
        </w:rPr>
        <w:t>2</w:t>
      </w:r>
      <w:r>
        <w:fldChar w:fldCharType="end"/>
      </w:r>
      <w:r>
        <w:t>, all PRBs for each interlace allocation size can be fully utilized.</w:t>
      </w:r>
    </w:p>
    <w:p w:rsidR="00336907" w:rsidRDefault="00336907" w:rsidP="00336907">
      <w:pPr>
        <w:pStyle w:val="BodyText"/>
      </w:pPr>
      <w:r>
        <w:t>Furthermore, using five interlaces in a 10 MHz LAA SCell gives each interlace the same amount of radio resources as an interlace in 20 MHz LAA SCell. Th</w:t>
      </w:r>
      <w:r w:rsidR="002B189F">
        <w:t>is</w:t>
      </w:r>
      <w:r>
        <w:t xml:space="preserve"> can simplify the LAA specs and implementation significantly</w:t>
      </w:r>
      <w:r w:rsidR="002B189F">
        <w:t xml:space="preserve"> and allow the interlace definitions to adhere to the principle of bandwidth agnostic design</w:t>
      </w:r>
      <w:r>
        <w:t>. For example, i</w:t>
      </w:r>
      <w:r w:rsidR="002B189F">
        <w:t>n</w:t>
      </w:r>
      <w:r>
        <w:t xml:space="preserve"> the discussion of PUCCH for LAA </w:t>
      </w:r>
      <w:r>
        <w:fldChar w:fldCharType="begin"/>
      </w:r>
      <w:r>
        <w:instrText xml:space="preserve"> REF _Ref442451779 \r \h </w:instrText>
      </w:r>
      <w:r>
        <w:fldChar w:fldCharType="separate"/>
      </w:r>
      <w:r>
        <w:t>[3]</w:t>
      </w:r>
      <w:r>
        <w:fldChar w:fldCharType="end"/>
      </w:r>
      <w:r>
        <w:t>, it is identified that multiplex UEs can be multiplexed into a single UL interlace. Keeping the resource capacity of an interlace the same regardless of the system bandwidth can thus make the same specs applicable to both 10 MHz or 20 MHz LAA SCells.</w:t>
      </w:r>
    </w:p>
    <w:p w:rsidR="00336907" w:rsidRPr="000D10E6" w:rsidRDefault="00336907" w:rsidP="00336907">
      <w:pPr>
        <w:pStyle w:val="BodyText"/>
        <w:rPr>
          <w:b/>
        </w:rPr>
      </w:pPr>
      <w:r w:rsidRPr="000D10E6">
        <w:rPr>
          <w:b/>
        </w:rPr>
        <w:t xml:space="preserve">Observation 2 Keeping the resource capacity of </w:t>
      </w:r>
      <w:proofErr w:type="gramStart"/>
      <w:r w:rsidRPr="000D10E6">
        <w:rPr>
          <w:b/>
        </w:rPr>
        <w:t>an interlace</w:t>
      </w:r>
      <w:proofErr w:type="gramEnd"/>
      <w:r w:rsidRPr="000D10E6">
        <w:rPr>
          <w:b/>
        </w:rPr>
        <w:t xml:space="preserve"> the same regardless of the system bandwidth can simplify the LAA specs and implementation significantly.</w:t>
      </w:r>
    </w:p>
    <w:p w:rsidR="00336907" w:rsidRDefault="00336907" w:rsidP="00336907">
      <w:pPr>
        <w:pStyle w:val="BodyText"/>
      </w:pPr>
    </w:p>
    <w:p w:rsidR="00336907" w:rsidRDefault="00336907" w:rsidP="00D92744">
      <w:r>
        <w:rPr>
          <w:noProof/>
        </w:rPr>
        <w:drawing>
          <wp:inline distT="0" distB="0" distL="0" distR="0" wp14:anchorId="035F4B93" wp14:editId="79E2FC6C">
            <wp:extent cx="5943600" cy="1133386"/>
            <wp:effectExtent l="0" t="0" r="0" b="0"/>
            <wp:docPr id="2" name="Picture 2" descr="cid:image011.png@01D15CEE.2A39D4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11.png@01D15CEE.2A39D4E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943600" cy="1133386"/>
                    </a:xfrm>
                    <a:prstGeom prst="rect">
                      <a:avLst/>
                    </a:prstGeom>
                    <a:noFill/>
                    <a:ln>
                      <a:noFill/>
                    </a:ln>
                  </pic:spPr>
                </pic:pic>
              </a:graphicData>
            </a:graphic>
          </wp:inline>
        </w:drawing>
      </w:r>
    </w:p>
    <w:p w:rsidR="00336907" w:rsidRDefault="00336907" w:rsidP="00336907">
      <w:pPr>
        <w:pStyle w:val="Caption"/>
        <w:jc w:val="center"/>
      </w:pPr>
      <w:bookmarkStart w:id="5" w:name="_Ref442452279"/>
      <w:r>
        <w:t xml:space="preserve">Figure </w:t>
      </w:r>
      <w:r w:rsidR="0085767A">
        <w:fldChar w:fldCharType="begin"/>
      </w:r>
      <w:r w:rsidR="0085767A">
        <w:instrText xml:space="preserve"> SEQ Figure \* ARABIC </w:instrText>
      </w:r>
      <w:r w:rsidR="0085767A">
        <w:fldChar w:fldCharType="separate"/>
      </w:r>
      <w:r>
        <w:rPr>
          <w:noProof/>
        </w:rPr>
        <w:t>2</w:t>
      </w:r>
      <w:r w:rsidR="0085767A">
        <w:rPr>
          <w:noProof/>
        </w:rPr>
        <w:fldChar w:fldCharType="end"/>
      </w:r>
      <w:bookmarkEnd w:id="5"/>
      <w:r>
        <w:t xml:space="preserve"> </w:t>
      </w:r>
      <w:r w:rsidRPr="00336907">
        <w:t xml:space="preserve">Example of resource block mapping when using </w:t>
      </w:r>
      <w:r>
        <w:t>5</w:t>
      </w:r>
      <w:r w:rsidRPr="00336907">
        <w:t xml:space="preserve"> interlaces</w:t>
      </w:r>
      <w:r>
        <w:t>.</w:t>
      </w:r>
    </w:p>
    <w:p w:rsidR="00336907" w:rsidRDefault="00336907" w:rsidP="00D92744"/>
    <w:p w:rsidR="00336907" w:rsidRDefault="00336907" w:rsidP="00D92744"/>
    <w:p w:rsidR="000D10E6" w:rsidRDefault="000D10E6" w:rsidP="000D10E6">
      <w:pPr>
        <w:pStyle w:val="BodyText"/>
      </w:pPr>
      <w:r>
        <w:t>Based on the above analysis and discussion, we propose</w:t>
      </w:r>
    </w:p>
    <w:p w:rsidR="000D10E6" w:rsidRPr="000D10E6" w:rsidRDefault="000D10E6" w:rsidP="000D10E6">
      <w:pPr>
        <w:pStyle w:val="BodyText"/>
        <w:rPr>
          <w:b/>
        </w:rPr>
      </w:pPr>
      <w:r w:rsidRPr="000D10E6">
        <w:rPr>
          <w:b/>
        </w:rPr>
        <w:t>Proposal 1 For a 10 MHz LAA UL SCell, a total of 5 interlaces are used.</w:t>
      </w:r>
    </w:p>
    <w:p w:rsidR="000D10E6" w:rsidRPr="00D92744" w:rsidRDefault="000D10E6" w:rsidP="00D92744"/>
    <w:p w:rsidR="0071668E" w:rsidRDefault="0071668E" w:rsidP="0071668E">
      <w:pPr>
        <w:pStyle w:val="Heading1"/>
      </w:pPr>
      <w:r>
        <w:lastRenderedPageBreak/>
        <w:t>Conclusion</w:t>
      </w:r>
    </w:p>
    <w:p w:rsidR="0071668E" w:rsidRDefault="0071668E" w:rsidP="0071668E">
      <w:pPr>
        <w:pStyle w:val="BodyText"/>
      </w:pPr>
      <w:r>
        <w:t xml:space="preserve">This document considers whether RAN1 needs to do any work to support 10 MHz system bandwidths for LAA and concludes that no additional work is required. All the work for ensuring support for 10 MHz is to be performed in RAN4. </w:t>
      </w:r>
    </w:p>
    <w:p w:rsidR="000D10E6" w:rsidRDefault="000D10E6" w:rsidP="0071668E">
      <w:pPr>
        <w:pStyle w:val="BodyText"/>
      </w:pPr>
      <w:r>
        <w:t>We further analyzed the UL resource allocation issues for the 10 MHz LAA SCell and concluded with the following observations and proposal.</w:t>
      </w:r>
    </w:p>
    <w:p w:rsidR="000D10E6" w:rsidRPr="000D10E6" w:rsidRDefault="000D10E6" w:rsidP="000D10E6">
      <w:pPr>
        <w:pStyle w:val="BodyText"/>
        <w:rPr>
          <w:b/>
        </w:rPr>
      </w:pPr>
      <w:r w:rsidRPr="000D10E6">
        <w:rPr>
          <w:b/>
        </w:rPr>
        <w:t>Observation 1 Using five interlaces in a 10 MHz LAA SCell allows the UE to transmit at higher power when it is located at the cell edge.</w:t>
      </w:r>
    </w:p>
    <w:p w:rsidR="000D10E6" w:rsidRPr="000D10E6" w:rsidRDefault="000D10E6" w:rsidP="000D10E6">
      <w:pPr>
        <w:pStyle w:val="BodyText"/>
        <w:rPr>
          <w:b/>
        </w:rPr>
      </w:pPr>
      <w:r w:rsidRPr="000D10E6">
        <w:rPr>
          <w:b/>
        </w:rPr>
        <w:t xml:space="preserve">Observation 2 Keeping the resource capacity of </w:t>
      </w:r>
      <w:proofErr w:type="gramStart"/>
      <w:r w:rsidRPr="000D10E6">
        <w:rPr>
          <w:b/>
        </w:rPr>
        <w:t>an interlace</w:t>
      </w:r>
      <w:proofErr w:type="gramEnd"/>
      <w:r w:rsidRPr="000D10E6">
        <w:rPr>
          <w:b/>
        </w:rPr>
        <w:t xml:space="preserve"> the same regardless of the system bandwidth can simplify the LAA specs and implementation significantly.</w:t>
      </w:r>
    </w:p>
    <w:p w:rsidR="000D10E6" w:rsidRPr="000D10E6" w:rsidRDefault="000D10E6" w:rsidP="000D10E6">
      <w:pPr>
        <w:pStyle w:val="BodyText"/>
        <w:rPr>
          <w:b/>
        </w:rPr>
      </w:pPr>
      <w:r w:rsidRPr="000D10E6">
        <w:rPr>
          <w:b/>
        </w:rPr>
        <w:t>Proposal 1 For a 10 MHz LAA UL SCell, a total of 5 interlaces are used.</w:t>
      </w:r>
    </w:p>
    <w:p w:rsidR="000D10E6" w:rsidRPr="0071668E" w:rsidRDefault="000D10E6" w:rsidP="0071668E">
      <w:pPr>
        <w:pStyle w:val="BodyText"/>
      </w:pPr>
    </w:p>
    <w:p w:rsidR="002443A0" w:rsidRPr="00E70914" w:rsidRDefault="002443A0" w:rsidP="002443A0">
      <w:pPr>
        <w:pStyle w:val="Heading1"/>
        <w:jc w:val="both"/>
      </w:pPr>
      <w:r w:rsidRPr="00E70914">
        <w:t>References</w:t>
      </w:r>
    </w:p>
    <w:p w:rsidR="005C3E91" w:rsidRDefault="005E07AF" w:rsidP="008E05E8">
      <w:pPr>
        <w:pStyle w:val="Reference"/>
      </w:pPr>
      <w:bookmarkStart w:id="6" w:name="_Ref410045778"/>
      <w:bookmarkStart w:id="7" w:name="_Ref427071267"/>
      <w:bookmarkStart w:id="8" w:name="_Ref410036379"/>
      <w:bookmarkStart w:id="9" w:name="_Ref399149024"/>
      <w:r>
        <w:t>RP-152272</w:t>
      </w:r>
      <w:r w:rsidR="008E05E8">
        <w:t xml:space="preserve"> </w:t>
      </w:r>
      <w:r w:rsidR="008E05E8" w:rsidRPr="008E05E8">
        <w:t>New Work Item on</w:t>
      </w:r>
      <w:r>
        <w:t xml:space="preserve"> enhanced LAA for LTE</w:t>
      </w:r>
      <w:r w:rsidR="009A5B5C">
        <w:t>,</w:t>
      </w:r>
      <w:r w:rsidR="008E05E8">
        <w:t xml:space="preserve"> 3GPP RAN</w:t>
      </w:r>
      <w:r w:rsidR="005C3E91">
        <w:t xml:space="preserve"> WG #</w:t>
      </w:r>
      <w:bookmarkEnd w:id="6"/>
      <w:r w:rsidR="008E05E8">
        <w:t>68</w:t>
      </w:r>
      <w:bookmarkEnd w:id="7"/>
      <w:bookmarkEnd w:id="8"/>
      <w:bookmarkEnd w:id="9"/>
    </w:p>
    <w:p w:rsidR="00D92744" w:rsidRDefault="00D92744" w:rsidP="00D92744">
      <w:pPr>
        <w:pStyle w:val="Reference"/>
      </w:pPr>
      <w:bookmarkStart w:id="10" w:name="_Ref442451168"/>
      <w:r w:rsidRPr="00D92744">
        <w:t xml:space="preserve">R1-160994 UL resource allocation designs for </w:t>
      </w:r>
      <w:proofErr w:type="spellStart"/>
      <w:r w:rsidRPr="00D92744">
        <w:t>eLAA</w:t>
      </w:r>
      <w:proofErr w:type="spellEnd"/>
      <w:r>
        <w:t>, Ericsson</w:t>
      </w:r>
      <w:bookmarkEnd w:id="10"/>
    </w:p>
    <w:p w:rsidR="00D92744" w:rsidRDefault="00D92744" w:rsidP="00D92744">
      <w:pPr>
        <w:pStyle w:val="Reference"/>
      </w:pPr>
      <w:bookmarkStart w:id="11" w:name="_Ref442451779"/>
      <w:r w:rsidRPr="00D92744">
        <w:t>R1-160998 PUCCH designs for enhanced LAA</w:t>
      </w:r>
      <w:r>
        <w:t>, Ericsson</w:t>
      </w:r>
      <w:bookmarkEnd w:id="11"/>
    </w:p>
    <w:sectPr w:rsidR="00D92744" w:rsidSect="008145E1">
      <w:pgSz w:w="12240" w:h="15840"/>
      <w:pgMar w:top="1440" w:right="1440" w:bottom="156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767A" w:rsidRDefault="0085767A" w:rsidP="009A1BB0">
      <w:r>
        <w:separator/>
      </w:r>
    </w:p>
  </w:endnote>
  <w:endnote w:type="continuationSeparator" w:id="0">
    <w:p w:rsidR="0085767A" w:rsidRDefault="0085767A" w:rsidP="009A1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767A" w:rsidRDefault="0085767A" w:rsidP="009A1BB0">
      <w:r>
        <w:separator/>
      </w:r>
    </w:p>
  </w:footnote>
  <w:footnote w:type="continuationSeparator" w:id="0">
    <w:p w:rsidR="0085767A" w:rsidRDefault="0085767A" w:rsidP="009A1B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2799F"/>
    <w:multiLevelType w:val="hybridMultilevel"/>
    <w:tmpl w:val="45B8F42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CFD1950"/>
    <w:multiLevelType w:val="hybridMultilevel"/>
    <w:tmpl w:val="A044C0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7"/>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2714"/>
    <w:rsid w:val="00003187"/>
    <w:rsid w:val="00004732"/>
    <w:rsid w:val="00004941"/>
    <w:rsid w:val="0000672E"/>
    <w:rsid w:val="00007061"/>
    <w:rsid w:val="000123BA"/>
    <w:rsid w:val="0001255A"/>
    <w:rsid w:val="00014A09"/>
    <w:rsid w:val="00014D88"/>
    <w:rsid w:val="00016FFE"/>
    <w:rsid w:val="00020322"/>
    <w:rsid w:val="00020455"/>
    <w:rsid w:val="0002066D"/>
    <w:rsid w:val="00022872"/>
    <w:rsid w:val="00023605"/>
    <w:rsid w:val="00024498"/>
    <w:rsid w:val="000244CE"/>
    <w:rsid w:val="000251EE"/>
    <w:rsid w:val="000252DC"/>
    <w:rsid w:val="00025356"/>
    <w:rsid w:val="0002539D"/>
    <w:rsid w:val="000257D7"/>
    <w:rsid w:val="00025C9B"/>
    <w:rsid w:val="0002654D"/>
    <w:rsid w:val="000267B4"/>
    <w:rsid w:val="00026EB0"/>
    <w:rsid w:val="00027A0C"/>
    <w:rsid w:val="00027AD5"/>
    <w:rsid w:val="00027EC1"/>
    <w:rsid w:val="00027F18"/>
    <w:rsid w:val="0004359C"/>
    <w:rsid w:val="00046B3E"/>
    <w:rsid w:val="00046CD7"/>
    <w:rsid w:val="000470C5"/>
    <w:rsid w:val="00047E0B"/>
    <w:rsid w:val="00051368"/>
    <w:rsid w:val="00054952"/>
    <w:rsid w:val="00055064"/>
    <w:rsid w:val="0005531E"/>
    <w:rsid w:val="00055540"/>
    <w:rsid w:val="00055DF4"/>
    <w:rsid w:val="00057FE0"/>
    <w:rsid w:val="00060844"/>
    <w:rsid w:val="000641BF"/>
    <w:rsid w:val="0006542C"/>
    <w:rsid w:val="000666BA"/>
    <w:rsid w:val="000714E8"/>
    <w:rsid w:val="00072168"/>
    <w:rsid w:val="00073823"/>
    <w:rsid w:val="00076DD2"/>
    <w:rsid w:val="00076F0B"/>
    <w:rsid w:val="000813EE"/>
    <w:rsid w:val="0008449E"/>
    <w:rsid w:val="00087815"/>
    <w:rsid w:val="00090025"/>
    <w:rsid w:val="000909F0"/>
    <w:rsid w:val="00091F89"/>
    <w:rsid w:val="00092B50"/>
    <w:rsid w:val="00094096"/>
    <w:rsid w:val="00095565"/>
    <w:rsid w:val="00096B22"/>
    <w:rsid w:val="00096B91"/>
    <w:rsid w:val="000A4B38"/>
    <w:rsid w:val="000A4BBD"/>
    <w:rsid w:val="000A5208"/>
    <w:rsid w:val="000A5722"/>
    <w:rsid w:val="000A5B1D"/>
    <w:rsid w:val="000A6C5C"/>
    <w:rsid w:val="000B27DD"/>
    <w:rsid w:val="000B29AE"/>
    <w:rsid w:val="000B3B24"/>
    <w:rsid w:val="000B422F"/>
    <w:rsid w:val="000B755D"/>
    <w:rsid w:val="000C0B06"/>
    <w:rsid w:val="000C2A6F"/>
    <w:rsid w:val="000C58B4"/>
    <w:rsid w:val="000C6BAD"/>
    <w:rsid w:val="000C6FC2"/>
    <w:rsid w:val="000D0231"/>
    <w:rsid w:val="000D04AC"/>
    <w:rsid w:val="000D04C5"/>
    <w:rsid w:val="000D10E6"/>
    <w:rsid w:val="000D1218"/>
    <w:rsid w:val="000D3E2A"/>
    <w:rsid w:val="000D6344"/>
    <w:rsid w:val="000D7DCA"/>
    <w:rsid w:val="000E2666"/>
    <w:rsid w:val="000E344A"/>
    <w:rsid w:val="000E3536"/>
    <w:rsid w:val="000E37A4"/>
    <w:rsid w:val="000E3A12"/>
    <w:rsid w:val="000E4262"/>
    <w:rsid w:val="000E4635"/>
    <w:rsid w:val="000E703D"/>
    <w:rsid w:val="000F0AC5"/>
    <w:rsid w:val="000F1E11"/>
    <w:rsid w:val="000F2C41"/>
    <w:rsid w:val="000F3FB3"/>
    <w:rsid w:val="000F4FEB"/>
    <w:rsid w:val="000F5108"/>
    <w:rsid w:val="000F5F67"/>
    <w:rsid w:val="000F6AB3"/>
    <w:rsid w:val="000F72BF"/>
    <w:rsid w:val="00100CA6"/>
    <w:rsid w:val="00102DA6"/>
    <w:rsid w:val="00103D6E"/>
    <w:rsid w:val="001042A6"/>
    <w:rsid w:val="00106222"/>
    <w:rsid w:val="00111612"/>
    <w:rsid w:val="00111698"/>
    <w:rsid w:val="00112A93"/>
    <w:rsid w:val="00115140"/>
    <w:rsid w:val="001168F4"/>
    <w:rsid w:val="00121EE9"/>
    <w:rsid w:val="001234E6"/>
    <w:rsid w:val="00125FE9"/>
    <w:rsid w:val="00130583"/>
    <w:rsid w:val="00130933"/>
    <w:rsid w:val="00131938"/>
    <w:rsid w:val="001321D7"/>
    <w:rsid w:val="00132C22"/>
    <w:rsid w:val="00135566"/>
    <w:rsid w:val="0013595D"/>
    <w:rsid w:val="001367C3"/>
    <w:rsid w:val="001409E7"/>
    <w:rsid w:val="00140F18"/>
    <w:rsid w:val="001417E4"/>
    <w:rsid w:val="00141DB1"/>
    <w:rsid w:val="00142D1E"/>
    <w:rsid w:val="0014401D"/>
    <w:rsid w:val="00144615"/>
    <w:rsid w:val="00144EA2"/>
    <w:rsid w:val="001477CA"/>
    <w:rsid w:val="001511CE"/>
    <w:rsid w:val="00152C35"/>
    <w:rsid w:val="00154B1C"/>
    <w:rsid w:val="00154E40"/>
    <w:rsid w:val="001563B2"/>
    <w:rsid w:val="001564AC"/>
    <w:rsid w:val="0015732F"/>
    <w:rsid w:val="00157CAD"/>
    <w:rsid w:val="00161864"/>
    <w:rsid w:val="00162130"/>
    <w:rsid w:val="0016249F"/>
    <w:rsid w:val="001666A7"/>
    <w:rsid w:val="0017025A"/>
    <w:rsid w:val="00170A2A"/>
    <w:rsid w:val="001730AA"/>
    <w:rsid w:val="0017385D"/>
    <w:rsid w:val="00183BC3"/>
    <w:rsid w:val="00184AB9"/>
    <w:rsid w:val="00186916"/>
    <w:rsid w:val="001871C3"/>
    <w:rsid w:val="00187790"/>
    <w:rsid w:val="001904D4"/>
    <w:rsid w:val="00193099"/>
    <w:rsid w:val="00193560"/>
    <w:rsid w:val="0019497C"/>
    <w:rsid w:val="001A06AC"/>
    <w:rsid w:val="001A0CFE"/>
    <w:rsid w:val="001A0ECE"/>
    <w:rsid w:val="001A134B"/>
    <w:rsid w:val="001A1CE6"/>
    <w:rsid w:val="001A1FD1"/>
    <w:rsid w:val="001A2714"/>
    <w:rsid w:val="001A2F5C"/>
    <w:rsid w:val="001A426A"/>
    <w:rsid w:val="001B0DC3"/>
    <w:rsid w:val="001B48AC"/>
    <w:rsid w:val="001B4BD6"/>
    <w:rsid w:val="001B4ED4"/>
    <w:rsid w:val="001B601F"/>
    <w:rsid w:val="001C12A4"/>
    <w:rsid w:val="001C1C35"/>
    <w:rsid w:val="001C1C4D"/>
    <w:rsid w:val="001C3E71"/>
    <w:rsid w:val="001C6BA1"/>
    <w:rsid w:val="001C6CBF"/>
    <w:rsid w:val="001C720F"/>
    <w:rsid w:val="001C78F8"/>
    <w:rsid w:val="001C7E2E"/>
    <w:rsid w:val="001D0668"/>
    <w:rsid w:val="001D16B8"/>
    <w:rsid w:val="001D1A2F"/>
    <w:rsid w:val="001D1D7E"/>
    <w:rsid w:val="001D287F"/>
    <w:rsid w:val="001D2BB9"/>
    <w:rsid w:val="001D2DF9"/>
    <w:rsid w:val="001D3402"/>
    <w:rsid w:val="001D3AD0"/>
    <w:rsid w:val="001D59B0"/>
    <w:rsid w:val="001D5E13"/>
    <w:rsid w:val="001E09F0"/>
    <w:rsid w:val="001E0BBC"/>
    <w:rsid w:val="001E1170"/>
    <w:rsid w:val="001E278D"/>
    <w:rsid w:val="001E37E0"/>
    <w:rsid w:val="001E5EEF"/>
    <w:rsid w:val="001E7787"/>
    <w:rsid w:val="001F057E"/>
    <w:rsid w:val="001F0776"/>
    <w:rsid w:val="001F0A42"/>
    <w:rsid w:val="001F260A"/>
    <w:rsid w:val="001F3B43"/>
    <w:rsid w:val="001F52EF"/>
    <w:rsid w:val="001F7D7D"/>
    <w:rsid w:val="00201319"/>
    <w:rsid w:val="0020637C"/>
    <w:rsid w:val="00210475"/>
    <w:rsid w:val="0021181D"/>
    <w:rsid w:val="00212214"/>
    <w:rsid w:val="00213717"/>
    <w:rsid w:val="00214DAA"/>
    <w:rsid w:val="00215577"/>
    <w:rsid w:val="00216EA4"/>
    <w:rsid w:val="002179D0"/>
    <w:rsid w:val="00220D8D"/>
    <w:rsid w:val="0022142E"/>
    <w:rsid w:val="00223C42"/>
    <w:rsid w:val="00225D43"/>
    <w:rsid w:val="00226323"/>
    <w:rsid w:val="00226330"/>
    <w:rsid w:val="00226D84"/>
    <w:rsid w:val="002339FB"/>
    <w:rsid w:val="002343EE"/>
    <w:rsid w:val="00234689"/>
    <w:rsid w:val="00236804"/>
    <w:rsid w:val="0024359C"/>
    <w:rsid w:val="0024383D"/>
    <w:rsid w:val="0024418C"/>
    <w:rsid w:val="002443A0"/>
    <w:rsid w:val="002474A2"/>
    <w:rsid w:val="00247C92"/>
    <w:rsid w:val="00250405"/>
    <w:rsid w:val="0025141A"/>
    <w:rsid w:val="00251837"/>
    <w:rsid w:val="00254054"/>
    <w:rsid w:val="0025534B"/>
    <w:rsid w:val="002574CA"/>
    <w:rsid w:val="00257664"/>
    <w:rsid w:val="00257D42"/>
    <w:rsid w:val="00260203"/>
    <w:rsid w:val="00260907"/>
    <w:rsid w:val="00261B35"/>
    <w:rsid w:val="00263EEB"/>
    <w:rsid w:val="00263FEE"/>
    <w:rsid w:val="00264EB6"/>
    <w:rsid w:val="00266760"/>
    <w:rsid w:val="00271596"/>
    <w:rsid w:val="00272069"/>
    <w:rsid w:val="00273F0F"/>
    <w:rsid w:val="00276E6F"/>
    <w:rsid w:val="00280679"/>
    <w:rsid w:val="0028095B"/>
    <w:rsid w:val="002829B6"/>
    <w:rsid w:val="00282A77"/>
    <w:rsid w:val="002837DC"/>
    <w:rsid w:val="002850FA"/>
    <w:rsid w:val="00285CDB"/>
    <w:rsid w:val="00286CC0"/>
    <w:rsid w:val="0028748D"/>
    <w:rsid w:val="00287D49"/>
    <w:rsid w:val="002900AE"/>
    <w:rsid w:val="002918D0"/>
    <w:rsid w:val="00292BEB"/>
    <w:rsid w:val="00293A05"/>
    <w:rsid w:val="00294112"/>
    <w:rsid w:val="00294759"/>
    <w:rsid w:val="002947EC"/>
    <w:rsid w:val="002952ED"/>
    <w:rsid w:val="00296698"/>
    <w:rsid w:val="002A0B9C"/>
    <w:rsid w:val="002A3750"/>
    <w:rsid w:val="002A5EDC"/>
    <w:rsid w:val="002A65A7"/>
    <w:rsid w:val="002B01F1"/>
    <w:rsid w:val="002B0B71"/>
    <w:rsid w:val="002B189F"/>
    <w:rsid w:val="002B345D"/>
    <w:rsid w:val="002B4AFB"/>
    <w:rsid w:val="002B4FF6"/>
    <w:rsid w:val="002B76C7"/>
    <w:rsid w:val="002C1898"/>
    <w:rsid w:val="002C1F3E"/>
    <w:rsid w:val="002C2116"/>
    <w:rsid w:val="002C2293"/>
    <w:rsid w:val="002C2494"/>
    <w:rsid w:val="002C34DF"/>
    <w:rsid w:val="002C3894"/>
    <w:rsid w:val="002D1723"/>
    <w:rsid w:val="002D1E74"/>
    <w:rsid w:val="002D4655"/>
    <w:rsid w:val="002D6948"/>
    <w:rsid w:val="002E2596"/>
    <w:rsid w:val="002E270D"/>
    <w:rsid w:val="002E71C9"/>
    <w:rsid w:val="002E7958"/>
    <w:rsid w:val="002F18D9"/>
    <w:rsid w:val="002F4077"/>
    <w:rsid w:val="002F4563"/>
    <w:rsid w:val="002F4F34"/>
    <w:rsid w:val="002F53C4"/>
    <w:rsid w:val="002F6E9F"/>
    <w:rsid w:val="00301B83"/>
    <w:rsid w:val="00301DA5"/>
    <w:rsid w:val="00303CA9"/>
    <w:rsid w:val="00304716"/>
    <w:rsid w:val="003047F8"/>
    <w:rsid w:val="00304E57"/>
    <w:rsid w:val="00305358"/>
    <w:rsid w:val="00305BE4"/>
    <w:rsid w:val="003105B1"/>
    <w:rsid w:val="003108A3"/>
    <w:rsid w:val="00313352"/>
    <w:rsid w:val="00313420"/>
    <w:rsid w:val="00314348"/>
    <w:rsid w:val="0031546C"/>
    <w:rsid w:val="00315917"/>
    <w:rsid w:val="00315954"/>
    <w:rsid w:val="00315A3D"/>
    <w:rsid w:val="00316C72"/>
    <w:rsid w:val="00316FC5"/>
    <w:rsid w:val="00320271"/>
    <w:rsid w:val="00320DD2"/>
    <w:rsid w:val="00320F89"/>
    <w:rsid w:val="00321B46"/>
    <w:rsid w:val="00326A7A"/>
    <w:rsid w:val="00327220"/>
    <w:rsid w:val="00327A12"/>
    <w:rsid w:val="00330928"/>
    <w:rsid w:val="003322BA"/>
    <w:rsid w:val="0033326A"/>
    <w:rsid w:val="003332F3"/>
    <w:rsid w:val="00333526"/>
    <w:rsid w:val="00334A50"/>
    <w:rsid w:val="00336907"/>
    <w:rsid w:val="00337316"/>
    <w:rsid w:val="003374F8"/>
    <w:rsid w:val="00340F55"/>
    <w:rsid w:val="00341A12"/>
    <w:rsid w:val="0034203E"/>
    <w:rsid w:val="0034243A"/>
    <w:rsid w:val="00345559"/>
    <w:rsid w:val="00347571"/>
    <w:rsid w:val="00350380"/>
    <w:rsid w:val="0035112D"/>
    <w:rsid w:val="00352181"/>
    <w:rsid w:val="00354A0E"/>
    <w:rsid w:val="003556C2"/>
    <w:rsid w:val="00357BFF"/>
    <w:rsid w:val="00360D65"/>
    <w:rsid w:val="003618B6"/>
    <w:rsid w:val="00365C1E"/>
    <w:rsid w:val="003666F9"/>
    <w:rsid w:val="00366AEA"/>
    <w:rsid w:val="00366D7B"/>
    <w:rsid w:val="00367170"/>
    <w:rsid w:val="003718DC"/>
    <w:rsid w:val="003736D3"/>
    <w:rsid w:val="003772D6"/>
    <w:rsid w:val="0037733C"/>
    <w:rsid w:val="003778CF"/>
    <w:rsid w:val="00380D86"/>
    <w:rsid w:val="00381B7B"/>
    <w:rsid w:val="00383494"/>
    <w:rsid w:val="00384CB0"/>
    <w:rsid w:val="00384D7B"/>
    <w:rsid w:val="00386EB8"/>
    <w:rsid w:val="00387838"/>
    <w:rsid w:val="003900C1"/>
    <w:rsid w:val="0039060C"/>
    <w:rsid w:val="003936AB"/>
    <w:rsid w:val="00393F38"/>
    <w:rsid w:val="00394603"/>
    <w:rsid w:val="00394FA6"/>
    <w:rsid w:val="0039572E"/>
    <w:rsid w:val="003A272A"/>
    <w:rsid w:val="003A2B98"/>
    <w:rsid w:val="003A747A"/>
    <w:rsid w:val="003A7778"/>
    <w:rsid w:val="003B0855"/>
    <w:rsid w:val="003B5F95"/>
    <w:rsid w:val="003B6CD0"/>
    <w:rsid w:val="003C075E"/>
    <w:rsid w:val="003C1988"/>
    <w:rsid w:val="003C2A39"/>
    <w:rsid w:val="003C477C"/>
    <w:rsid w:val="003C6CB2"/>
    <w:rsid w:val="003C74FB"/>
    <w:rsid w:val="003D05F3"/>
    <w:rsid w:val="003D0983"/>
    <w:rsid w:val="003D3E19"/>
    <w:rsid w:val="003D4B48"/>
    <w:rsid w:val="003D6D05"/>
    <w:rsid w:val="003D70E2"/>
    <w:rsid w:val="003E0E56"/>
    <w:rsid w:val="003E251F"/>
    <w:rsid w:val="003E2FDE"/>
    <w:rsid w:val="003E593D"/>
    <w:rsid w:val="003E5BDE"/>
    <w:rsid w:val="003E6D73"/>
    <w:rsid w:val="003E7ACD"/>
    <w:rsid w:val="003F07DE"/>
    <w:rsid w:val="003F7679"/>
    <w:rsid w:val="00400330"/>
    <w:rsid w:val="00401ECB"/>
    <w:rsid w:val="004026F7"/>
    <w:rsid w:val="004035CF"/>
    <w:rsid w:val="00406C00"/>
    <w:rsid w:val="004123AC"/>
    <w:rsid w:val="004135DD"/>
    <w:rsid w:val="0041591B"/>
    <w:rsid w:val="00415D43"/>
    <w:rsid w:val="0041611C"/>
    <w:rsid w:val="00422638"/>
    <w:rsid w:val="00423DF8"/>
    <w:rsid w:val="00423F3E"/>
    <w:rsid w:val="00425431"/>
    <w:rsid w:val="00430FFD"/>
    <w:rsid w:val="004310C1"/>
    <w:rsid w:val="00432581"/>
    <w:rsid w:val="00432793"/>
    <w:rsid w:val="00434B62"/>
    <w:rsid w:val="004358D6"/>
    <w:rsid w:val="004364A3"/>
    <w:rsid w:val="0043660F"/>
    <w:rsid w:val="004372F5"/>
    <w:rsid w:val="00437FF8"/>
    <w:rsid w:val="00440945"/>
    <w:rsid w:val="00441D49"/>
    <w:rsid w:val="004421B1"/>
    <w:rsid w:val="004424A1"/>
    <w:rsid w:val="00443338"/>
    <w:rsid w:val="00443BCE"/>
    <w:rsid w:val="00445CD5"/>
    <w:rsid w:val="00446001"/>
    <w:rsid w:val="0044780A"/>
    <w:rsid w:val="00450532"/>
    <w:rsid w:val="00453508"/>
    <w:rsid w:val="00453C73"/>
    <w:rsid w:val="0045472A"/>
    <w:rsid w:val="00454A97"/>
    <w:rsid w:val="004573E9"/>
    <w:rsid w:val="00457DC3"/>
    <w:rsid w:val="004600A5"/>
    <w:rsid w:val="004603AF"/>
    <w:rsid w:val="0046093E"/>
    <w:rsid w:val="00467870"/>
    <w:rsid w:val="004679F6"/>
    <w:rsid w:val="00467D8D"/>
    <w:rsid w:val="00471915"/>
    <w:rsid w:val="00473FD7"/>
    <w:rsid w:val="00474129"/>
    <w:rsid w:val="00476181"/>
    <w:rsid w:val="00476759"/>
    <w:rsid w:val="00480300"/>
    <w:rsid w:val="00482B25"/>
    <w:rsid w:val="00482BC4"/>
    <w:rsid w:val="00482E03"/>
    <w:rsid w:val="004858E4"/>
    <w:rsid w:val="00486AE9"/>
    <w:rsid w:val="00486F41"/>
    <w:rsid w:val="00487B5D"/>
    <w:rsid w:val="004909D3"/>
    <w:rsid w:val="0049209A"/>
    <w:rsid w:val="00492FBB"/>
    <w:rsid w:val="004935FB"/>
    <w:rsid w:val="00494A35"/>
    <w:rsid w:val="004951F8"/>
    <w:rsid w:val="00496F77"/>
    <w:rsid w:val="004A2366"/>
    <w:rsid w:val="004A2B7D"/>
    <w:rsid w:val="004A3A4A"/>
    <w:rsid w:val="004A3A68"/>
    <w:rsid w:val="004A6FE1"/>
    <w:rsid w:val="004B0063"/>
    <w:rsid w:val="004B07EB"/>
    <w:rsid w:val="004B1D80"/>
    <w:rsid w:val="004B1D9C"/>
    <w:rsid w:val="004B204D"/>
    <w:rsid w:val="004B2F3C"/>
    <w:rsid w:val="004B51EA"/>
    <w:rsid w:val="004B5565"/>
    <w:rsid w:val="004B740D"/>
    <w:rsid w:val="004B767F"/>
    <w:rsid w:val="004C1C97"/>
    <w:rsid w:val="004C392B"/>
    <w:rsid w:val="004C49F9"/>
    <w:rsid w:val="004C5AD0"/>
    <w:rsid w:val="004C6463"/>
    <w:rsid w:val="004C6EA8"/>
    <w:rsid w:val="004C7974"/>
    <w:rsid w:val="004D1E19"/>
    <w:rsid w:val="004D3427"/>
    <w:rsid w:val="004D3CE8"/>
    <w:rsid w:val="004D4D58"/>
    <w:rsid w:val="004D56E4"/>
    <w:rsid w:val="004D5722"/>
    <w:rsid w:val="004D5B94"/>
    <w:rsid w:val="004E158C"/>
    <w:rsid w:val="004E4657"/>
    <w:rsid w:val="004E5153"/>
    <w:rsid w:val="004E6145"/>
    <w:rsid w:val="004E64A7"/>
    <w:rsid w:val="004F059F"/>
    <w:rsid w:val="004F0641"/>
    <w:rsid w:val="004F0711"/>
    <w:rsid w:val="004F075C"/>
    <w:rsid w:val="004F2654"/>
    <w:rsid w:val="004F3F73"/>
    <w:rsid w:val="004F6CFA"/>
    <w:rsid w:val="004F7B73"/>
    <w:rsid w:val="005017D1"/>
    <w:rsid w:val="00504159"/>
    <w:rsid w:val="0050484D"/>
    <w:rsid w:val="00504A7C"/>
    <w:rsid w:val="00506A6E"/>
    <w:rsid w:val="00507563"/>
    <w:rsid w:val="00510FB3"/>
    <w:rsid w:val="00511CC2"/>
    <w:rsid w:val="00512DA5"/>
    <w:rsid w:val="00513103"/>
    <w:rsid w:val="005141BA"/>
    <w:rsid w:val="005142A9"/>
    <w:rsid w:val="0051482C"/>
    <w:rsid w:val="0051512E"/>
    <w:rsid w:val="005152A8"/>
    <w:rsid w:val="00517B8C"/>
    <w:rsid w:val="005204FF"/>
    <w:rsid w:val="00523702"/>
    <w:rsid w:val="00524710"/>
    <w:rsid w:val="0052663E"/>
    <w:rsid w:val="00526C29"/>
    <w:rsid w:val="00527E28"/>
    <w:rsid w:val="00531455"/>
    <w:rsid w:val="0053248E"/>
    <w:rsid w:val="00532C45"/>
    <w:rsid w:val="00534801"/>
    <w:rsid w:val="005416AE"/>
    <w:rsid w:val="005416F2"/>
    <w:rsid w:val="00543E28"/>
    <w:rsid w:val="00544D6B"/>
    <w:rsid w:val="00544E56"/>
    <w:rsid w:val="00546E82"/>
    <w:rsid w:val="0055035A"/>
    <w:rsid w:val="00552C6B"/>
    <w:rsid w:val="00554BE5"/>
    <w:rsid w:val="00554FD9"/>
    <w:rsid w:val="00556440"/>
    <w:rsid w:val="005579A3"/>
    <w:rsid w:val="0056220A"/>
    <w:rsid w:val="00562290"/>
    <w:rsid w:val="005700E6"/>
    <w:rsid w:val="00570233"/>
    <w:rsid w:val="005707CA"/>
    <w:rsid w:val="00570E60"/>
    <w:rsid w:val="0057278B"/>
    <w:rsid w:val="00573490"/>
    <w:rsid w:val="0057362A"/>
    <w:rsid w:val="00573C54"/>
    <w:rsid w:val="005747A0"/>
    <w:rsid w:val="00577454"/>
    <w:rsid w:val="005806B6"/>
    <w:rsid w:val="0058116C"/>
    <w:rsid w:val="00581BB8"/>
    <w:rsid w:val="00581FE3"/>
    <w:rsid w:val="00584950"/>
    <w:rsid w:val="00584DB0"/>
    <w:rsid w:val="0058503B"/>
    <w:rsid w:val="005861F3"/>
    <w:rsid w:val="0059255F"/>
    <w:rsid w:val="005943ED"/>
    <w:rsid w:val="00594573"/>
    <w:rsid w:val="00596C5D"/>
    <w:rsid w:val="00596D94"/>
    <w:rsid w:val="005A0116"/>
    <w:rsid w:val="005A173E"/>
    <w:rsid w:val="005A2875"/>
    <w:rsid w:val="005A3FA1"/>
    <w:rsid w:val="005A3FC3"/>
    <w:rsid w:val="005A772A"/>
    <w:rsid w:val="005B0CB7"/>
    <w:rsid w:val="005B157E"/>
    <w:rsid w:val="005B27C0"/>
    <w:rsid w:val="005B360C"/>
    <w:rsid w:val="005B616A"/>
    <w:rsid w:val="005C2A6E"/>
    <w:rsid w:val="005C3E91"/>
    <w:rsid w:val="005C3FE7"/>
    <w:rsid w:val="005C4F88"/>
    <w:rsid w:val="005C5F43"/>
    <w:rsid w:val="005C5F94"/>
    <w:rsid w:val="005D078B"/>
    <w:rsid w:val="005D1D17"/>
    <w:rsid w:val="005D20A4"/>
    <w:rsid w:val="005D27F2"/>
    <w:rsid w:val="005D345D"/>
    <w:rsid w:val="005D4F86"/>
    <w:rsid w:val="005D599E"/>
    <w:rsid w:val="005D67E8"/>
    <w:rsid w:val="005D6F51"/>
    <w:rsid w:val="005D7711"/>
    <w:rsid w:val="005E07AF"/>
    <w:rsid w:val="005E1287"/>
    <w:rsid w:val="005E359F"/>
    <w:rsid w:val="005E57D0"/>
    <w:rsid w:val="005E5AD6"/>
    <w:rsid w:val="005E74B8"/>
    <w:rsid w:val="005F05D9"/>
    <w:rsid w:val="005F2567"/>
    <w:rsid w:val="005F384B"/>
    <w:rsid w:val="005F3EB7"/>
    <w:rsid w:val="005F511E"/>
    <w:rsid w:val="005F7049"/>
    <w:rsid w:val="005F725D"/>
    <w:rsid w:val="005F7BF9"/>
    <w:rsid w:val="005F7F97"/>
    <w:rsid w:val="00600464"/>
    <w:rsid w:val="00602971"/>
    <w:rsid w:val="006067D3"/>
    <w:rsid w:val="0060696D"/>
    <w:rsid w:val="00607431"/>
    <w:rsid w:val="00611897"/>
    <w:rsid w:val="00613982"/>
    <w:rsid w:val="006142B5"/>
    <w:rsid w:val="0062015D"/>
    <w:rsid w:val="006202FA"/>
    <w:rsid w:val="0062199B"/>
    <w:rsid w:val="00622287"/>
    <w:rsid w:val="00622B6C"/>
    <w:rsid w:val="00622CF6"/>
    <w:rsid w:val="0062313D"/>
    <w:rsid w:val="00623F15"/>
    <w:rsid w:val="00623FE9"/>
    <w:rsid w:val="0062413F"/>
    <w:rsid w:val="00624903"/>
    <w:rsid w:val="00624FBF"/>
    <w:rsid w:val="006253E9"/>
    <w:rsid w:val="00626F62"/>
    <w:rsid w:val="00632B3C"/>
    <w:rsid w:val="0063336A"/>
    <w:rsid w:val="0063485D"/>
    <w:rsid w:val="0063497A"/>
    <w:rsid w:val="00635B6D"/>
    <w:rsid w:val="00636186"/>
    <w:rsid w:val="006361AD"/>
    <w:rsid w:val="006375EF"/>
    <w:rsid w:val="00637BA6"/>
    <w:rsid w:val="00641E02"/>
    <w:rsid w:val="006423C0"/>
    <w:rsid w:val="00642CFB"/>
    <w:rsid w:val="00645882"/>
    <w:rsid w:val="006459E5"/>
    <w:rsid w:val="00645C09"/>
    <w:rsid w:val="006470F3"/>
    <w:rsid w:val="00650228"/>
    <w:rsid w:val="00651D66"/>
    <w:rsid w:val="0065237F"/>
    <w:rsid w:val="00657B3F"/>
    <w:rsid w:val="00657BC1"/>
    <w:rsid w:val="00663289"/>
    <w:rsid w:val="00665BF1"/>
    <w:rsid w:val="00666450"/>
    <w:rsid w:val="00667240"/>
    <w:rsid w:val="00670A5F"/>
    <w:rsid w:val="006714A8"/>
    <w:rsid w:val="0067390D"/>
    <w:rsid w:val="00673CA0"/>
    <w:rsid w:val="00674CD8"/>
    <w:rsid w:val="00677FAA"/>
    <w:rsid w:val="00680EA2"/>
    <w:rsid w:val="00681874"/>
    <w:rsid w:val="00682DE1"/>
    <w:rsid w:val="00684B9F"/>
    <w:rsid w:val="00684CC3"/>
    <w:rsid w:val="00686D90"/>
    <w:rsid w:val="00687D82"/>
    <w:rsid w:val="006915A9"/>
    <w:rsid w:val="00692CAA"/>
    <w:rsid w:val="00692D31"/>
    <w:rsid w:val="00692FD5"/>
    <w:rsid w:val="006A1EB2"/>
    <w:rsid w:val="006A1FC7"/>
    <w:rsid w:val="006B0837"/>
    <w:rsid w:val="006B1AEA"/>
    <w:rsid w:val="006B2AD2"/>
    <w:rsid w:val="006B2E3E"/>
    <w:rsid w:val="006B4570"/>
    <w:rsid w:val="006B4C98"/>
    <w:rsid w:val="006C1987"/>
    <w:rsid w:val="006C1AE2"/>
    <w:rsid w:val="006C1C55"/>
    <w:rsid w:val="006C2B38"/>
    <w:rsid w:val="006C3B74"/>
    <w:rsid w:val="006C3C3D"/>
    <w:rsid w:val="006C4D06"/>
    <w:rsid w:val="006C56A8"/>
    <w:rsid w:val="006C577E"/>
    <w:rsid w:val="006C6AC1"/>
    <w:rsid w:val="006C7417"/>
    <w:rsid w:val="006D0BF7"/>
    <w:rsid w:val="006D2E45"/>
    <w:rsid w:val="006D3147"/>
    <w:rsid w:val="006D3408"/>
    <w:rsid w:val="006D3B4B"/>
    <w:rsid w:val="006D47EF"/>
    <w:rsid w:val="006D5967"/>
    <w:rsid w:val="006D6353"/>
    <w:rsid w:val="006E4D40"/>
    <w:rsid w:val="006E527C"/>
    <w:rsid w:val="006E5FAD"/>
    <w:rsid w:val="006E6195"/>
    <w:rsid w:val="006E721F"/>
    <w:rsid w:val="006E7BA7"/>
    <w:rsid w:val="006F069D"/>
    <w:rsid w:val="006F22EA"/>
    <w:rsid w:val="006F29BD"/>
    <w:rsid w:val="006F325B"/>
    <w:rsid w:val="006F3570"/>
    <w:rsid w:val="006F5311"/>
    <w:rsid w:val="006F5409"/>
    <w:rsid w:val="006F544D"/>
    <w:rsid w:val="006F5A89"/>
    <w:rsid w:val="006F5EDB"/>
    <w:rsid w:val="006F667A"/>
    <w:rsid w:val="006F66D1"/>
    <w:rsid w:val="0070072B"/>
    <w:rsid w:val="00700DC4"/>
    <w:rsid w:val="007014EE"/>
    <w:rsid w:val="00703134"/>
    <w:rsid w:val="00703951"/>
    <w:rsid w:val="00703A44"/>
    <w:rsid w:val="00704865"/>
    <w:rsid w:val="007059C4"/>
    <w:rsid w:val="00707865"/>
    <w:rsid w:val="00707E5F"/>
    <w:rsid w:val="0071305B"/>
    <w:rsid w:val="00715902"/>
    <w:rsid w:val="00715E33"/>
    <w:rsid w:val="0071668E"/>
    <w:rsid w:val="00721EB7"/>
    <w:rsid w:val="007256A7"/>
    <w:rsid w:val="00725CCB"/>
    <w:rsid w:val="00725F0F"/>
    <w:rsid w:val="00725F4F"/>
    <w:rsid w:val="00726465"/>
    <w:rsid w:val="007276C7"/>
    <w:rsid w:val="0072775D"/>
    <w:rsid w:val="00730454"/>
    <w:rsid w:val="007307AB"/>
    <w:rsid w:val="0073115C"/>
    <w:rsid w:val="007313E9"/>
    <w:rsid w:val="007335E5"/>
    <w:rsid w:val="00735675"/>
    <w:rsid w:val="00735DB3"/>
    <w:rsid w:val="007372B7"/>
    <w:rsid w:val="00737601"/>
    <w:rsid w:val="00737770"/>
    <w:rsid w:val="00740B1C"/>
    <w:rsid w:val="00740FD0"/>
    <w:rsid w:val="00741C50"/>
    <w:rsid w:val="00741F62"/>
    <w:rsid w:val="00742378"/>
    <w:rsid w:val="00744253"/>
    <w:rsid w:val="007456C0"/>
    <w:rsid w:val="00746753"/>
    <w:rsid w:val="00746BBD"/>
    <w:rsid w:val="00747D16"/>
    <w:rsid w:val="00750759"/>
    <w:rsid w:val="007526C5"/>
    <w:rsid w:val="007538D3"/>
    <w:rsid w:val="007556EC"/>
    <w:rsid w:val="00756336"/>
    <w:rsid w:val="007576D9"/>
    <w:rsid w:val="00757EDA"/>
    <w:rsid w:val="00760C77"/>
    <w:rsid w:val="00761FC3"/>
    <w:rsid w:val="00761FFC"/>
    <w:rsid w:val="007629E1"/>
    <w:rsid w:val="007637DA"/>
    <w:rsid w:val="00764147"/>
    <w:rsid w:val="0076619F"/>
    <w:rsid w:val="007663D5"/>
    <w:rsid w:val="00770BC1"/>
    <w:rsid w:val="00770D08"/>
    <w:rsid w:val="00771560"/>
    <w:rsid w:val="00773255"/>
    <w:rsid w:val="007734A4"/>
    <w:rsid w:val="00774592"/>
    <w:rsid w:val="007747CD"/>
    <w:rsid w:val="0077497D"/>
    <w:rsid w:val="007778CA"/>
    <w:rsid w:val="00782AE6"/>
    <w:rsid w:val="007840C7"/>
    <w:rsid w:val="007843A9"/>
    <w:rsid w:val="00790962"/>
    <w:rsid w:val="007937B7"/>
    <w:rsid w:val="0079550F"/>
    <w:rsid w:val="00795B5F"/>
    <w:rsid w:val="00796C53"/>
    <w:rsid w:val="00797B24"/>
    <w:rsid w:val="007A19DD"/>
    <w:rsid w:val="007A21E6"/>
    <w:rsid w:val="007A269B"/>
    <w:rsid w:val="007A435C"/>
    <w:rsid w:val="007A4B82"/>
    <w:rsid w:val="007B06CD"/>
    <w:rsid w:val="007B1C54"/>
    <w:rsid w:val="007B1C94"/>
    <w:rsid w:val="007B2980"/>
    <w:rsid w:val="007B4CE2"/>
    <w:rsid w:val="007B5A76"/>
    <w:rsid w:val="007B6912"/>
    <w:rsid w:val="007B6A80"/>
    <w:rsid w:val="007C3500"/>
    <w:rsid w:val="007C3693"/>
    <w:rsid w:val="007C37DD"/>
    <w:rsid w:val="007C50FA"/>
    <w:rsid w:val="007C6B84"/>
    <w:rsid w:val="007D09CA"/>
    <w:rsid w:val="007D1BF5"/>
    <w:rsid w:val="007D6D4F"/>
    <w:rsid w:val="007D771E"/>
    <w:rsid w:val="007E462C"/>
    <w:rsid w:val="007E4D40"/>
    <w:rsid w:val="007E6A94"/>
    <w:rsid w:val="007E726F"/>
    <w:rsid w:val="007F04FD"/>
    <w:rsid w:val="007F2176"/>
    <w:rsid w:val="007F344D"/>
    <w:rsid w:val="007F37BA"/>
    <w:rsid w:val="007F509D"/>
    <w:rsid w:val="008006E0"/>
    <w:rsid w:val="00801047"/>
    <w:rsid w:val="008044BB"/>
    <w:rsid w:val="008045F8"/>
    <w:rsid w:val="008056E3"/>
    <w:rsid w:val="00805D76"/>
    <w:rsid w:val="008061C1"/>
    <w:rsid w:val="00806AEC"/>
    <w:rsid w:val="008074AC"/>
    <w:rsid w:val="00807FB0"/>
    <w:rsid w:val="00810329"/>
    <w:rsid w:val="00810530"/>
    <w:rsid w:val="008105ED"/>
    <w:rsid w:val="00810719"/>
    <w:rsid w:val="0081098A"/>
    <w:rsid w:val="008125C3"/>
    <w:rsid w:val="0081347C"/>
    <w:rsid w:val="00813A2E"/>
    <w:rsid w:val="00813F2F"/>
    <w:rsid w:val="008145E1"/>
    <w:rsid w:val="0081482F"/>
    <w:rsid w:val="008149DB"/>
    <w:rsid w:val="008159CC"/>
    <w:rsid w:val="00815F0B"/>
    <w:rsid w:val="008215B7"/>
    <w:rsid w:val="0082333F"/>
    <w:rsid w:val="008276D1"/>
    <w:rsid w:val="00832BD1"/>
    <w:rsid w:val="008334C7"/>
    <w:rsid w:val="00833C95"/>
    <w:rsid w:val="00834C3D"/>
    <w:rsid w:val="00835D68"/>
    <w:rsid w:val="008404F6"/>
    <w:rsid w:val="00840970"/>
    <w:rsid w:val="00841267"/>
    <w:rsid w:val="008420F1"/>
    <w:rsid w:val="00843E24"/>
    <w:rsid w:val="00845116"/>
    <w:rsid w:val="008454A0"/>
    <w:rsid w:val="00846976"/>
    <w:rsid w:val="008503D1"/>
    <w:rsid w:val="0085121F"/>
    <w:rsid w:val="0085564C"/>
    <w:rsid w:val="00855737"/>
    <w:rsid w:val="0085767A"/>
    <w:rsid w:val="00861197"/>
    <w:rsid w:val="00861F4B"/>
    <w:rsid w:val="00864655"/>
    <w:rsid w:val="00864DF9"/>
    <w:rsid w:val="008669F5"/>
    <w:rsid w:val="008700F9"/>
    <w:rsid w:val="00871DFA"/>
    <w:rsid w:val="00876650"/>
    <w:rsid w:val="00877679"/>
    <w:rsid w:val="00877BBB"/>
    <w:rsid w:val="00882A3E"/>
    <w:rsid w:val="00883142"/>
    <w:rsid w:val="00884230"/>
    <w:rsid w:val="008864DD"/>
    <w:rsid w:val="00886D8C"/>
    <w:rsid w:val="00886EC7"/>
    <w:rsid w:val="00891954"/>
    <w:rsid w:val="00891D97"/>
    <w:rsid w:val="008929D2"/>
    <w:rsid w:val="00893D93"/>
    <w:rsid w:val="00894456"/>
    <w:rsid w:val="008949C5"/>
    <w:rsid w:val="008A09A7"/>
    <w:rsid w:val="008A2588"/>
    <w:rsid w:val="008A40F6"/>
    <w:rsid w:val="008A47C5"/>
    <w:rsid w:val="008A6724"/>
    <w:rsid w:val="008B1617"/>
    <w:rsid w:val="008B2D14"/>
    <w:rsid w:val="008B60A3"/>
    <w:rsid w:val="008B7572"/>
    <w:rsid w:val="008B7EAE"/>
    <w:rsid w:val="008C0E3B"/>
    <w:rsid w:val="008C3D92"/>
    <w:rsid w:val="008C3EB1"/>
    <w:rsid w:val="008C42BA"/>
    <w:rsid w:val="008C5467"/>
    <w:rsid w:val="008C7B5B"/>
    <w:rsid w:val="008D1F6A"/>
    <w:rsid w:val="008D4A81"/>
    <w:rsid w:val="008D521D"/>
    <w:rsid w:val="008D60B4"/>
    <w:rsid w:val="008D7228"/>
    <w:rsid w:val="008E0442"/>
    <w:rsid w:val="008E05E8"/>
    <w:rsid w:val="008E311F"/>
    <w:rsid w:val="008E3DDD"/>
    <w:rsid w:val="008E45F3"/>
    <w:rsid w:val="008E4FFE"/>
    <w:rsid w:val="008E5151"/>
    <w:rsid w:val="008E5B69"/>
    <w:rsid w:val="008E78FB"/>
    <w:rsid w:val="008F15F3"/>
    <w:rsid w:val="008F22D3"/>
    <w:rsid w:val="008F323C"/>
    <w:rsid w:val="008F4AA9"/>
    <w:rsid w:val="008F5D88"/>
    <w:rsid w:val="009022B3"/>
    <w:rsid w:val="009026C8"/>
    <w:rsid w:val="00903889"/>
    <w:rsid w:val="00904C74"/>
    <w:rsid w:val="00906A80"/>
    <w:rsid w:val="00910629"/>
    <w:rsid w:val="00910CDD"/>
    <w:rsid w:val="009112D6"/>
    <w:rsid w:val="009115F7"/>
    <w:rsid w:val="0091245C"/>
    <w:rsid w:val="00913B69"/>
    <w:rsid w:val="009207BA"/>
    <w:rsid w:val="00921565"/>
    <w:rsid w:val="009221F5"/>
    <w:rsid w:val="00923649"/>
    <w:rsid w:val="009237EE"/>
    <w:rsid w:val="00923AC0"/>
    <w:rsid w:val="009255AB"/>
    <w:rsid w:val="009263F6"/>
    <w:rsid w:val="009310F3"/>
    <w:rsid w:val="00931647"/>
    <w:rsid w:val="00931CC5"/>
    <w:rsid w:val="0093211F"/>
    <w:rsid w:val="00933077"/>
    <w:rsid w:val="009335C3"/>
    <w:rsid w:val="00934C4C"/>
    <w:rsid w:val="00936D18"/>
    <w:rsid w:val="00936E9B"/>
    <w:rsid w:val="00940DFB"/>
    <w:rsid w:val="00942722"/>
    <w:rsid w:val="00943D35"/>
    <w:rsid w:val="0094512A"/>
    <w:rsid w:val="0094687B"/>
    <w:rsid w:val="00947B69"/>
    <w:rsid w:val="0095090C"/>
    <w:rsid w:val="009514C2"/>
    <w:rsid w:val="0095212E"/>
    <w:rsid w:val="0095315E"/>
    <w:rsid w:val="009546CC"/>
    <w:rsid w:val="009548E2"/>
    <w:rsid w:val="00957577"/>
    <w:rsid w:val="00961259"/>
    <w:rsid w:val="009640B4"/>
    <w:rsid w:val="00964CCC"/>
    <w:rsid w:val="00965BFF"/>
    <w:rsid w:val="0096656F"/>
    <w:rsid w:val="009668FE"/>
    <w:rsid w:val="009675C5"/>
    <w:rsid w:val="00967CCC"/>
    <w:rsid w:val="00970519"/>
    <w:rsid w:val="00970982"/>
    <w:rsid w:val="00971302"/>
    <w:rsid w:val="00971695"/>
    <w:rsid w:val="009764E1"/>
    <w:rsid w:val="009766A2"/>
    <w:rsid w:val="00977527"/>
    <w:rsid w:val="00977A3A"/>
    <w:rsid w:val="0098075E"/>
    <w:rsid w:val="009832DA"/>
    <w:rsid w:val="00983434"/>
    <w:rsid w:val="0098362D"/>
    <w:rsid w:val="009846A3"/>
    <w:rsid w:val="00984F86"/>
    <w:rsid w:val="00985F4A"/>
    <w:rsid w:val="009874E1"/>
    <w:rsid w:val="009877B9"/>
    <w:rsid w:val="0099033C"/>
    <w:rsid w:val="00990965"/>
    <w:rsid w:val="00991A83"/>
    <w:rsid w:val="00993F98"/>
    <w:rsid w:val="00994867"/>
    <w:rsid w:val="00994FFD"/>
    <w:rsid w:val="009957A1"/>
    <w:rsid w:val="009A01FC"/>
    <w:rsid w:val="009A184F"/>
    <w:rsid w:val="009A1BB0"/>
    <w:rsid w:val="009A3E6E"/>
    <w:rsid w:val="009A4FF8"/>
    <w:rsid w:val="009A5B5C"/>
    <w:rsid w:val="009A605C"/>
    <w:rsid w:val="009A6AB1"/>
    <w:rsid w:val="009A6E4A"/>
    <w:rsid w:val="009A6E60"/>
    <w:rsid w:val="009A6F5C"/>
    <w:rsid w:val="009B001B"/>
    <w:rsid w:val="009B131A"/>
    <w:rsid w:val="009B3249"/>
    <w:rsid w:val="009B33EF"/>
    <w:rsid w:val="009B6513"/>
    <w:rsid w:val="009B7337"/>
    <w:rsid w:val="009B7508"/>
    <w:rsid w:val="009B7D53"/>
    <w:rsid w:val="009C104C"/>
    <w:rsid w:val="009C3E4D"/>
    <w:rsid w:val="009C3F6D"/>
    <w:rsid w:val="009C419F"/>
    <w:rsid w:val="009C5BF4"/>
    <w:rsid w:val="009C7918"/>
    <w:rsid w:val="009D0C8A"/>
    <w:rsid w:val="009D11C7"/>
    <w:rsid w:val="009D1270"/>
    <w:rsid w:val="009D14B6"/>
    <w:rsid w:val="009D1770"/>
    <w:rsid w:val="009D1841"/>
    <w:rsid w:val="009D2359"/>
    <w:rsid w:val="009D3601"/>
    <w:rsid w:val="009D389E"/>
    <w:rsid w:val="009D4F00"/>
    <w:rsid w:val="009D537D"/>
    <w:rsid w:val="009D54C2"/>
    <w:rsid w:val="009D67FC"/>
    <w:rsid w:val="009D7665"/>
    <w:rsid w:val="009D7D53"/>
    <w:rsid w:val="009E0594"/>
    <w:rsid w:val="009E1FF5"/>
    <w:rsid w:val="009E46E5"/>
    <w:rsid w:val="009E6935"/>
    <w:rsid w:val="009F0EAA"/>
    <w:rsid w:val="009F1E65"/>
    <w:rsid w:val="009F6461"/>
    <w:rsid w:val="00A003F8"/>
    <w:rsid w:val="00A02F04"/>
    <w:rsid w:val="00A042CE"/>
    <w:rsid w:val="00A05356"/>
    <w:rsid w:val="00A056BE"/>
    <w:rsid w:val="00A05F14"/>
    <w:rsid w:val="00A05F49"/>
    <w:rsid w:val="00A11A66"/>
    <w:rsid w:val="00A12F8F"/>
    <w:rsid w:val="00A13CC0"/>
    <w:rsid w:val="00A15678"/>
    <w:rsid w:val="00A15793"/>
    <w:rsid w:val="00A164FA"/>
    <w:rsid w:val="00A177BC"/>
    <w:rsid w:val="00A17876"/>
    <w:rsid w:val="00A20256"/>
    <w:rsid w:val="00A207E6"/>
    <w:rsid w:val="00A235F8"/>
    <w:rsid w:val="00A239FE"/>
    <w:rsid w:val="00A24E45"/>
    <w:rsid w:val="00A25265"/>
    <w:rsid w:val="00A26282"/>
    <w:rsid w:val="00A27D79"/>
    <w:rsid w:val="00A315BD"/>
    <w:rsid w:val="00A317B0"/>
    <w:rsid w:val="00A32559"/>
    <w:rsid w:val="00A32BB0"/>
    <w:rsid w:val="00A333F5"/>
    <w:rsid w:val="00A34536"/>
    <w:rsid w:val="00A3460C"/>
    <w:rsid w:val="00A34EB3"/>
    <w:rsid w:val="00A35776"/>
    <w:rsid w:val="00A36C2E"/>
    <w:rsid w:val="00A40F2D"/>
    <w:rsid w:val="00A42B6E"/>
    <w:rsid w:val="00A44E83"/>
    <w:rsid w:val="00A45082"/>
    <w:rsid w:val="00A47A58"/>
    <w:rsid w:val="00A54860"/>
    <w:rsid w:val="00A555AB"/>
    <w:rsid w:val="00A55B45"/>
    <w:rsid w:val="00A562B7"/>
    <w:rsid w:val="00A56ECB"/>
    <w:rsid w:val="00A571C6"/>
    <w:rsid w:val="00A611D5"/>
    <w:rsid w:val="00A63871"/>
    <w:rsid w:val="00A63910"/>
    <w:rsid w:val="00A66524"/>
    <w:rsid w:val="00A66B2C"/>
    <w:rsid w:val="00A70CC5"/>
    <w:rsid w:val="00A718A6"/>
    <w:rsid w:val="00A75045"/>
    <w:rsid w:val="00A808CF"/>
    <w:rsid w:val="00A80FCA"/>
    <w:rsid w:val="00A811D3"/>
    <w:rsid w:val="00A8320C"/>
    <w:rsid w:val="00A83AF9"/>
    <w:rsid w:val="00A84234"/>
    <w:rsid w:val="00A84A3D"/>
    <w:rsid w:val="00A87783"/>
    <w:rsid w:val="00A87F16"/>
    <w:rsid w:val="00A94861"/>
    <w:rsid w:val="00A9673D"/>
    <w:rsid w:val="00A96D07"/>
    <w:rsid w:val="00AA0132"/>
    <w:rsid w:val="00AA24C5"/>
    <w:rsid w:val="00AA2E04"/>
    <w:rsid w:val="00AA44BD"/>
    <w:rsid w:val="00AA6854"/>
    <w:rsid w:val="00AB0FE6"/>
    <w:rsid w:val="00AB1867"/>
    <w:rsid w:val="00AB18AB"/>
    <w:rsid w:val="00AB2164"/>
    <w:rsid w:val="00AB2387"/>
    <w:rsid w:val="00AB2F84"/>
    <w:rsid w:val="00AC04D7"/>
    <w:rsid w:val="00AC148A"/>
    <w:rsid w:val="00AC309E"/>
    <w:rsid w:val="00AC4C62"/>
    <w:rsid w:val="00AC5152"/>
    <w:rsid w:val="00AC5A4C"/>
    <w:rsid w:val="00AC79DC"/>
    <w:rsid w:val="00AD0069"/>
    <w:rsid w:val="00AD0337"/>
    <w:rsid w:val="00AD17FA"/>
    <w:rsid w:val="00AD20CE"/>
    <w:rsid w:val="00AD2E41"/>
    <w:rsid w:val="00AD409F"/>
    <w:rsid w:val="00AD4FB5"/>
    <w:rsid w:val="00AD58EE"/>
    <w:rsid w:val="00AD6BDE"/>
    <w:rsid w:val="00AD7F49"/>
    <w:rsid w:val="00AE0916"/>
    <w:rsid w:val="00AE1811"/>
    <w:rsid w:val="00AE59EB"/>
    <w:rsid w:val="00AF1FDA"/>
    <w:rsid w:val="00AF27CC"/>
    <w:rsid w:val="00AF35D2"/>
    <w:rsid w:val="00AF5955"/>
    <w:rsid w:val="00AF641B"/>
    <w:rsid w:val="00AF6456"/>
    <w:rsid w:val="00B01401"/>
    <w:rsid w:val="00B04071"/>
    <w:rsid w:val="00B051AA"/>
    <w:rsid w:val="00B056E1"/>
    <w:rsid w:val="00B05F4A"/>
    <w:rsid w:val="00B061FE"/>
    <w:rsid w:val="00B06BAF"/>
    <w:rsid w:val="00B100B4"/>
    <w:rsid w:val="00B109CE"/>
    <w:rsid w:val="00B11970"/>
    <w:rsid w:val="00B1343D"/>
    <w:rsid w:val="00B14C8B"/>
    <w:rsid w:val="00B14E8C"/>
    <w:rsid w:val="00B15D26"/>
    <w:rsid w:val="00B16327"/>
    <w:rsid w:val="00B17736"/>
    <w:rsid w:val="00B17F4C"/>
    <w:rsid w:val="00B200CC"/>
    <w:rsid w:val="00B20BAD"/>
    <w:rsid w:val="00B211E6"/>
    <w:rsid w:val="00B21B7E"/>
    <w:rsid w:val="00B24393"/>
    <w:rsid w:val="00B307BA"/>
    <w:rsid w:val="00B31103"/>
    <w:rsid w:val="00B31DB6"/>
    <w:rsid w:val="00B320AC"/>
    <w:rsid w:val="00B33466"/>
    <w:rsid w:val="00B361B9"/>
    <w:rsid w:val="00B3641A"/>
    <w:rsid w:val="00B37C29"/>
    <w:rsid w:val="00B448CC"/>
    <w:rsid w:val="00B4508E"/>
    <w:rsid w:val="00B47DCD"/>
    <w:rsid w:val="00B50BA4"/>
    <w:rsid w:val="00B50BB4"/>
    <w:rsid w:val="00B51225"/>
    <w:rsid w:val="00B516DD"/>
    <w:rsid w:val="00B53203"/>
    <w:rsid w:val="00B53705"/>
    <w:rsid w:val="00B543FF"/>
    <w:rsid w:val="00B54A84"/>
    <w:rsid w:val="00B55301"/>
    <w:rsid w:val="00B6031F"/>
    <w:rsid w:val="00B63214"/>
    <w:rsid w:val="00B63611"/>
    <w:rsid w:val="00B63948"/>
    <w:rsid w:val="00B6415A"/>
    <w:rsid w:val="00B644DC"/>
    <w:rsid w:val="00B6486D"/>
    <w:rsid w:val="00B64A3E"/>
    <w:rsid w:val="00B661E1"/>
    <w:rsid w:val="00B66A4B"/>
    <w:rsid w:val="00B70523"/>
    <w:rsid w:val="00B70BCD"/>
    <w:rsid w:val="00B75C00"/>
    <w:rsid w:val="00B75C21"/>
    <w:rsid w:val="00B8064F"/>
    <w:rsid w:val="00B807C6"/>
    <w:rsid w:val="00B81C44"/>
    <w:rsid w:val="00B830C5"/>
    <w:rsid w:val="00B83856"/>
    <w:rsid w:val="00B846A4"/>
    <w:rsid w:val="00B8603E"/>
    <w:rsid w:val="00B90F44"/>
    <w:rsid w:val="00B93118"/>
    <w:rsid w:val="00B93363"/>
    <w:rsid w:val="00B935B2"/>
    <w:rsid w:val="00B9373E"/>
    <w:rsid w:val="00B93D1F"/>
    <w:rsid w:val="00B95BA2"/>
    <w:rsid w:val="00B960ED"/>
    <w:rsid w:val="00B96139"/>
    <w:rsid w:val="00B976A9"/>
    <w:rsid w:val="00BA0E13"/>
    <w:rsid w:val="00BA0F3A"/>
    <w:rsid w:val="00BA7808"/>
    <w:rsid w:val="00BB04EC"/>
    <w:rsid w:val="00BB11D3"/>
    <w:rsid w:val="00BB1D57"/>
    <w:rsid w:val="00BB305D"/>
    <w:rsid w:val="00BB316F"/>
    <w:rsid w:val="00BB3E51"/>
    <w:rsid w:val="00BB3EFD"/>
    <w:rsid w:val="00BC02EB"/>
    <w:rsid w:val="00BC1DDB"/>
    <w:rsid w:val="00BC2A47"/>
    <w:rsid w:val="00BC453B"/>
    <w:rsid w:val="00BC5A29"/>
    <w:rsid w:val="00BC6C32"/>
    <w:rsid w:val="00BD0285"/>
    <w:rsid w:val="00BD07C2"/>
    <w:rsid w:val="00BD0EDA"/>
    <w:rsid w:val="00BD14CB"/>
    <w:rsid w:val="00BD18B9"/>
    <w:rsid w:val="00BD207C"/>
    <w:rsid w:val="00BD2821"/>
    <w:rsid w:val="00BD3F4F"/>
    <w:rsid w:val="00BD47D6"/>
    <w:rsid w:val="00BD532D"/>
    <w:rsid w:val="00BD5DD2"/>
    <w:rsid w:val="00BD74AE"/>
    <w:rsid w:val="00BD79C2"/>
    <w:rsid w:val="00BE10FC"/>
    <w:rsid w:val="00BE3785"/>
    <w:rsid w:val="00BE5D49"/>
    <w:rsid w:val="00BF010F"/>
    <w:rsid w:val="00BF0604"/>
    <w:rsid w:val="00BF082F"/>
    <w:rsid w:val="00BF24B8"/>
    <w:rsid w:val="00BF38FD"/>
    <w:rsid w:val="00BF43CF"/>
    <w:rsid w:val="00BF515C"/>
    <w:rsid w:val="00BF5895"/>
    <w:rsid w:val="00BF6313"/>
    <w:rsid w:val="00BF674E"/>
    <w:rsid w:val="00BF7CE7"/>
    <w:rsid w:val="00C004FF"/>
    <w:rsid w:val="00C0186B"/>
    <w:rsid w:val="00C030D5"/>
    <w:rsid w:val="00C06832"/>
    <w:rsid w:val="00C06A0A"/>
    <w:rsid w:val="00C06D9D"/>
    <w:rsid w:val="00C10592"/>
    <w:rsid w:val="00C10E5A"/>
    <w:rsid w:val="00C11A3C"/>
    <w:rsid w:val="00C12C4B"/>
    <w:rsid w:val="00C12D6C"/>
    <w:rsid w:val="00C1441D"/>
    <w:rsid w:val="00C14F43"/>
    <w:rsid w:val="00C153FE"/>
    <w:rsid w:val="00C15525"/>
    <w:rsid w:val="00C1581A"/>
    <w:rsid w:val="00C178C5"/>
    <w:rsid w:val="00C20C18"/>
    <w:rsid w:val="00C20CEF"/>
    <w:rsid w:val="00C23EC8"/>
    <w:rsid w:val="00C253A6"/>
    <w:rsid w:val="00C26085"/>
    <w:rsid w:val="00C26D43"/>
    <w:rsid w:val="00C27623"/>
    <w:rsid w:val="00C27D5B"/>
    <w:rsid w:val="00C307AE"/>
    <w:rsid w:val="00C30A26"/>
    <w:rsid w:val="00C31062"/>
    <w:rsid w:val="00C32C25"/>
    <w:rsid w:val="00C3346A"/>
    <w:rsid w:val="00C33CBF"/>
    <w:rsid w:val="00C3500C"/>
    <w:rsid w:val="00C3516A"/>
    <w:rsid w:val="00C3559D"/>
    <w:rsid w:val="00C356ED"/>
    <w:rsid w:val="00C35CB9"/>
    <w:rsid w:val="00C3653C"/>
    <w:rsid w:val="00C40D40"/>
    <w:rsid w:val="00C413C3"/>
    <w:rsid w:val="00C417B2"/>
    <w:rsid w:val="00C431E3"/>
    <w:rsid w:val="00C43FC1"/>
    <w:rsid w:val="00C519A5"/>
    <w:rsid w:val="00C5310E"/>
    <w:rsid w:val="00C53351"/>
    <w:rsid w:val="00C5796B"/>
    <w:rsid w:val="00C60B12"/>
    <w:rsid w:val="00C6280D"/>
    <w:rsid w:val="00C663AB"/>
    <w:rsid w:val="00C67416"/>
    <w:rsid w:val="00C70829"/>
    <w:rsid w:val="00C71843"/>
    <w:rsid w:val="00C7259D"/>
    <w:rsid w:val="00C74A08"/>
    <w:rsid w:val="00C75915"/>
    <w:rsid w:val="00C77910"/>
    <w:rsid w:val="00C82E2D"/>
    <w:rsid w:val="00C867D5"/>
    <w:rsid w:val="00C867E0"/>
    <w:rsid w:val="00C90FC3"/>
    <w:rsid w:val="00C92E71"/>
    <w:rsid w:val="00C95E78"/>
    <w:rsid w:val="00C96DD0"/>
    <w:rsid w:val="00C97296"/>
    <w:rsid w:val="00CA2219"/>
    <w:rsid w:val="00CA2D29"/>
    <w:rsid w:val="00CA3983"/>
    <w:rsid w:val="00CA3AE2"/>
    <w:rsid w:val="00CA488E"/>
    <w:rsid w:val="00CA4F38"/>
    <w:rsid w:val="00CA798A"/>
    <w:rsid w:val="00CA7CCD"/>
    <w:rsid w:val="00CB2771"/>
    <w:rsid w:val="00CB4189"/>
    <w:rsid w:val="00CB5286"/>
    <w:rsid w:val="00CB6120"/>
    <w:rsid w:val="00CC1C57"/>
    <w:rsid w:val="00CC2819"/>
    <w:rsid w:val="00CC38FF"/>
    <w:rsid w:val="00CC6D6B"/>
    <w:rsid w:val="00CC6D8B"/>
    <w:rsid w:val="00CC7498"/>
    <w:rsid w:val="00CD1DB2"/>
    <w:rsid w:val="00CD2966"/>
    <w:rsid w:val="00CD2C8B"/>
    <w:rsid w:val="00CD3827"/>
    <w:rsid w:val="00CD3942"/>
    <w:rsid w:val="00CD604F"/>
    <w:rsid w:val="00CD7B97"/>
    <w:rsid w:val="00CE0BDC"/>
    <w:rsid w:val="00CE2DC7"/>
    <w:rsid w:val="00CE3F47"/>
    <w:rsid w:val="00CE5793"/>
    <w:rsid w:val="00CF251D"/>
    <w:rsid w:val="00CF35A8"/>
    <w:rsid w:val="00CF5E58"/>
    <w:rsid w:val="00CF6515"/>
    <w:rsid w:val="00CF67EF"/>
    <w:rsid w:val="00CF706A"/>
    <w:rsid w:val="00D01162"/>
    <w:rsid w:val="00D01D8F"/>
    <w:rsid w:val="00D0243C"/>
    <w:rsid w:val="00D02F3F"/>
    <w:rsid w:val="00D03A6F"/>
    <w:rsid w:val="00D03FDB"/>
    <w:rsid w:val="00D06475"/>
    <w:rsid w:val="00D0658F"/>
    <w:rsid w:val="00D1139E"/>
    <w:rsid w:val="00D11908"/>
    <w:rsid w:val="00D11EFB"/>
    <w:rsid w:val="00D15300"/>
    <w:rsid w:val="00D2131C"/>
    <w:rsid w:val="00D21533"/>
    <w:rsid w:val="00D22275"/>
    <w:rsid w:val="00D22D60"/>
    <w:rsid w:val="00D23AFA"/>
    <w:rsid w:val="00D24FC9"/>
    <w:rsid w:val="00D264FD"/>
    <w:rsid w:val="00D265CC"/>
    <w:rsid w:val="00D26E67"/>
    <w:rsid w:val="00D27C81"/>
    <w:rsid w:val="00D32010"/>
    <w:rsid w:val="00D3244E"/>
    <w:rsid w:val="00D3265F"/>
    <w:rsid w:val="00D337D3"/>
    <w:rsid w:val="00D36439"/>
    <w:rsid w:val="00D36E7A"/>
    <w:rsid w:val="00D37A9A"/>
    <w:rsid w:val="00D4212C"/>
    <w:rsid w:val="00D423A0"/>
    <w:rsid w:val="00D42A52"/>
    <w:rsid w:val="00D43331"/>
    <w:rsid w:val="00D4508A"/>
    <w:rsid w:val="00D4552B"/>
    <w:rsid w:val="00D458E6"/>
    <w:rsid w:val="00D45D98"/>
    <w:rsid w:val="00D50BC7"/>
    <w:rsid w:val="00D5176C"/>
    <w:rsid w:val="00D53E79"/>
    <w:rsid w:val="00D54C79"/>
    <w:rsid w:val="00D56D04"/>
    <w:rsid w:val="00D57660"/>
    <w:rsid w:val="00D57BCF"/>
    <w:rsid w:val="00D60E79"/>
    <w:rsid w:val="00D611C9"/>
    <w:rsid w:val="00D6154B"/>
    <w:rsid w:val="00D616F1"/>
    <w:rsid w:val="00D61C1B"/>
    <w:rsid w:val="00D64A6E"/>
    <w:rsid w:val="00D650DE"/>
    <w:rsid w:val="00D6749A"/>
    <w:rsid w:val="00D67C67"/>
    <w:rsid w:val="00D7070C"/>
    <w:rsid w:val="00D70BCA"/>
    <w:rsid w:val="00D71CC7"/>
    <w:rsid w:val="00D71E8D"/>
    <w:rsid w:val="00D73709"/>
    <w:rsid w:val="00D755AC"/>
    <w:rsid w:val="00D75B57"/>
    <w:rsid w:val="00D80D7B"/>
    <w:rsid w:val="00D83075"/>
    <w:rsid w:val="00D83629"/>
    <w:rsid w:val="00D84260"/>
    <w:rsid w:val="00D84ECD"/>
    <w:rsid w:val="00D85253"/>
    <w:rsid w:val="00D86B19"/>
    <w:rsid w:val="00D87A9A"/>
    <w:rsid w:val="00D90452"/>
    <w:rsid w:val="00D915C4"/>
    <w:rsid w:val="00D91F1A"/>
    <w:rsid w:val="00D9260C"/>
    <w:rsid w:val="00D92744"/>
    <w:rsid w:val="00D93FCB"/>
    <w:rsid w:val="00D945F6"/>
    <w:rsid w:val="00D962B1"/>
    <w:rsid w:val="00D9700B"/>
    <w:rsid w:val="00DA05BB"/>
    <w:rsid w:val="00DA19B3"/>
    <w:rsid w:val="00DA2C47"/>
    <w:rsid w:val="00DA4101"/>
    <w:rsid w:val="00DA4CE0"/>
    <w:rsid w:val="00DA4F06"/>
    <w:rsid w:val="00DA5F27"/>
    <w:rsid w:val="00DA7A4B"/>
    <w:rsid w:val="00DB0573"/>
    <w:rsid w:val="00DB067B"/>
    <w:rsid w:val="00DB10B3"/>
    <w:rsid w:val="00DB17FC"/>
    <w:rsid w:val="00DB23C4"/>
    <w:rsid w:val="00DB318C"/>
    <w:rsid w:val="00DB401A"/>
    <w:rsid w:val="00DB43F6"/>
    <w:rsid w:val="00DB58DF"/>
    <w:rsid w:val="00DB663E"/>
    <w:rsid w:val="00DB6BB9"/>
    <w:rsid w:val="00DB7BFF"/>
    <w:rsid w:val="00DC0182"/>
    <w:rsid w:val="00DC0DF9"/>
    <w:rsid w:val="00DC14E6"/>
    <w:rsid w:val="00DC1554"/>
    <w:rsid w:val="00DC4A4B"/>
    <w:rsid w:val="00DC5A90"/>
    <w:rsid w:val="00DC5E85"/>
    <w:rsid w:val="00DC659E"/>
    <w:rsid w:val="00DC6A2D"/>
    <w:rsid w:val="00DD0733"/>
    <w:rsid w:val="00DD3514"/>
    <w:rsid w:val="00DD4B6B"/>
    <w:rsid w:val="00DD50FF"/>
    <w:rsid w:val="00DD763E"/>
    <w:rsid w:val="00DD77CA"/>
    <w:rsid w:val="00DE067C"/>
    <w:rsid w:val="00DE09D3"/>
    <w:rsid w:val="00DE125F"/>
    <w:rsid w:val="00DE1FA8"/>
    <w:rsid w:val="00DE2B08"/>
    <w:rsid w:val="00DE3F4C"/>
    <w:rsid w:val="00DE4E17"/>
    <w:rsid w:val="00DE57F6"/>
    <w:rsid w:val="00DE58C0"/>
    <w:rsid w:val="00DE721C"/>
    <w:rsid w:val="00DE7EA6"/>
    <w:rsid w:val="00DF1B31"/>
    <w:rsid w:val="00DF2E49"/>
    <w:rsid w:val="00DF34B3"/>
    <w:rsid w:val="00DF3E29"/>
    <w:rsid w:val="00DF576D"/>
    <w:rsid w:val="00DF7C4D"/>
    <w:rsid w:val="00E00141"/>
    <w:rsid w:val="00E00153"/>
    <w:rsid w:val="00E0060D"/>
    <w:rsid w:val="00E06C42"/>
    <w:rsid w:val="00E0738F"/>
    <w:rsid w:val="00E145E4"/>
    <w:rsid w:val="00E1600E"/>
    <w:rsid w:val="00E17699"/>
    <w:rsid w:val="00E2330E"/>
    <w:rsid w:val="00E236F8"/>
    <w:rsid w:val="00E276B2"/>
    <w:rsid w:val="00E27F06"/>
    <w:rsid w:val="00E302C7"/>
    <w:rsid w:val="00E31BFA"/>
    <w:rsid w:val="00E3382A"/>
    <w:rsid w:val="00E33A65"/>
    <w:rsid w:val="00E34650"/>
    <w:rsid w:val="00E416BE"/>
    <w:rsid w:val="00E4174D"/>
    <w:rsid w:val="00E41ACD"/>
    <w:rsid w:val="00E422EC"/>
    <w:rsid w:val="00E42CA1"/>
    <w:rsid w:val="00E43340"/>
    <w:rsid w:val="00E43A8C"/>
    <w:rsid w:val="00E4522A"/>
    <w:rsid w:val="00E45FE4"/>
    <w:rsid w:val="00E46E0C"/>
    <w:rsid w:val="00E46F9C"/>
    <w:rsid w:val="00E47386"/>
    <w:rsid w:val="00E47982"/>
    <w:rsid w:val="00E51F04"/>
    <w:rsid w:val="00E52AE6"/>
    <w:rsid w:val="00E52DA4"/>
    <w:rsid w:val="00E53734"/>
    <w:rsid w:val="00E55CB4"/>
    <w:rsid w:val="00E57A4B"/>
    <w:rsid w:val="00E63C02"/>
    <w:rsid w:val="00E64E91"/>
    <w:rsid w:val="00E66589"/>
    <w:rsid w:val="00E70BB9"/>
    <w:rsid w:val="00E71EB6"/>
    <w:rsid w:val="00E71FF2"/>
    <w:rsid w:val="00E720BF"/>
    <w:rsid w:val="00E74984"/>
    <w:rsid w:val="00E74DDA"/>
    <w:rsid w:val="00E76D42"/>
    <w:rsid w:val="00E84B70"/>
    <w:rsid w:val="00E876B5"/>
    <w:rsid w:val="00E90B61"/>
    <w:rsid w:val="00E93FE0"/>
    <w:rsid w:val="00E960C0"/>
    <w:rsid w:val="00E96552"/>
    <w:rsid w:val="00E967B5"/>
    <w:rsid w:val="00E97713"/>
    <w:rsid w:val="00EA02AD"/>
    <w:rsid w:val="00EA0555"/>
    <w:rsid w:val="00EA0945"/>
    <w:rsid w:val="00EA2133"/>
    <w:rsid w:val="00EA26CC"/>
    <w:rsid w:val="00EA3AFC"/>
    <w:rsid w:val="00EA3B97"/>
    <w:rsid w:val="00EA5BA8"/>
    <w:rsid w:val="00EB33A7"/>
    <w:rsid w:val="00EB520D"/>
    <w:rsid w:val="00EB5BF0"/>
    <w:rsid w:val="00EC34B0"/>
    <w:rsid w:val="00EC4557"/>
    <w:rsid w:val="00EC4FC6"/>
    <w:rsid w:val="00EC561D"/>
    <w:rsid w:val="00EC5C84"/>
    <w:rsid w:val="00EC6223"/>
    <w:rsid w:val="00EC6B2B"/>
    <w:rsid w:val="00ED0963"/>
    <w:rsid w:val="00ED0CE5"/>
    <w:rsid w:val="00ED2FAC"/>
    <w:rsid w:val="00ED3BFF"/>
    <w:rsid w:val="00ED40D3"/>
    <w:rsid w:val="00ED549A"/>
    <w:rsid w:val="00ED5B0F"/>
    <w:rsid w:val="00ED6493"/>
    <w:rsid w:val="00EE213C"/>
    <w:rsid w:val="00EE38AC"/>
    <w:rsid w:val="00EE3A08"/>
    <w:rsid w:val="00EE3B14"/>
    <w:rsid w:val="00EE43F6"/>
    <w:rsid w:val="00EE694B"/>
    <w:rsid w:val="00EE7D9E"/>
    <w:rsid w:val="00EF13A8"/>
    <w:rsid w:val="00EF263F"/>
    <w:rsid w:val="00EF3059"/>
    <w:rsid w:val="00EF7B94"/>
    <w:rsid w:val="00F013FF"/>
    <w:rsid w:val="00F02E2F"/>
    <w:rsid w:val="00F03249"/>
    <w:rsid w:val="00F05BC7"/>
    <w:rsid w:val="00F109AB"/>
    <w:rsid w:val="00F120D9"/>
    <w:rsid w:val="00F13D82"/>
    <w:rsid w:val="00F159B4"/>
    <w:rsid w:val="00F20272"/>
    <w:rsid w:val="00F20711"/>
    <w:rsid w:val="00F21BB7"/>
    <w:rsid w:val="00F223EF"/>
    <w:rsid w:val="00F23829"/>
    <w:rsid w:val="00F2439E"/>
    <w:rsid w:val="00F255C2"/>
    <w:rsid w:val="00F264C4"/>
    <w:rsid w:val="00F269C2"/>
    <w:rsid w:val="00F27DC0"/>
    <w:rsid w:val="00F32BBD"/>
    <w:rsid w:val="00F32D77"/>
    <w:rsid w:val="00F3336D"/>
    <w:rsid w:val="00F34185"/>
    <w:rsid w:val="00F347BA"/>
    <w:rsid w:val="00F3480C"/>
    <w:rsid w:val="00F36E41"/>
    <w:rsid w:val="00F41531"/>
    <w:rsid w:val="00F4170E"/>
    <w:rsid w:val="00F43A00"/>
    <w:rsid w:val="00F45028"/>
    <w:rsid w:val="00F45850"/>
    <w:rsid w:val="00F45FC1"/>
    <w:rsid w:val="00F47000"/>
    <w:rsid w:val="00F47EC5"/>
    <w:rsid w:val="00F5127B"/>
    <w:rsid w:val="00F52C56"/>
    <w:rsid w:val="00F546B6"/>
    <w:rsid w:val="00F5606F"/>
    <w:rsid w:val="00F61EF2"/>
    <w:rsid w:val="00F621CB"/>
    <w:rsid w:val="00F62F83"/>
    <w:rsid w:val="00F63E30"/>
    <w:rsid w:val="00F6593F"/>
    <w:rsid w:val="00F65D42"/>
    <w:rsid w:val="00F66C86"/>
    <w:rsid w:val="00F67053"/>
    <w:rsid w:val="00F70579"/>
    <w:rsid w:val="00F71099"/>
    <w:rsid w:val="00F729D9"/>
    <w:rsid w:val="00F7320F"/>
    <w:rsid w:val="00F73624"/>
    <w:rsid w:val="00F736B9"/>
    <w:rsid w:val="00F752FC"/>
    <w:rsid w:val="00F7766E"/>
    <w:rsid w:val="00F777A1"/>
    <w:rsid w:val="00F77FDC"/>
    <w:rsid w:val="00F80305"/>
    <w:rsid w:val="00F805FF"/>
    <w:rsid w:val="00F81D9C"/>
    <w:rsid w:val="00F81FD5"/>
    <w:rsid w:val="00F82A91"/>
    <w:rsid w:val="00F839D0"/>
    <w:rsid w:val="00F83D73"/>
    <w:rsid w:val="00F83DBE"/>
    <w:rsid w:val="00F84F99"/>
    <w:rsid w:val="00F8516E"/>
    <w:rsid w:val="00F87DF1"/>
    <w:rsid w:val="00F91A30"/>
    <w:rsid w:val="00F922B3"/>
    <w:rsid w:val="00F9453B"/>
    <w:rsid w:val="00F956D0"/>
    <w:rsid w:val="00F95D94"/>
    <w:rsid w:val="00F973FA"/>
    <w:rsid w:val="00FA1942"/>
    <w:rsid w:val="00FA1AFD"/>
    <w:rsid w:val="00FA2B73"/>
    <w:rsid w:val="00FA4F9D"/>
    <w:rsid w:val="00FA7359"/>
    <w:rsid w:val="00FA7484"/>
    <w:rsid w:val="00FB011F"/>
    <w:rsid w:val="00FB0774"/>
    <w:rsid w:val="00FB13A5"/>
    <w:rsid w:val="00FB2895"/>
    <w:rsid w:val="00FB2FD4"/>
    <w:rsid w:val="00FB338D"/>
    <w:rsid w:val="00FB3A16"/>
    <w:rsid w:val="00FB42BB"/>
    <w:rsid w:val="00FB500C"/>
    <w:rsid w:val="00FB639B"/>
    <w:rsid w:val="00FC0BC9"/>
    <w:rsid w:val="00FC0FB9"/>
    <w:rsid w:val="00FC1D25"/>
    <w:rsid w:val="00FC2062"/>
    <w:rsid w:val="00FC27BE"/>
    <w:rsid w:val="00FC28C2"/>
    <w:rsid w:val="00FC2A34"/>
    <w:rsid w:val="00FC36AD"/>
    <w:rsid w:val="00FC561F"/>
    <w:rsid w:val="00FC5CD6"/>
    <w:rsid w:val="00FC61F5"/>
    <w:rsid w:val="00FC6764"/>
    <w:rsid w:val="00FC688D"/>
    <w:rsid w:val="00FD2B33"/>
    <w:rsid w:val="00FD2F76"/>
    <w:rsid w:val="00FD3069"/>
    <w:rsid w:val="00FD4A83"/>
    <w:rsid w:val="00FE1062"/>
    <w:rsid w:val="00FE1497"/>
    <w:rsid w:val="00FE3BB8"/>
    <w:rsid w:val="00FE4846"/>
    <w:rsid w:val="00FE50A2"/>
    <w:rsid w:val="00FE5146"/>
    <w:rsid w:val="00FE5357"/>
    <w:rsid w:val="00FE69DB"/>
    <w:rsid w:val="00FE6BB2"/>
    <w:rsid w:val="00FE6CE3"/>
    <w:rsid w:val="00FE72D8"/>
    <w:rsid w:val="00FE765F"/>
    <w:rsid w:val="00FF620E"/>
    <w:rsid w:val="00FF6C7E"/>
    <w:rsid w:val="00FF7234"/>
    <w:rsid w:val="00FF74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uiPriority w:val="99"/>
    <w:semiHidden/>
    <w:unhideWhenUsed/>
    <w:rsid w:val="009B3249"/>
    <w:rPr>
      <w:sz w:val="16"/>
      <w:szCs w:val="16"/>
    </w:rPr>
  </w:style>
  <w:style w:type="paragraph" w:styleId="CommentText">
    <w:name w:val="annotation text"/>
    <w:basedOn w:val="Normal"/>
    <w:link w:val="CommentTextChar"/>
    <w:uiPriority w:val="99"/>
    <w:semiHidden/>
    <w:unhideWhenUsed/>
    <w:rsid w:val="009B3249"/>
    <w:rPr>
      <w:sz w:val="20"/>
      <w:szCs w:val="20"/>
    </w:rPr>
  </w:style>
  <w:style w:type="character" w:customStyle="1" w:styleId="CommentTextChar">
    <w:name w:val="Comment Text Char"/>
    <w:basedOn w:val="DefaultParagraphFont"/>
    <w:link w:val="CommentText"/>
    <w:uiPriority w:val="99"/>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link w:val="ListParagraphChar"/>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CD3827"/>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CD3827"/>
    <w:rPr>
      <w:rFonts w:ascii="Times" w:eastAsia="Batang" w:hAnsi="Times" w:cs="Times New Roman"/>
      <w:sz w:val="20"/>
      <w:szCs w:val="20"/>
    </w:rPr>
  </w:style>
  <w:style w:type="character" w:customStyle="1" w:styleId="ListParagraphChar">
    <w:name w:val="List Paragraph Char"/>
    <w:link w:val="ListParagraph"/>
    <w:uiPriority w:val="34"/>
    <w:rsid w:val="00F752FC"/>
    <w:rPr>
      <w:rFonts w:ascii="Times New Roman" w:eastAsia="Times New Roman"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uiPriority w:val="99"/>
    <w:semiHidden/>
    <w:unhideWhenUsed/>
    <w:rsid w:val="009B3249"/>
    <w:rPr>
      <w:sz w:val="16"/>
      <w:szCs w:val="16"/>
    </w:rPr>
  </w:style>
  <w:style w:type="paragraph" w:styleId="CommentText">
    <w:name w:val="annotation text"/>
    <w:basedOn w:val="Normal"/>
    <w:link w:val="CommentTextChar"/>
    <w:uiPriority w:val="99"/>
    <w:semiHidden/>
    <w:unhideWhenUsed/>
    <w:rsid w:val="009B3249"/>
    <w:rPr>
      <w:sz w:val="20"/>
      <w:szCs w:val="20"/>
    </w:rPr>
  </w:style>
  <w:style w:type="character" w:customStyle="1" w:styleId="CommentTextChar">
    <w:name w:val="Comment Text Char"/>
    <w:basedOn w:val="DefaultParagraphFont"/>
    <w:link w:val="CommentText"/>
    <w:uiPriority w:val="99"/>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link w:val="ListParagraphChar"/>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CD3827"/>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CD3827"/>
    <w:rPr>
      <w:rFonts w:ascii="Times" w:eastAsia="Batang" w:hAnsi="Times" w:cs="Times New Roman"/>
      <w:sz w:val="20"/>
      <w:szCs w:val="20"/>
    </w:rPr>
  </w:style>
  <w:style w:type="character" w:customStyle="1" w:styleId="ListParagraphChar">
    <w:name w:val="List Paragraph Char"/>
    <w:link w:val="ListParagraph"/>
    <w:uiPriority w:val="34"/>
    <w:rsid w:val="00F752FC"/>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77014">
      <w:bodyDiv w:val="1"/>
      <w:marLeft w:val="0"/>
      <w:marRight w:val="0"/>
      <w:marTop w:val="0"/>
      <w:marBottom w:val="0"/>
      <w:divBdr>
        <w:top w:val="none" w:sz="0" w:space="0" w:color="auto"/>
        <w:left w:val="none" w:sz="0" w:space="0" w:color="auto"/>
        <w:bottom w:val="none" w:sz="0" w:space="0" w:color="auto"/>
        <w:right w:val="none" w:sz="0" w:space="0" w:color="auto"/>
      </w:divBdr>
      <w:divsChild>
        <w:div w:id="1880362664">
          <w:marLeft w:val="274"/>
          <w:marRight w:val="0"/>
          <w:marTop w:val="86"/>
          <w:marBottom w:val="0"/>
          <w:divBdr>
            <w:top w:val="none" w:sz="0" w:space="0" w:color="auto"/>
            <w:left w:val="none" w:sz="0" w:space="0" w:color="auto"/>
            <w:bottom w:val="none" w:sz="0" w:space="0" w:color="auto"/>
            <w:right w:val="none" w:sz="0" w:space="0" w:color="auto"/>
          </w:divBdr>
        </w:div>
        <w:div w:id="877743725">
          <w:marLeft w:val="835"/>
          <w:marRight w:val="0"/>
          <w:marTop w:val="77"/>
          <w:marBottom w:val="0"/>
          <w:divBdr>
            <w:top w:val="none" w:sz="0" w:space="0" w:color="auto"/>
            <w:left w:val="none" w:sz="0" w:space="0" w:color="auto"/>
            <w:bottom w:val="none" w:sz="0" w:space="0" w:color="auto"/>
            <w:right w:val="none" w:sz="0" w:space="0" w:color="auto"/>
          </w:divBdr>
        </w:div>
        <w:div w:id="1387876200">
          <w:marLeft w:val="835"/>
          <w:marRight w:val="0"/>
          <w:marTop w:val="77"/>
          <w:marBottom w:val="0"/>
          <w:divBdr>
            <w:top w:val="none" w:sz="0" w:space="0" w:color="auto"/>
            <w:left w:val="none" w:sz="0" w:space="0" w:color="auto"/>
            <w:bottom w:val="none" w:sz="0" w:space="0" w:color="auto"/>
            <w:right w:val="none" w:sz="0" w:space="0" w:color="auto"/>
          </w:divBdr>
        </w:div>
        <w:div w:id="420682902">
          <w:marLeft w:val="274"/>
          <w:marRight w:val="0"/>
          <w:marTop w:val="86"/>
          <w:marBottom w:val="0"/>
          <w:divBdr>
            <w:top w:val="none" w:sz="0" w:space="0" w:color="auto"/>
            <w:left w:val="none" w:sz="0" w:space="0" w:color="auto"/>
            <w:bottom w:val="none" w:sz="0" w:space="0" w:color="auto"/>
            <w:right w:val="none" w:sz="0" w:space="0" w:color="auto"/>
          </w:divBdr>
        </w:div>
        <w:div w:id="2119911786">
          <w:marLeft w:val="835"/>
          <w:marRight w:val="0"/>
          <w:marTop w:val="77"/>
          <w:marBottom w:val="0"/>
          <w:divBdr>
            <w:top w:val="none" w:sz="0" w:space="0" w:color="auto"/>
            <w:left w:val="none" w:sz="0" w:space="0" w:color="auto"/>
            <w:bottom w:val="none" w:sz="0" w:space="0" w:color="auto"/>
            <w:right w:val="none" w:sz="0" w:space="0" w:color="auto"/>
          </w:divBdr>
        </w:div>
        <w:div w:id="1101267684">
          <w:marLeft w:val="835"/>
          <w:marRight w:val="0"/>
          <w:marTop w:val="77"/>
          <w:marBottom w:val="0"/>
          <w:divBdr>
            <w:top w:val="none" w:sz="0" w:space="0" w:color="auto"/>
            <w:left w:val="none" w:sz="0" w:space="0" w:color="auto"/>
            <w:bottom w:val="none" w:sz="0" w:space="0" w:color="auto"/>
            <w:right w:val="none" w:sz="0" w:space="0" w:color="auto"/>
          </w:divBdr>
        </w:div>
        <w:div w:id="1499690774">
          <w:marLeft w:val="835"/>
          <w:marRight w:val="0"/>
          <w:marTop w:val="77"/>
          <w:marBottom w:val="0"/>
          <w:divBdr>
            <w:top w:val="none" w:sz="0" w:space="0" w:color="auto"/>
            <w:left w:val="none" w:sz="0" w:space="0" w:color="auto"/>
            <w:bottom w:val="none" w:sz="0" w:space="0" w:color="auto"/>
            <w:right w:val="none" w:sz="0" w:space="0" w:color="auto"/>
          </w:divBdr>
        </w:div>
        <w:div w:id="763233013">
          <w:marLeft w:val="274"/>
          <w:marRight w:val="0"/>
          <w:marTop w:val="86"/>
          <w:marBottom w:val="0"/>
          <w:divBdr>
            <w:top w:val="none" w:sz="0" w:space="0" w:color="auto"/>
            <w:left w:val="none" w:sz="0" w:space="0" w:color="auto"/>
            <w:bottom w:val="none" w:sz="0" w:space="0" w:color="auto"/>
            <w:right w:val="none" w:sz="0" w:space="0" w:color="auto"/>
          </w:divBdr>
        </w:div>
        <w:div w:id="879560524">
          <w:marLeft w:val="274"/>
          <w:marRight w:val="0"/>
          <w:marTop w:val="86"/>
          <w:marBottom w:val="0"/>
          <w:divBdr>
            <w:top w:val="none" w:sz="0" w:space="0" w:color="auto"/>
            <w:left w:val="none" w:sz="0" w:space="0" w:color="auto"/>
            <w:bottom w:val="none" w:sz="0" w:space="0" w:color="auto"/>
            <w:right w:val="none" w:sz="0" w:space="0" w:color="auto"/>
          </w:divBdr>
        </w:div>
        <w:div w:id="192807243">
          <w:marLeft w:val="835"/>
          <w:marRight w:val="0"/>
          <w:marTop w:val="77"/>
          <w:marBottom w:val="0"/>
          <w:divBdr>
            <w:top w:val="none" w:sz="0" w:space="0" w:color="auto"/>
            <w:left w:val="none" w:sz="0" w:space="0" w:color="auto"/>
            <w:bottom w:val="none" w:sz="0" w:space="0" w:color="auto"/>
            <w:right w:val="none" w:sz="0" w:space="0" w:color="auto"/>
          </w:divBdr>
        </w:div>
        <w:div w:id="564100417">
          <w:marLeft w:val="835"/>
          <w:marRight w:val="0"/>
          <w:marTop w:val="77"/>
          <w:marBottom w:val="0"/>
          <w:divBdr>
            <w:top w:val="none" w:sz="0" w:space="0" w:color="auto"/>
            <w:left w:val="none" w:sz="0" w:space="0" w:color="auto"/>
            <w:bottom w:val="none" w:sz="0" w:space="0" w:color="auto"/>
            <w:right w:val="none" w:sz="0" w:space="0" w:color="auto"/>
          </w:divBdr>
        </w:div>
        <w:div w:id="1973555738">
          <w:marLeft w:val="835"/>
          <w:marRight w:val="0"/>
          <w:marTop w:val="77"/>
          <w:marBottom w:val="0"/>
          <w:divBdr>
            <w:top w:val="none" w:sz="0" w:space="0" w:color="auto"/>
            <w:left w:val="none" w:sz="0" w:space="0" w:color="auto"/>
            <w:bottom w:val="none" w:sz="0" w:space="0" w:color="auto"/>
            <w:right w:val="none" w:sz="0" w:space="0" w:color="auto"/>
          </w:divBdr>
        </w:div>
        <w:div w:id="1329676264">
          <w:marLeft w:val="274"/>
          <w:marRight w:val="0"/>
          <w:marTop w:val="86"/>
          <w:marBottom w:val="0"/>
          <w:divBdr>
            <w:top w:val="none" w:sz="0" w:space="0" w:color="auto"/>
            <w:left w:val="none" w:sz="0" w:space="0" w:color="auto"/>
            <w:bottom w:val="none" w:sz="0" w:space="0" w:color="auto"/>
            <w:right w:val="none" w:sz="0" w:space="0" w:color="auto"/>
          </w:divBdr>
        </w:div>
        <w:div w:id="1697972683">
          <w:marLeft w:val="274"/>
          <w:marRight w:val="0"/>
          <w:marTop w:val="86"/>
          <w:marBottom w:val="0"/>
          <w:divBdr>
            <w:top w:val="none" w:sz="0" w:space="0" w:color="auto"/>
            <w:left w:val="none" w:sz="0" w:space="0" w:color="auto"/>
            <w:bottom w:val="none" w:sz="0" w:space="0" w:color="auto"/>
            <w:right w:val="none" w:sz="0" w:space="0" w:color="auto"/>
          </w:divBdr>
        </w:div>
        <w:div w:id="1167402470">
          <w:marLeft w:val="835"/>
          <w:marRight w:val="0"/>
          <w:marTop w:val="77"/>
          <w:marBottom w:val="0"/>
          <w:divBdr>
            <w:top w:val="none" w:sz="0" w:space="0" w:color="auto"/>
            <w:left w:val="none" w:sz="0" w:space="0" w:color="auto"/>
            <w:bottom w:val="none" w:sz="0" w:space="0" w:color="auto"/>
            <w:right w:val="none" w:sz="0" w:space="0" w:color="auto"/>
          </w:divBdr>
        </w:div>
        <w:div w:id="1056393918">
          <w:marLeft w:val="835"/>
          <w:marRight w:val="0"/>
          <w:marTop w:val="77"/>
          <w:marBottom w:val="0"/>
          <w:divBdr>
            <w:top w:val="none" w:sz="0" w:space="0" w:color="auto"/>
            <w:left w:val="none" w:sz="0" w:space="0" w:color="auto"/>
            <w:bottom w:val="none" w:sz="0" w:space="0" w:color="auto"/>
            <w:right w:val="none" w:sz="0" w:space="0" w:color="auto"/>
          </w:divBdr>
        </w:div>
      </w:divsChild>
    </w:div>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378553055">
      <w:bodyDiv w:val="1"/>
      <w:marLeft w:val="0"/>
      <w:marRight w:val="0"/>
      <w:marTop w:val="0"/>
      <w:marBottom w:val="0"/>
      <w:divBdr>
        <w:top w:val="none" w:sz="0" w:space="0" w:color="auto"/>
        <w:left w:val="none" w:sz="0" w:space="0" w:color="auto"/>
        <w:bottom w:val="none" w:sz="0" w:space="0" w:color="auto"/>
        <w:right w:val="none" w:sz="0" w:space="0" w:color="auto"/>
      </w:divBdr>
      <w:divsChild>
        <w:div w:id="1170682781">
          <w:marLeft w:val="274"/>
          <w:marRight w:val="0"/>
          <w:marTop w:val="86"/>
          <w:marBottom w:val="0"/>
          <w:divBdr>
            <w:top w:val="none" w:sz="0" w:space="0" w:color="auto"/>
            <w:left w:val="none" w:sz="0" w:space="0" w:color="auto"/>
            <w:bottom w:val="none" w:sz="0" w:space="0" w:color="auto"/>
            <w:right w:val="none" w:sz="0" w:space="0" w:color="auto"/>
          </w:divBdr>
        </w:div>
        <w:div w:id="897666131">
          <w:marLeft w:val="835"/>
          <w:marRight w:val="0"/>
          <w:marTop w:val="77"/>
          <w:marBottom w:val="0"/>
          <w:divBdr>
            <w:top w:val="none" w:sz="0" w:space="0" w:color="auto"/>
            <w:left w:val="none" w:sz="0" w:space="0" w:color="auto"/>
            <w:bottom w:val="none" w:sz="0" w:space="0" w:color="auto"/>
            <w:right w:val="none" w:sz="0" w:space="0" w:color="auto"/>
          </w:divBdr>
        </w:div>
        <w:div w:id="291863626">
          <w:marLeft w:val="835"/>
          <w:marRight w:val="0"/>
          <w:marTop w:val="77"/>
          <w:marBottom w:val="0"/>
          <w:divBdr>
            <w:top w:val="none" w:sz="0" w:space="0" w:color="auto"/>
            <w:left w:val="none" w:sz="0" w:space="0" w:color="auto"/>
            <w:bottom w:val="none" w:sz="0" w:space="0" w:color="auto"/>
            <w:right w:val="none" w:sz="0" w:space="0" w:color="auto"/>
          </w:divBdr>
        </w:div>
        <w:div w:id="915162445">
          <w:marLeft w:val="274"/>
          <w:marRight w:val="0"/>
          <w:marTop w:val="86"/>
          <w:marBottom w:val="0"/>
          <w:divBdr>
            <w:top w:val="none" w:sz="0" w:space="0" w:color="auto"/>
            <w:left w:val="none" w:sz="0" w:space="0" w:color="auto"/>
            <w:bottom w:val="none" w:sz="0" w:space="0" w:color="auto"/>
            <w:right w:val="none" w:sz="0" w:space="0" w:color="auto"/>
          </w:divBdr>
        </w:div>
        <w:div w:id="753013119">
          <w:marLeft w:val="835"/>
          <w:marRight w:val="0"/>
          <w:marTop w:val="77"/>
          <w:marBottom w:val="0"/>
          <w:divBdr>
            <w:top w:val="none" w:sz="0" w:space="0" w:color="auto"/>
            <w:left w:val="none" w:sz="0" w:space="0" w:color="auto"/>
            <w:bottom w:val="none" w:sz="0" w:space="0" w:color="auto"/>
            <w:right w:val="none" w:sz="0" w:space="0" w:color="auto"/>
          </w:divBdr>
        </w:div>
        <w:div w:id="888568758">
          <w:marLeft w:val="835"/>
          <w:marRight w:val="0"/>
          <w:marTop w:val="77"/>
          <w:marBottom w:val="0"/>
          <w:divBdr>
            <w:top w:val="none" w:sz="0" w:space="0" w:color="auto"/>
            <w:left w:val="none" w:sz="0" w:space="0" w:color="auto"/>
            <w:bottom w:val="none" w:sz="0" w:space="0" w:color="auto"/>
            <w:right w:val="none" w:sz="0" w:space="0" w:color="auto"/>
          </w:divBdr>
        </w:div>
        <w:div w:id="36854280">
          <w:marLeft w:val="835"/>
          <w:marRight w:val="0"/>
          <w:marTop w:val="77"/>
          <w:marBottom w:val="0"/>
          <w:divBdr>
            <w:top w:val="none" w:sz="0" w:space="0" w:color="auto"/>
            <w:left w:val="none" w:sz="0" w:space="0" w:color="auto"/>
            <w:bottom w:val="none" w:sz="0" w:space="0" w:color="auto"/>
            <w:right w:val="none" w:sz="0" w:space="0" w:color="auto"/>
          </w:divBdr>
        </w:div>
        <w:div w:id="2054231286">
          <w:marLeft w:val="274"/>
          <w:marRight w:val="0"/>
          <w:marTop w:val="86"/>
          <w:marBottom w:val="0"/>
          <w:divBdr>
            <w:top w:val="none" w:sz="0" w:space="0" w:color="auto"/>
            <w:left w:val="none" w:sz="0" w:space="0" w:color="auto"/>
            <w:bottom w:val="none" w:sz="0" w:space="0" w:color="auto"/>
            <w:right w:val="none" w:sz="0" w:space="0" w:color="auto"/>
          </w:divBdr>
        </w:div>
        <w:div w:id="1900705687">
          <w:marLeft w:val="274"/>
          <w:marRight w:val="0"/>
          <w:marTop w:val="86"/>
          <w:marBottom w:val="0"/>
          <w:divBdr>
            <w:top w:val="none" w:sz="0" w:space="0" w:color="auto"/>
            <w:left w:val="none" w:sz="0" w:space="0" w:color="auto"/>
            <w:bottom w:val="none" w:sz="0" w:space="0" w:color="auto"/>
            <w:right w:val="none" w:sz="0" w:space="0" w:color="auto"/>
          </w:divBdr>
        </w:div>
        <w:div w:id="920794840">
          <w:marLeft w:val="835"/>
          <w:marRight w:val="0"/>
          <w:marTop w:val="77"/>
          <w:marBottom w:val="0"/>
          <w:divBdr>
            <w:top w:val="none" w:sz="0" w:space="0" w:color="auto"/>
            <w:left w:val="none" w:sz="0" w:space="0" w:color="auto"/>
            <w:bottom w:val="none" w:sz="0" w:space="0" w:color="auto"/>
            <w:right w:val="none" w:sz="0" w:space="0" w:color="auto"/>
          </w:divBdr>
        </w:div>
        <w:div w:id="681708765">
          <w:marLeft w:val="835"/>
          <w:marRight w:val="0"/>
          <w:marTop w:val="77"/>
          <w:marBottom w:val="0"/>
          <w:divBdr>
            <w:top w:val="none" w:sz="0" w:space="0" w:color="auto"/>
            <w:left w:val="none" w:sz="0" w:space="0" w:color="auto"/>
            <w:bottom w:val="none" w:sz="0" w:space="0" w:color="auto"/>
            <w:right w:val="none" w:sz="0" w:space="0" w:color="auto"/>
          </w:divBdr>
        </w:div>
        <w:div w:id="1971784244">
          <w:marLeft w:val="835"/>
          <w:marRight w:val="0"/>
          <w:marTop w:val="77"/>
          <w:marBottom w:val="0"/>
          <w:divBdr>
            <w:top w:val="none" w:sz="0" w:space="0" w:color="auto"/>
            <w:left w:val="none" w:sz="0" w:space="0" w:color="auto"/>
            <w:bottom w:val="none" w:sz="0" w:space="0" w:color="auto"/>
            <w:right w:val="none" w:sz="0" w:space="0" w:color="auto"/>
          </w:divBdr>
        </w:div>
        <w:div w:id="749470807">
          <w:marLeft w:val="274"/>
          <w:marRight w:val="0"/>
          <w:marTop w:val="86"/>
          <w:marBottom w:val="0"/>
          <w:divBdr>
            <w:top w:val="none" w:sz="0" w:space="0" w:color="auto"/>
            <w:left w:val="none" w:sz="0" w:space="0" w:color="auto"/>
            <w:bottom w:val="none" w:sz="0" w:space="0" w:color="auto"/>
            <w:right w:val="none" w:sz="0" w:space="0" w:color="auto"/>
          </w:divBdr>
        </w:div>
        <w:div w:id="704215883">
          <w:marLeft w:val="274"/>
          <w:marRight w:val="0"/>
          <w:marTop w:val="86"/>
          <w:marBottom w:val="0"/>
          <w:divBdr>
            <w:top w:val="none" w:sz="0" w:space="0" w:color="auto"/>
            <w:left w:val="none" w:sz="0" w:space="0" w:color="auto"/>
            <w:bottom w:val="none" w:sz="0" w:space="0" w:color="auto"/>
            <w:right w:val="none" w:sz="0" w:space="0" w:color="auto"/>
          </w:divBdr>
        </w:div>
        <w:div w:id="101649416">
          <w:marLeft w:val="835"/>
          <w:marRight w:val="0"/>
          <w:marTop w:val="77"/>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672340106">
      <w:bodyDiv w:val="1"/>
      <w:marLeft w:val="0"/>
      <w:marRight w:val="0"/>
      <w:marTop w:val="0"/>
      <w:marBottom w:val="0"/>
      <w:divBdr>
        <w:top w:val="none" w:sz="0" w:space="0" w:color="auto"/>
        <w:left w:val="none" w:sz="0" w:space="0" w:color="auto"/>
        <w:bottom w:val="none" w:sz="0" w:space="0" w:color="auto"/>
        <w:right w:val="none" w:sz="0" w:space="0" w:color="auto"/>
      </w:divBdr>
    </w:div>
    <w:div w:id="715812622">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903369831">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011177514">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111048731">
      <w:bodyDiv w:val="1"/>
      <w:marLeft w:val="0"/>
      <w:marRight w:val="0"/>
      <w:marTop w:val="0"/>
      <w:marBottom w:val="0"/>
      <w:divBdr>
        <w:top w:val="none" w:sz="0" w:space="0" w:color="auto"/>
        <w:left w:val="none" w:sz="0" w:space="0" w:color="auto"/>
        <w:bottom w:val="none" w:sz="0" w:space="0" w:color="auto"/>
        <w:right w:val="none" w:sz="0" w:space="0" w:color="auto"/>
      </w:divBdr>
    </w:div>
    <w:div w:id="1200432930">
      <w:bodyDiv w:val="1"/>
      <w:marLeft w:val="0"/>
      <w:marRight w:val="0"/>
      <w:marTop w:val="0"/>
      <w:marBottom w:val="0"/>
      <w:divBdr>
        <w:top w:val="none" w:sz="0" w:space="0" w:color="auto"/>
        <w:left w:val="none" w:sz="0" w:space="0" w:color="auto"/>
        <w:bottom w:val="none" w:sz="0" w:space="0" w:color="auto"/>
        <w:right w:val="none" w:sz="0" w:space="0" w:color="auto"/>
      </w:divBdr>
    </w:div>
    <w:div w:id="1223634126">
      <w:bodyDiv w:val="1"/>
      <w:marLeft w:val="0"/>
      <w:marRight w:val="0"/>
      <w:marTop w:val="0"/>
      <w:marBottom w:val="0"/>
      <w:divBdr>
        <w:top w:val="none" w:sz="0" w:space="0" w:color="auto"/>
        <w:left w:val="none" w:sz="0" w:space="0" w:color="auto"/>
        <w:bottom w:val="none" w:sz="0" w:space="0" w:color="auto"/>
        <w:right w:val="none" w:sz="0" w:space="0" w:color="auto"/>
      </w:divBdr>
    </w:div>
    <w:div w:id="1469862601">
      <w:bodyDiv w:val="1"/>
      <w:marLeft w:val="0"/>
      <w:marRight w:val="0"/>
      <w:marTop w:val="0"/>
      <w:marBottom w:val="0"/>
      <w:divBdr>
        <w:top w:val="none" w:sz="0" w:space="0" w:color="auto"/>
        <w:left w:val="none" w:sz="0" w:space="0" w:color="auto"/>
        <w:bottom w:val="none" w:sz="0" w:space="0" w:color="auto"/>
        <w:right w:val="none" w:sz="0" w:space="0" w:color="auto"/>
      </w:divBdr>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 w:id="1706523559">
      <w:bodyDiv w:val="1"/>
      <w:marLeft w:val="0"/>
      <w:marRight w:val="0"/>
      <w:marTop w:val="0"/>
      <w:marBottom w:val="0"/>
      <w:divBdr>
        <w:top w:val="none" w:sz="0" w:space="0" w:color="auto"/>
        <w:left w:val="none" w:sz="0" w:space="0" w:color="auto"/>
        <w:bottom w:val="none" w:sz="0" w:space="0" w:color="auto"/>
        <w:right w:val="none" w:sz="0" w:space="0" w:color="auto"/>
      </w:divBdr>
      <w:divsChild>
        <w:div w:id="1796679712">
          <w:marLeft w:val="274"/>
          <w:marRight w:val="0"/>
          <w:marTop w:val="115"/>
          <w:marBottom w:val="0"/>
          <w:divBdr>
            <w:top w:val="none" w:sz="0" w:space="0" w:color="auto"/>
            <w:left w:val="none" w:sz="0" w:space="0" w:color="auto"/>
            <w:bottom w:val="none" w:sz="0" w:space="0" w:color="auto"/>
            <w:right w:val="none" w:sz="0" w:space="0" w:color="auto"/>
          </w:divBdr>
        </w:div>
      </w:divsChild>
    </w:div>
    <w:div w:id="1785346477">
      <w:bodyDiv w:val="1"/>
      <w:marLeft w:val="0"/>
      <w:marRight w:val="0"/>
      <w:marTop w:val="0"/>
      <w:marBottom w:val="0"/>
      <w:divBdr>
        <w:top w:val="none" w:sz="0" w:space="0" w:color="auto"/>
        <w:left w:val="none" w:sz="0" w:space="0" w:color="auto"/>
        <w:bottom w:val="none" w:sz="0" w:space="0" w:color="auto"/>
        <w:right w:val="none" w:sz="0" w:space="0" w:color="auto"/>
      </w:divBdr>
    </w:div>
    <w:div w:id="2005818277">
      <w:bodyDiv w:val="1"/>
      <w:marLeft w:val="0"/>
      <w:marRight w:val="0"/>
      <w:marTop w:val="0"/>
      <w:marBottom w:val="0"/>
      <w:divBdr>
        <w:top w:val="none" w:sz="0" w:space="0" w:color="auto"/>
        <w:left w:val="none" w:sz="0" w:space="0" w:color="auto"/>
        <w:bottom w:val="none" w:sz="0" w:space="0" w:color="auto"/>
        <w:right w:val="none" w:sz="0" w:space="0" w:color="auto"/>
      </w:divBdr>
    </w:div>
    <w:div w:id="211454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cid:image003.png@01D15CEE.2A39D4E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cid:image011.png@01D15CEE.2A39D4E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D8EAE6-7A10-47BB-9247-3E255847A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846</Words>
  <Characters>4826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4</cp:revision>
  <dcterms:created xsi:type="dcterms:W3CDTF">2016-02-06T04:19:00Z</dcterms:created>
  <dcterms:modified xsi:type="dcterms:W3CDTF">2016-02-06T04:20:00Z</dcterms:modified>
</cp:coreProperties>
</file>