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2315F1" w14:textId="77777777" w:rsidR="003E63B3" w:rsidRPr="003E63B3" w:rsidRDefault="003E63B3" w:rsidP="003E63B3">
      <w:pPr>
        <w:widowControl w:val="0"/>
        <w:tabs>
          <w:tab w:val="center" w:pos="4536"/>
          <w:tab w:val="right" w:pos="8280"/>
          <w:tab w:val="right" w:pos="9781"/>
        </w:tabs>
        <w:overflowPunct/>
        <w:autoSpaceDE/>
        <w:autoSpaceDN/>
        <w:adjustRightInd/>
        <w:spacing w:after="0"/>
        <w:ind w:right="-58"/>
        <w:textAlignment w:val="auto"/>
        <w:rPr>
          <w:rFonts w:ascii="Arial" w:eastAsia="Batang" w:hAnsi="Arial" w:cs="Arial"/>
          <w:b/>
          <w:bCs/>
          <w:sz w:val="28"/>
          <w:szCs w:val="24"/>
        </w:rPr>
      </w:pPr>
      <w:r w:rsidRPr="003E63B3">
        <w:rPr>
          <w:rFonts w:ascii="Arial" w:eastAsia="Batang" w:hAnsi="Arial" w:cs="Arial"/>
          <w:b/>
          <w:bCs/>
          <w:sz w:val="28"/>
          <w:szCs w:val="24"/>
        </w:rPr>
        <w:t>3GPP TSG RAN WG1 Meeting #84</w:t>
      </w:r>
      <w:r w:rsidRPr="003E63B3">
        <w:rPr>
          <w:rFonts w:ascii="Arial" w:eastAsia="Batang" w:hAnsi="Arial" w:cs="Arial"/>
          <w:b/>
          <w:bCs/>
          <w:sz w:val="28"/>
          <w:szCs w:val="24"/>
        </w:rPr>
        <w:tab/>
      </w:r>
      <w:r w:rsidRPr="003E63B3">
        <w:rPr>
          <w:rFonts w:ascii="Arial" w:eastAsia="Batang" w:hAnsi="Arial" w:cs="Arial"/>
          <w:b/>
          <w:bCs/>
          <w:sz w:val="28"/>
          <w:szCs w:val="24"/>
        </w:rPr>
        <w:tab/>
      </w:r>
      <w:r w:rsidRPr="003E63B3">
        <w:rPr>
          <w:rFonts w:ascii="Arial" w:eastAsia="Batang" w:hAnsi="Arial" w:cs="Arial"/>
          <w:b/>
          <w:bCs/>
          <w:sz w:val="28"/>
          <w:szCs w:val="24"/>
        </w:rPr>
        <w:tab/>
      </w:r>
      <w:r w:rsidRPr="00EA4962">
        <w:rPr>
          <w:rFonts w:ascii="Arial" w:eastAsia="Batang" w:hAnsi="Arial" w:cs="Arial"/>
          <w:b/>
          <w:bCs/>
          <w:sz w:val="28"/>
          <w:szCs w:val="24"/>
        </w:rPr>
        <w:t>R1-</w:t>
      </w:r>
      <w:r w:rsidR="00E0008B" w:rsidRPr="00EA4962">
        <w:rPr>
          <w:rFonts w:ascii="Arial" w:eastAsia="Batang" w:hAnsi="Arial" w:cs="Arial"/>
          <w:b/>
          <w:bCs/>
          <w:sz w:val="28"/>
          <w:szCs w:val="24"/>
        </w:rPr>
        <w:t>16</w:t>
      </w:r>
      <w:r w:rsidR="00E0008B">
        <w:rPr>
          <w:rFonts w:ascii="Arial" w:eastAsia="Batang" w:hAnsi="Arial" w:cs="Arial"/>
          <w:b/>
          <w:bCs/>
          <w:sz w:val="28"/>
          <w:szCs w:val="24"/>
        </w:rPr>
        <w:t>0399</w:t>
      </w:r>
    </w:p>
    <w:p w14:paraId="530DAF2B" w14:textId="77777777" w:rsidR="003E63B3" w:rsidRPr="003E63B3" w:rsidRDefault="003E63B3" w:rsidP="003E63B3">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sidRPr="003E63B3">
        <w:rPr>
          <w:rFonts w:ascii="Arial" w:eastAsia="Batang" w:hAnsi="Arial" w:cs="Arial"/>
          <w:b/>
          <w:bCs/>
          <w:sz w:val="28"/>
          <w:szCs w:val="24"/>
          <w:lang w:val="en-US"/>
        </w:rPr>
        <w:t>St Julian’s, Malta, 15</w:t>
      </w:r>
      <w:r w:rsidRPr="003E63B3">
        <w:rPr>
          <w:rFonts w:ascii="Arial" w:eastAsia="Batang" w:hAnsi="Arial" w:cs="Arial"/>
          <w:b/>
          <w:bCs/>
          <w:sz w:val="28"/>
          <w:szCs w:val="24"/>
          <w:vertAlign w:val="superscript"/>
          <w:lang w:val="en-US"/>
        </w:rPr>
        <w:t>th</w:t>
      </w:r>
      <w:r w:rsidRPr="003E63B3">
        <w:rPr>
          <w:rFonts w:ascii="Arial" w:eastAsia="Batang" w:hAnsi="Arial" w:cs="Arial"/>
          <w:b/>
          <w:bCs/>
          <w:sz w:val="28"/>
          <w:szCs w:val="24"/>
          <w:lang w:val="en-US"/>
        </w:rPr>
        <w:t xml:space="preserve"> – 19</w:t>
      </w:r>
      <w:r w:rsidRPr="003E63B3">
        <w:rPr>
          <w:rFonts w:ascii="Arial" w:eastAsia="Batang" w:hAnsi="Arial" w:cs="Arial"/>
          <w:b/>
          <w:bCs/>
          <w:sz w:val="28"/>
          <w:szCs w:val="24"/>
          <w:vertAlign w:val="superscript"/>
          <w:lang w:val="en-US"/>
        </w:rPr>
        <w:t>th</w:t>
      </w:r>
      <w:r w:rsidRPr="003E63B3">
        <w:rPr>
          <w:rFonts w:ascii="Arial" w:eastAsia="Batang" w:hAnsi="Arial" w:cs="Arial"/>
          <w:b/>
          <w:bCs/>
          <w:sz w:val="28"/>
          <w:szCs w:val="24"/>
          <w:lang w:val="en-US"/>
        </w:rPr>
        <w:t xml:space="preserve"> February 2016</w:t>
      </w:r>
    </w:p>
    <w:p w14:paraId="4F05DEC2" w14:textId="77777777" w:rsidR="0034111C" w:rsidRPr="003E63B3" w:rsidRDefault="0034111C">
      <w:pPr>
        <w:pStyle w:val="Header"/>
        <w:rPr>
          <w:bCs/>
          <w:noProof w:val="0"/>
          <w:sz w:val="24"/>
          <w:lang w:eastAsia="ja-JP"/>
        </w:rPr>
      </w:pPr>
    </w:p>
    <w:p w14:paraId="2F3FA606" w14:textId="77777777" w:rsidR="0034111C" w:rsidRPr="00CC3EF0" w:rsidRDefault="0034111C" w:rsidP="00490B20">
      <w:pPr>
        <w:pStyle w:val="CRCoverPage"/>
        <w:rPr>
          <w:rFonts w:cs="Arial"/>
          <w:b/>
          <w:bCs/>
          <w:sz w:val="24"/>
          <w:lang w:val="en-US" w:eastAsia="ja-JP"/>
        </w:rPr>
      </w:pPr>
      <w:r w:rsidRPr="00CC3EF0">
        <w:rPr>
          <w:rFonts w:cs="Arial"/>
          <w:b/>
          <w:bCs/>
          <w:sz w:val="24"/>
          <w:lang w:val="en-US"/>
        </w:rPr>
        <w:t>Agenda item:</w:t>
      </w:r>
      <w:r w:rsidRPr="00CC3EF0">
        <w:rPr>
          <w:rFonts w:cs="Arial"/>
          <w:b/>
          <w:bCs/>
          <w:sz w:val="24"/>
          <w:lang w:val="en-US"/>
        </w:rPr>
        <w:tab/>
      </w:r>
      <w:r w:rsidRPr="00CC3EF0">
        <w:rPr>
          <w:rFonts w:cs="Arial"/>
          <w:b/>
          <w:bCs/>
          <w:sz w:val="24"/>
          <w:lang w:val="en-US"/>
        </w:rPr>
        <w:tab/>
      </w:r>
      <w:r w:rsidR="00E8003C" w:rsidRPr="00CC3EF0">
        <w:rPr>
          <w:rFonts w:cs="Arial"/>
          <w:b/>
          <w:bCs/>
          <w:sz w:val="24"/>
          <w:lang w:val="en-US"/>
        </w:rPr>
        <w:t>7.3.1.1</w:t>
      </w:r>
    </w:p>
    <w:p w14:paraId="37D0FD16" w14:textId="77777777" w:rsidR="0034111C" w:rsidRPr="00CC3EF0" w:rsidRDefault="0034111C" w:rsidP="00E85307">
      <w:pPr>
        <w:tabs>
          <w:tab w:val="left" w:pos="1985"/>
        </w:tabs>
        <w:ind w:left="1985" w:hanging="1985"/>
        <w:rPr>
          <w:rFonts w:ascii="Arial" w:hAnsi="Arial" w:cs="Arial"/>
          <w:b/>
          <w:bCs/>
          <w:sz w:val="24"/>
          <w:lang w:val="en-US"/>
        </w:rPr>
      </w:pPr>
      <w:r w:rsidRPr="00CC3EF0">
        <w:rPr>
          <w:rFonts w:ascii="Arial" w:hAnsi="Arial" w:cs="Arial"/>
          <w:b/>
          <w:bCs/>
          <w:sz w:val="24"/>
          <w:lang w:val="en-US"/>
        </w:rPr>
        <w:t>Source:</w:t>
      </w:r>
      <w:r w:rsidRPr="00CC3EF0">
        <w:rPr>
          <w:rFonts w:ascii="Arial" w:hAnsi="Arial" w:cs="Arial"/>
          <w:b/>
          <w:bCs/>
          <w:sz w:val="24"/>
          <w:lang w:val="en-US"/>
        </w:rPr>
        <w:tab/>
      </w:r>
      <w:r w:rsidR="00CE1D34" w:rsidRPr="00CC3EF0">
        <w:rPr>
          <w:rFonts w:ascii="Arial" w:hAnsi="Arial" w:cs="Arial"/>
          <w:b/>
          <w:bCs/>
          <w:sz w:val="24"/>
          <w:lang w:val="en-US"/>
        </w:rPr>
        <w:t>Sequans Communications</w:t>
      </w:r>
    </w:p>
    <w:p w14:paraId="678A04B7" w14:textId="77777777" w:rsidR="0034111C" w:rsidRPr="00B266B0" w:rsidRDefault="0034111C" w:rsidP="00490B2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F4A24">
        <w:rPr>
          <w:rFonts w:ascii="Arial" w:hAnsi="Arial" w:cs="Arial"/>
          <w:b/>
          <w:bCs/>
          <w:sz w:val="24"/>
        </w:rPr>
        <w:t xml:space="preserve">Considerations for LAA UL </w:t>
      </w:r>
      <w:r w:rsidR="007C041D">
        <w:rPr>
          <w:rFonts w:ascii="Arial" w:hAnsi="Arial" w:cs="Arial"/>
          <w:b/>
          <w:bCs/>
          <w:sz w:val="24"/>
        </w:rPr>
        <w:t>Waveform Design</w:t>
      </w:r>
    </w:p>
    <w:p w14:paraId="34E3C483"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r w:rsidR="00745F0A">
        <w:rPr>
          <w:rFonts w:ascii="Arial" w:hAnsi="Arial" w:cs="Arial"/>
          <w:b/>
          <w:bCs/>
          <w:sz w:val="24"/>
        </w:rPr>
        <w:t xml:space="preserve"> and decision</w:t>
      </w:r>
    </w:p>
    <w:p w14:paraId="20F69BE0" w14:textId="77777777" w:rsidR="0034111C" w:rsidRPr="00B266B0" w:rsidRDefault="0034111C">
      <w:pPr>
        <w:pStyle w:val="Heading1"/>
      </w:pPr>
      <w:r w:rsidRPr="00B266B0">
        <w:t>1</w:t>
      </w:r>
      <w:r w:rsidRPr="00B266B0">
        <w:tab/>
      </w:r>
      <w:r w:rsidR="00EE7FA7" w:rsidRPr="00B266B0">
        <w:t>Introduction</w:t>
      </w:r>
    </w:p>
    <w:p w14:paraId="2FC6A263" w14:textId="77777777" w:rsidR="0042398D" w:rsidRDefault="0042398D" w:rsidP="0042398D">
      <w:pPr>
        <w:jc w:val="both"/>
        <w:rPr>
          <w:color w:val="000000"/>
          <w:sz w:val="22"/>
          <w:szCs w:val="22"/>
        </w:rPr>
      </w:pPr>
      <w:r w:rsidRPr="00B94FD3">
        <w:rPr>
          <w:color w:val="000000"/>
          <w:sz w:val="22"/>
          <w:szCs w:val="22"/>
        </w:rPr>
        <w:t>At the RAN #</w:t>
      </w:r>
      <w:r>
        <w:rPr>
          <w:color w:val="000000"/>
          <w:sz w:val="22"/>
          <w:szCs w:val="22"/>
        </w:rPr>
        <w:t>70</w:t>
      </w:r>
      <w:r w:rsidRPr="00B94FD3">
        <w:rPr>
          <w:color w:val="000000"/>
          <w:sz w:val="22"/>
          <w:szCs w:val="22"/>
        </w:rPr>
        <w:t xml:space="preserve"> meeting, a </w:t>
      </w:r>
      <w:r>
        <w:rPr>
          <w:color w:val="000000"/>
          <w:sz w:val="22"/>
          <w:szCs w:val="22"/>
        </w:rPr>
        <w:t>WI</w:t>
      </w:r>
      <w:r w:rsidRPr="00B94FD3">
        <w:rPr>
          <w:color w:val="000000"/>
          <w:sz w:val="22"/>
          <w:szCs w:val="22"/>
        </w:rPr>
        <w:t xml:space="preserve"> on the “</w:t>
      </w:r>
      <w:r w:rsidR="006E6852" w:rsidRPr="006E6852">
        <w:rPr>
          <w:color w:val="000000"/>
          <w:sz w:val="22"/>
          <w:szCs w:val="22"/>
        </w:rPr>
        <w:t>New Work Item on enhanced LAA for LTE</w:t>
      </w:r>
      <w:r w:rsidRPr="00B94FD3">
        <w:rPr>
          <w:color w:val="000000"/>
          <w:sz w:val="22"/>
          <w:szCs w:val="22"/>
        </w:rPr>
        <w:t>”</w:t>
      </w:r>
      <w:r w:rsidR="006E6852">
        <w:rPr>
          <w:color w:val="000000"/>
          <w:sz w:val="22"/>
          <w:szCs w:val="22"/>
        </w:rPr>
        <w:t xml:space="preserve"> </w:t>
      </w:r>
      <w:r w:rsidR="00276ADA">
        <w:rPr>
          <w:color w:val="000000"/>
          <w:sz w:val="22"/>
          <w:szCs w:val="22"/>
        </w:rPr>
        <w:fldChar w:fldCharType="begin"/>
      </w:r>
      <w:r w:rsidR="00276ADA">
        <w:rPr>
          <w:color w:val="000000"/>
          <w:sz w:val="22"/>
          <w:szCs w:val="22"/>
        </w:rPr>
        <w:instrText xml:space="preserve"> REF _Ref441007864 \n \h </w:instrText>
      </w:r>
      <w:r w:rsidR="00276ADA">
        <w:rPr>
          <w:color w:val="000000"/>
          <w:sz w:val="22"/>
          <w:szCs w:val="22"/>
        </w:rPr>
      </w:r>
      <w:r w:rsidR="00276ADA">
        <w:rPr>
          <w:color w:val="000000"/>
          <w:sz w:val="22"/>
          <w:szCs w:val="22"/>
        </w:rPr>
        <w:fldChar w:fldCharType="separate"/>
      </w:r>
      <w:r w:rsidR="00855FEC">
        <w:rPr>
          <w:color w:val="000000"/>
          <w:sz w:val="22"/>
          <w:szCs w:val="22"/>
        </w:rPr>
        <w:t>[1]</w:t>
      </w:r>
      <w:r w:rsidR="00276ADA">
        <w:rPr>
          <w:color w:val="000000"/>
          <w:sz w:val="22"/>
          <w:szCs w:val="22"/>
        </w:rPr>
        <w:fldChar w:fldCharType="end"/>
      </w:r>
      <w:r w:rsidR="00276ADA">
        <w:rPr>
          <w:color w:val="000000"/>
          <w:sz w:val="22"/>
          <w:szCs w:val="22"/>
        </w:rPr>
        <w:t xml:space="preserve"> </w:t>
      </w:r>
      <w:r w:rsidRPr="00B94FD3">
        <w:rPr>
          <w:color w:val="000000"/>
          <w:sz w:val="22"/>
          <w:szCs w:val="22"/>
        </w:rPr>
        <w:t xml:space="preserve">was approved with the following </w:t>
      </w:r>
      <w:r w:rsidR="006E6852">
        <w:rPr>
          <w:color w:val="000000"/>
          <w:sz w:val="22"/>
          <w:szCs w:val="22"/>
        </w:rPr>
        <w:t>objective for RAN1</w:t>
      </w:r>
      <w:r w:rsidRPr="00B94FD3">
        <w:rPr>
          <w:color w:val="000000"/>
          <w:sz w:val="22"/>
          <w:szCs w:val="22"/>
        </w:rPr>
        <w:t>:</w:t>
      </w:r>
    </w:p>
    <w:p w14:paraId="72508AC6" w14:textId="77777777" w:rsidR="006E6852" w:rsidRPr="006E6852" w:rsidRDefault="006E6852" w:rsidP="006E6852">
      <w:pPr>
        <w:numPr>
          <w:ilvl w:val="0"/>
          <w:numId w:val="19"/>
        </w:numPr>
        <w:ind w:right="1035"/>
        <w:jc w:val="both"/>
        <w:rPr>
          <w:rFonts w:ascii="Times" w:eastAsia="Malgun Gothic" w:hAnsi="Times" w:cs="Helvetica"/>
          <w:i/>
          <w:iCs/>
          <w:lang w:val="en-US" w:eastAsia="ko-KR"/>
        </w:rPr>
      </w:pPr>
      <w:r w:rsidRPr="006E6852">
        <w:rPr>
          <w:rFonts w:ascii="Times" w:eastAsia="Malgun Gothic" w:hAnsi="Times" w:cs="Helvetica"/>
          <w:i/>
          <w:iCs/>
          <w:lang w:val="en-US" w:eastAsia="ko-KR"/>
        </w:rPr>
        <w:t>UL carrier aggregation for LAA SCell(s) (with one or more UL carriers in unlicensed band) using Frame Structure type 3 [RAN1, RAN2, RAN4]</w:t>
      </w:r>
    </w:p>
    <w:p w14:paraId="16E8D3D4" w14:textId="7E5F65CA" w:rsidR="002835EA" w:rsidRDefault="00E8003C" w:rsidP="0042398D">
      <w:pPr>
        <w:jc w:val="both"/>
        <w:rPr>
          <w:color w:val="000000"/>
          <w:sz w:val="22"/>
          <w:szCs w:val="22"/>
        </w:rPr>
      </w:pPr>
      <w:r>
        <w:rPr>
          <w:color w:val="000000"/>
          <w:sz w:val="22"/>
          <w:szCs w:val="22"/>
        </w:rPr>
        <w:t xml:space="preserve">During the SI stage, </w:t>
      </w:r>
      <w:r w:rsidR="002835EA">
        <w:rPr>
          <w:color w:val="000000"/>
          <w:sz w:val="22"/>
          <w:szCs w:val="22"/>
        </w:rPr>
        <w:t>LAA UL transmission was discussed with the key messages as below</w:t>
      </w:r>
      <w:r w:rsidR="00855FEC">
        <w:rPr>
          <w:color w:val="000000"/>
          <w:sz w:val="22"/>
          <w:szCs w:val="22"/>
        </w:rPr>
        <w:t xml:space="preserve"> </w:t>
      </w:r>
      <w:r w:rsidR="00855FEC">
        <w:rPr>
          <w:color w:val="000000"/>
          <w:sz w:val="22"/>
          <w:szCs w:val="22"/>
        </w:rPr>
        <w:fldChar w:fldCharType="begin"/>
      </w:r>
      <w:r w:rsidR="00855FEC">
        <w:rPr>
          <w:color w:val="000000"/>
          <w:sz w:val="22"/>
          <w:szCs w:val="22"/>
        </w:rPr>
        <w:instrText xml:space="preserve"> REF _Ref442454056 \n \h </w:instrText>
      </w:r>
      <w:r w:rsidR="00855FEC">
        <w:rPr>
          <w:color w:val="000000"/>
          <w:sz w:val="22"/>
          <w:szCs w:val="22"/>
        </w:rPr>
      </w:r>
      <w:r w:rsidR="00855FEC">
        <w:rPr>
          <w:color w:val="000000"/>
          <w:sz w:val="22"/>
          <w:szCs w:val="22"/>
        </w:rPr>
        <w:fldChar w:fldCharType="separate"/>
      </w:r>
      <w:r w:rsidR="00855FEC">
        <w:rPr>
          <w:color w:val="000000"/>
          <w:sz w:val="22"/>
          <w:szCs w:val="22"/>
        </w:rPr>
        <w:t>[2]</w:t>
      </w:r>
      <w:r w:rsidR="00855FEC">
        <w:rPr>
          <w:color w:val="000000"/>
          <w:sz w:val="22"/>
          <w:szCs w:val="22"/>
        </w:rPr>
        <w:fldChar w:fldCharType="end"/>
      </w:r>
      <w:r w:rsidR="002835EA">
        <w:rPr>
          <w:color w:val="000000"/>
          <w:sz w:val="22"/>
          <w:szCs w:val="22"/>
        </w:rPr>
        <w:t xml:space="preserve">.  </w:t>
      </w:r>
    </w:p>
    <w:p w14:paraId="7D133644" w14:textId="77777777" w:rsidR="002835EA" w:rsidRPr="002835EA" w:rsidRDefault="002835EA" w:rsidP="002835EA">
      <w:pPr>
        <w:rPr>
          <w:i/>
        </w:rPr>
      </w:pPr>
      <w:r w:rsidRPr="002835EA">
        <w:rPr>
          <w:rFonts w:eastAsia="MS Mincho"/>
          <w:i/>
          <w:iCs/>
          <w:lang w:val="en-US"/>
        </w:rPr>
        <w:t xml:space="preserve">For PUSCH, extending the current single and dual cluster allocation to allow multi-cluster (&gt;2) allocation (e.g. RBs/subcarriers spaced uniformly in frequency) has been identified as a candidate waveform that satisfies regulatory requirements and maximizes coverage. </w:t>
      </w:r>
      <w:r w:rsidRPr="002835EA">
        <w:rPr>
          <w:i/>
        </w:rPr>
        <w:t>For this candidate waveform, the followi</w:t>
      </w:r>
      <w:r>
        <w:rPr>
          <w:i/>
        </w:rPr>
        <w:t>ng aspects need to be addressed</w:t>
      </w:r>
      <w:r w:rsidRPr="002835EA">
        <w:rPr>
          <w:i/>
        </w:rPr>
        <w:t>.</w:t>
      </w:r>
    </w:p>
    <w:p w14:paraId="6515CF21" w14:textId="77777777" w:rsidR="002835EA" w:rsidRPr="002835EA" w:rsidRDefault="002835EA" w:rsidP="002835EA">
      <w:pPr>
        <w:pStyle w:val="B1"/>
        <w:rPr>
          <w:i/>
        </w:rPr>
      </w:pPr>
      <w:r w:rsidRPr="002835EA">
        <w:rPr>
          <w:i/>
        </w:rPr>
        <w:t>-</w:t>
      </w:r>
      <w:r w:rsidRPr="002835EA">
        <w:rPr>
          <w:i/>
        </w:rPr>
        <w:tab/>
        <w:t>Number of clusters needed</w:t>
      </w:r>
    </w:p>
    <w:p w14:paraId="10B80BB8" w14:textId="77777777" w:rsidR="002835EA" w:rsidRPr="002835EA" w:rsidRDefault="002835EA" w:rsidP="002835EA">
      <w:pPr>
        <w:pStyle w:val="B1"/>
        <w:rPr>
          <w:i/>
        </w:rPr>
      </w:pPr>
      <w:r w:rsidRPr="002835EA">
        <w:rPr>
          <w:i/>
        </w:rPr>
        <w:t>-</w:t>
      </w:r>
      <w:r w:rsidRPr="002835EA">
        <w:rPr>
          <w:i/>
        </w:rPr>
        <w:tab/>
        <w:t>Size of each cluster</w:t>
      </w:r>
    </w:p>
    <w:p w14:paraId="7FA64671" w14:textId="77777777" w:rsidR="00E8003C" w:rsidRPr="002835EA" w:rsidRDefault="002835EA" w:rsidP="002835EA">
      <w:pPr>
        <w:pStyle w:val="B1"/>
        <w:rPr>
          <w:i/>
        </w:rPr>
      </w:pPr>
      <w:r w:rsidRPr="002835EA">
        <w:rPr>
          <w:i/>
        </w:rPr>
        <w:t>-</w:t>
      </w:r>
      <w:r w:rsidRPr="002835EA">
        <w:rPr>
          <w:i/>
        </w:rPr>
        <w:tab/>
        <w:t>Spacing between clusters or subcarriers</w:t>
      </w:r>
      <w:r w:rsidRPr="002835EA">
        <w:rPr>
          <w:i/>
          <w:color w:val="000000"/>
          <w:sz w:val="22"/>
          <w:szCs w:val="22"/>
        </w:rPr>
        <w:t xml:space="preserve"> </w:t>
      </w:r>
    </w:p>
    <w:p w14:paraId="28E94A86" w14:textId="77777777" w:rsidR="0042398D" w:rsidRPr="00F70FA2" w:rsidRDefault="009F4A24" w:rsidP="001F53DD">
      <w:pPr>
        <w:rPr>
          <w:color w:val="000000"/>
          <w:sz w:val="22"/>
          <w:szCs w:val="22"/>
        </w:rPr>
      </w:pPr>
      <w:r w:rsidRPr="00F70FA2">
        <w:rPr>
          <w:color w:val="000000"/>
          <w:sz w:val="22"/>
          <w:szCs w:val="22"/>
        </w:rPr>
        <w:t xml:space="preserve">In this contribution, we discuss </w:t>
      </w:r>
      <w:r w:rsidR="007C041D">
        <w:rPr>
          <w:color w:val="000000"/>
          <w:sz w:val="22"/>
          <w:szCs w:val="22"/>
        </w:rPr>
        <w:t xml:space="preserve">the regulation constraints </w:t>
      </w:r>
      <w:r w:rsidR="0002792C">
        <w:rPr>
          <w:color w:val="000000"/>
          <w:sz w:val="22"/>
          <w:szCs w:val="22"/>
        </w:rPr>
        <w:t xml:space="preserve">in </w:t>
      </w:r>
      <w:r w:rsidR="00EF4363">
        <w:rPr>
          <w:color w:val="000000"/>
          <w:sz w:val="22"/>
          <w:szCs w:val="22"/>
        </w:rPr>
        <w:t xml:space="preserve">further </w:t>
      </w:r>
      <w:r w:rsidR="0002792C">
        <w:rPr>
          <w:color w:val="000000"/>
          <w:sz w:val="22"/>
          <w:szCs w:val="22"/>
        </w:rPr>
        <w:t xml:space="preserve">detail </w:t>
      </w:r>
      <w:r w:rsidR="00D64674">
        <w:rPr>
          <w:color w:val="000000"/>
          <w:sz w:val="22"/>
          <w:szCs w:val="22"/>
        </w:rPr>
        <w:t xml:space="preserve">for Region 1 / Europe </w:t>
      </w:r>
      <w:r w:rsidR="007C041D">
        <w:rPr>
          <w:color w:val="000000"/>
          <w:sz w:val="22"/>
          <w:szCs w:val="22"/>
        </w:rPr>
        <w:t xml:space="preserve">and </w:t>
      </w:r>
      <w:r w:rsidR="002835EA">
        <w:rPr>
          <w:color w:val="000000"/>
          <w:sz w:val="22"/>
          <w:szCs w:val="22"/>
        </w:rPr>
        <w:t xml:space="preserve">corresponding </w:t>
      </w:r>
      <w:r w:rsidR="000D7D8F">
        <w:rPr>
          <w:color w:val="000000"/>
          <w:sz w:val="22"/>
          <w:szCs w:val="22"/>
        </w:rPr>
        <w:t xml:space="preserve">considerations for </w:t>
      </w:r>
      <w:r w:rsidR="002835EA">
        <w:rPr>
          <w:color w:val="000000"/>
          <w:sz w:val="22"/>
          <w:szCs w:val="22"/>
        </w:rPr>
        <w:t xml:space="preserve">the </w:t>
      </w:r>
      <w:r w:rsidR="007C041D">
        <w:rPr>
          <w:color w:val="000000"/>
          <w:sz w:val="22"/>
          <w:szCs w:val="22"/>
        </w:rPr>
        <w:t>UL waveform design</w:t>
      </w:r>
      <w:r w:rsidRPr="00F70FA2">
        <w:rPr>
          <w:color w:val="000000"/>
          <w:sz w:val="22"/>
          <w:szCs w:val="22"/>
        </w:rPr>
        <w:t xml:space="preserve">. </w:t>
      </w:r>
      <w:bookmarkStart w:id="0" w:name="_GoBack"/>
      <w:bookmarkEnd w:id="0"/>
    </w:p>
    <w:p w14:paraId="18DCB8B2" w14:textId="77777777" w:rsidR="002313A2" w:rsidRDefault="00D427C3" w:rsidP="00554E4B">
      <w:pPr>
        <w:pStyle w:val="Heading1"/>
        <w:rPr>
          <w:color w:val="000000"/>
        </w:rPr>
      </w:pPr>
      <w:r w:rsidRPr="00B85522">
        <w:rPr>
          <w:color w:val="000000"/>
        </w:rPr>
        <w:t>2</w:t>
      </w:r>
      <w:r w:rsidRPr="00B85522">
        <w:rPr>
          <w:color w:val="000000"/>
        </w:rPr>
        <w:tab/>
      </w:r>
      <w:r w:rsidR="00640A4C">
        <w:t>Discussion</w:t>
      </w:r>
    </w:p>
    <w:p w14:paraId="66A6391D" w14:textId="77777777" w:rsidR="00640A4C" w:rsidRDefault="007B39EF" w:rsidP="006E6852">
      <w:pPr>
        <w:pStyle w:val="Heading2"/>
        <w:rPr>
          <w:rFonts w:eastAsia="SimSun"/>
          <w:lang w:val="en-US"/>
        </w:rPr>
      </w:pPr>
      <w:r w:rsidRPr="00BB4567">
        <w:rPr>
          <w:rFonts w:eastAsia="SimSun"/>
          <w:lang w:val="en-US"/>
        </w:rPr>
        <w:t xml:space="preserve">2.1 </w:t>
      </w:r>
      <w:r w:rsidR="00D02769">
        <w:rPr>
          <w:rFonts w:eastAsia="SimSun"/>
          <w:lang w:val="en-US"/>
        </w:rPr>
        <w:t>Regulation Constraints</w:t>
      </w:r>
    </w:p>
    <w:p w14:paraId="11E9ED12" w14:textId="27F8DB28" w:rsidR="00EB3586" w:rsidRDefault="00FA3F99" w:rsidP="00745F0A">
      <w:pPr>
        <w:rPr>
          <w:color w:val="000000"/>
          <w:sz w:val="22"/>
          <w:szCs w:val="22"/>
          <w:lang w:val="en-US"/>
        </w:rPr>
      </w:pPr>
      <w:r>
        <w:rPr>
          <w:color w:val="000000"/>
          <w:sz w:val="22"/>
          <w:szCs w:val="22"/>
          <w:lang w:val="en-US"/>
        </w:rPr>
        <w:t xml:space="preserve">According to the regulation requirement in Section 4.3.2 </w:t>
      </w:r>
      <w:r w:rsidR="00535E8F">
        <w:rPr>
          <w:color w:val="000000"/>
          <w:sz w:val="22"/>
          <w:szCs w:val="22"/>
          <w:lang w:val="en-US"/>
        </w:rPr>
        <w:fldChar w:fldCharType="begin"/>
      </w:r>
      <w:r w:rsidR="00535E8F">
        <w:rPr>
          <w:color w:val="000000"/>
          <w:sz w:val="22"/>
          <w:szCs w:val="22"/>
          <w:lang w:val="en-US"/>
        </w:rPr>
        <w:instrText xml:space="preserve"> REF _Ref441492590 \n \h </w:instrText>
      </w:r>
      <w:r w:rsidR="00566C22">
        <w:rPr>
          <w:color w:val="000000"/>
          <w:sz w:val="22"/>
          <w:szCs w:val="22"/>
          <w:lang w:val="en-US"/>
        </w:rPr>
        <w:instrText xml:space="preserve"> \* MERGEFORMAT </w:instrText>
      </w:r>
      <w:r w:rsidR="00535E8F">
        <w:rPr>
          <w:color w:val="000000"/>
          <w:sz w:val="22"/>
          <w:szCs w:val="22"/>
          <w:lang w:val="en-US"/>
        </w:rPr>
      </w:r>
      <w:r w:rsidR="00535E8F">
        <w:rPr>
          <w:color w:val="000000"/>
          <w:sz w:val="22"/>
          <w:szCs w:val="22"/>
          <w:lang w:val="en-US"/>
        </w:rPr>
        <w:fldChar w:fldCharType="separate"/>
      </w:r>
      <w:r w:rsidR="00855FEC">
        <w:rPr>
          <w:color w:val="000000"/>
          <w:sz w:val="22"/>
          <w:szCs w:val="22"/>
          <w:lang w:val="en-US"/>
        </w:rPr>
        <w:t>[3]</w:t>
      </w:r>
      <w:r w:rsidR="00535E8F">
        <w:rPr>
          <w:color w:val="000000"/>
          <w:sz w:val="22"/>
          <w:szCs w:val="22"/>
          <w:lang w:val="en-US"/>
        </w:rPr>
        <w:fldChar w:fldCharType="end"/>
      </w:r>
      <w:r w:rsidR="00535E8F">
        <w:rPr>
          <w:color w:val="000000"/>
          <w:sz w:val="22"/>
          <w:szCs w:val="22"/>
          <w:lang w:val="en-US"/>
        </w:rPr>
        <w:t xml:space="preserve"> </w:t>
      </w:r>
      <w:r>
        <w:rPr>
          <w:color w:val="000000"/>
          <w:sz w:val="22"/>
          <w:szCs w:val="22"/>
          <w:lang w:val="en-US"/>
        </w:rPr>
        <w:t>and the corresponding test method in Section 5.3.3</w:t>
      </w:r>
      <w:r w:rsidR="00535E8F">
        <w:rPr>
          <w:color w:val="000000"/>
          <w:sz w:val="22"/>
          <w:szCs w:val="22"/>
          <w:lang w:val="en-US"/>
        </w:rPr>
        <w:t xml:space="preserve"> </w:t>
      </w:r>
      <w:r w:rsidR="00535E8F">
        <w:rPr>
          <w:color w:val="000000"/>
          <w:sz w:val="22"/>
          <w:szCs w:val="22"/>
          <w:lang w:val="en-US"/>
        </w:rPr>
        <w:fldChar w:fldCharType="begin"/>
      </w:r>
      <w:r w:rsidR="00535E8F">
        <w:rPr>
          <w:color w:val="000000"/>
          <w:sz w:val="22"/>
          <w:szCs w:val="22"/>
          <w:lang w:val="en-US"/>
        </w:rPr>
        <w:instrText xml:space="preserve"> REF _Ref441492590 \n \h </w:instrText>
      </w:r>
      <w:r w:rsidR="00566C22">
        <w:rPr>
          <w:color w:val="000000"/>
          <w:sz w:val="22"/>
          <w:szCs w:val="22"/>
          <w:lang w:val="en-US"/>
        </w:rPr>
        <w:instrText xml:space="preserve"> \* MERGEFORMAT </w:instrText>
      </w:r>
      <w:r w:rsidR="00535E8F">
        <w:rPr>
          <w:color w:val="000000"/>
          <w:sz w:val="22"/>
          <w:szCs w:val="22"/>
          <w:lang w:val="en-US"/>
        </w:rPr>
      </w:r>
      <w:r w:rsidR="00535E8F">
        <w:rPr>
          <w:color w:val="000000"/>
          <w:sz w:val="22"/>
          <w:szCs w:val="22"/>
          <w:lang w:val="en-US"/>
        </w:rPr>
        <w:fldChar w:fldCharType="separate"/>
      </w:r>
      <w:r w:rsidR="00855FEC">
        <w:rPr>
          <w:color w:val="000000"/>
          <w:sz w:val="22"/>
          <w:szCs w:val="22"/>
          <w:lang w:val="en-US"/>
        </w:rPr>
        <w:t>[3]</w:t>
      </w:r>
      <w:r w:rsidR="00535E8F">
        <w:rPr>
          <w:color w:val="000000"/>
          <w:sz w:val="22"/>
          <w:szCs w:val="22"/>
          <w:lang w:val="en-US"/>
        </w:rPr>
        <w:fldChar w:fldCharType="end"/>
      </w:r>
      <w:r>
        <w:rPr>
          <w:color w:val="000000"/>
          <w:sz w:val="22"/>
          <w:szCs w:val="22"/>
          <w:lang w:val="en-US"/>
        </w:rPr>
        <w:t>, the occupied channel bandwidth needs to be at least 80% of the declared nominal channel bandwidth</w:t>
      </w:r>
      <w:r w:rsidR="003845DF">
        <w:rPr>
          <w:color w:val="000000"/>
          <w:sz w:val="22"/>
          <w:szCs w:val="22"/>
          <w:lang w:val="en-US"/>
        </w:rPr>
        <w:t>. T</w:t>
      </w:r>
      <w:r w:rsidR="00B05BB6">
        <w:rPr>
          <w:color w:val="000000"/>
          <w:sz w:val="22"/>
          <w:szCs w:val="22"/>
          <w:lang w:val="en-US"/>
        </w:rPr>
        <w:t xml:space="preserve">his occupied channel bandwidth can be measured with the 99% bandwidth function of </w:t>
      </w:r>
      <w:r w:rsidR="00535E8F">
        <w:rPr>
          <w:color w:val="000000"/>
          <w:sz w:val="22"/>
          <w:szCs w:val="22"/>
          <w:lang w:val="en-US"/>
        </w:rPr>
        <w:t>the</w:t>
      </w:r>
      <w:r w:rsidR="00B05BB6">
        <w:rPr>
          <w:color w:val="000000"/>
          <w:sz w:val="22"/>
          <w:szCs w:val="22"/>
          <w:lang w:val="en-US"/>
        </w:rPr>
        <w:t xml:space="preserve"> spectrum analyzer</w:t>
      </w:r>
      <w:r>
        <w:rPr>
          <w:color w:val="000000"/>
          <w:sz w:val="22"/>
          <w:szCs w:val="22"/>
          <w:lang w:val="en-US"/>
        </w:rPr>
        <w:t xml:space="preserve">. </w:t>
      </w:r>
      <w:r w:rsidR="00B05BB6">
        <w:rPr>
          <w:color w:val="000000"/>
          <w:sz w:val="22"/>
          <w:szCs w:val="22"/>
          <w:lang w:val="en-US"/>
        </w:rPr>
        <w:t>It is understood that a</w:t>
      </w:r>
      <w:r w:rsidR="00427B9F">
        <w:rPr>
          <w:color w:val="000000"/>
          <w:sz w:val="22"/>
          <w:szCs w:val="22"/>
          <w:lang w:val="en-US"/>
        </w:rPr>
        <w:t>n LAA</w:t>
      </w:r>
      <w:r w:rsidR="00B05BB6">
        <w:rPr>
          <w:color w:val="000000"/>
          <w:sz w:val="22"/>
          <w:szCs w:val="22"/>
          <w:lang w:val="en-US"/>
        </w:rPr>
        <w:t xml:space="preserve"> device</w:t>
      </w:r>
      <w:r w:rsidR="00427B9F">
        <w:rPr>
          <w:color w:val="000000"/>
          <w:sz w:val="22"/>
          <w:szCs w:val="22"/>
          <w:lang w:val="en-US"/>
        </w:rPr>
        <w:t xml:space="preserve"> can pass the test </w:t>
      </w:r>
      <w:r w:rsidR="000D7D8F">
        <w:rPr>
          <w:color w:val="000000"/>
          <w:sz w:val="22"/>
          <w:szCs w:val="22"/>
          <w:lang w:val="en-US"/>
        </w:rPr>
        <w:t>with</w:t>
      </w:r>
      <w:r w:rsidR="00427B9F">
        <w:rPr>
          <w:color w:val="000000"/>
          <w:sz w:val="22"/>
          <w:szCs w:val="22"/>
          <w:lang w:val="en-US"/>
        </w:rPr>
        <w:t xml:space="preserve"> </w:t>
      </w:r>
      <w:r w:rsidR="000D7D8F">
        <w:rPr>
          <w:color w:val="000000"/>
          <w:sz w:val="22"/>
          <w:szCs w:val="22"/>
          <w:lang w:val="en-US"/>
        </w:rPr>
        <w:t xml:space="preserve">the system </w:t>
      </w:r>
      <w:r w:rsidR="00037C38">
        <w:rPr>
          <w:color w:val="000000"/>
          <w:sz w:val="22"/>
          <w:szCs w:val="22"/>
          <w:lang w:val="en-US"/>
        </w:rPr>
        <w:t>bandwidth</w:t>
      </w:r>
      <w:r w:rsidR="000D7D8F">
        <w:rPr>
          <w:color w:val="000000"/>
          <w:sz w:val="22"/>
          <w:szCs w:val="22"/>
          <w:lang w:val="en-US"/>
        </w:rPr>
        <w:t xml:space="preserve"> occupied partially and discontinuously in frequency domain only if the two edges are separated far enough</w:t>
      </w:r>
      <w:r w:rsidR="00037C38">
        <w:rPr>
          <w:color w:val="000000"/>
          <w:sz w:val="22"/>
          <w:szCs w:val="22"/>
          <w:lang w:val="en-US"/>
        </w:rPr>
        <w:t xml:space="preserve">. </w:t>
      </w:r>
    </w:p>
    <w:p w14:paraId="563895B8" w14:textId="77777777" w:rsidR="00FA3F99" w:rsidRDefault="002D4E19" w:rsidP="00745F0A">
      <w:pPr>
        <w:rPr>
          <w:color w:val="000000"/>
          <w:sz w:val="22"/>
          <w:szCs w:val="22"/>
          <w:lang w:val="en-US"/>
        </w:rPr>
      </w:pPr>
      <w:r>
        <w:rPr>
          <w:color w:val="000000"/>
          <w:sz w:val="22"/>
          <w:szCs w:val="22"/>
          <w:lang w:val="en-US"/>
        </w:rPr>
        <w:t xml:space="preserve">According the test method, for 20 MHz channel bandwidth, the frequency span is 40 MHz, the sweep time is &gt; 1 s and the resolution filter bandwidth is 100 KHz so the charging time for the resolution filter is &gt; 2.5 ms which is longer than two continuous LTE subframes. </w:t>
      </w:r>
    </w:p>
    <w:p w14:paraId="53D486F0" w14:textId="34EDF5BB" w:rsidR="00FA3F99" w:rsidRDefault="00535E8F" w:rsidP="00745F0A">
      <w:pPr>
        <w:rPr>
          <w:color w:val="000000"/>
          <w:sz w:val="22"/>
          <w:szCs w:val="22"/>
          <w:lang w:val="en-US"/>
        </w:rPr>
      </w:pPr>
      <w:r>
        <w:rPr>
          <w:color w:val="000000"/>
          <w:sz w:val="22"/>
          <w:szCs w:val="22"/>
          <w:lang w:val="en-US"/>
        </w:rPr>
        <w:t xml:space="preserve">This means one RB </w:t>
      </w:r>
      <w:r w:rsidR="00BF3DA3">
        <w:rPr>
          <w:color w:val="000000"/>
          <w:sz w:val="22"/>
          <w:szCs w:val="22"/>
          <w:lang w:val="en-US"/>
        </w:rPr>
        <w:t xml:space="preserve">continuously transmitted </w:t>
      </w:r>
      <w:r>
        <w:rPr>
          <w:color w:val="000000"/>
          <w:sz w:val="22"/>
          <w:szCs w:val="22"/>
          <w:lang w:val="en-US"/>
        </w:rPr>
        <w:t>with intra-subframe hopping or inter-subframe hopping can help the device to pass the channel occupation test only if the position</w:t>
      </w:r>
      <w:r w:rsidR="001F53DD">
        <w:rPr>
          <w:color w:val="000000"/>
          <w:sz w:val="22"/>
          <w:szCs w:val="22"/>
          <w:lang w:val="en-US"/>
        </w:rPr>
        <w:t xml:space="preserve"> in the first slot and </w:t>
      </w:r>
      <w:r w:rsidR="00B230F7">
        <w:rPr>
          <w:color w:val="000000"/>
          <w:sz w:val="22"/>
          <w:szCs w:val="22"/>
          <w:lang w:val="en-US"/>
        </w:rPr>
        <w:t xml:space="preserve">the position in </w:t>
      </w:r>
      <w:r w:rsidR="001F53DD">
        <w:rPr>
          <w:color w:val="000000"/>
          <w:sz w:val="22"/>
          <w:szCs w:val="22"/>
          <w:lang w:val="en-US"/>
        </w:rPr>
        <w:t>the second slot</w:t>
      </w:r>
      <w:r>
        <w:rPr>
          <w:color w:val="000000"/>
          <w:sz w:val="22"/>
          <w:szCs w:val="22"/>
          <w:lang w:val="en-US"/>
        </w:rPr>
        <w:t xml:space="preserve"> are separated by no less than 16</w:t>
      </w:r>
      <w:r w:rsidR="001F53DD">
        <w:rPr>
          <w:color w:val="000000"/>
          <w:sz w:val="22"/>
          <w:szCs w:val="22"/>
          <w:lang w:val="en-US"/>
        </w:rPr>
        <w:t xml:space="preserve"> </w:t>
      </w:r>
      <w:proofErr w:type="spellStart"/>
      <w:r w:rsidR="00BF3DA3">
        <w:rPr>
          <w:color w:val="000000"/>
          <w:sz w:val="22"/>
          <w:szCs w:val="22"/>
          <w:lang w:val="en-US"/>
        </w:rPr>
        <w:t>MHz.</w:t>
      </w:r>
      <w:proofErr w:type="spellEnd"/>
      <w:r w:rsidR="00BF3DA3">
        <w:rPr>
          <w:color w:val="000000"/>
          <w:sz w:val="22"/>
          <w:szCs w:val="22"/>
          <w:lang w:val="en-US"/>
        </w:rPr>
        <w:t xml:space="preserve"> Or multiple RBs for one device can be mapped discontinuously in frequency domain and the first RB and the last RB need to be separated by no less than 16 </w:t>
      </w:r>
      <w:proofErr w:type="spellStart"/>
      <w:r w:rsidR="00BF3DA3">
        <w:rPr>
          <w:color w:val="000000"/>
          <w:sz w:val="22"/>
          <w:szCs w:val="22"/>
          <w:lang w:val="en-US"/>
        </w:rPr>
        <w:t>MHz.</w:t>
      </w:r>
      <w:proofErr w:type="spellEnd"/>
      <w:r w:rsidR="00BF3DA3">
        <w:rPr>
          <w:color w:val="000000"/>
          <w:sz w:val="22"/>
          <w:szCs w:val="22"/>
          <w:lang w:val="en-US"/>
        </w:rPr>
        <w:t xml:space="preserve"> </w:t>
      </w:r>
    </w:p>
    <w:p w14:paraId="1B498FE3" w14:textId="77777777" w:rsidR="00F51F43" w:rsidRDefault="00F51F43" w:rsidP="00F51F43">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Proposal</w:t>
      </w:r>
      <w:r w:rsidRPr="00486DD9">
        <w:rPr>
          <w:rFonts w:ascii="Times" w:eastAsia="MS Mincho" w:hAnsi="Times"/>
          <w:b/>
          <w:iCs/>
          <w:lang w:val="en-US" w:eastAsia="ja-JP"/>
        </w:rPr>
        <w:t xml:space="preserve"> 1: </w:t>
      </w:r>
      <w:r>
        <w:rPr>
          <w:rFonts w:ascii="Times" w:eastAsia="MS Mincho" w:hAnsi="Times"/>
          <w:b/>
          <w:iCs/>
          <w:lang w:val="en-US" w:eastAsia="ja-JP"/>
        </w:rPr>
        <w:t>in a</w:t>
      </w:r>
      <w:r w:rsidR="00E9754B">
        <w:rPr>
          <w:rFonts w:ascii="Times" w:eastAsia="MS Mincho" w:hAnsi="Times"/>
          <w:b/>
          <w:iCs/>
          <w:lang w:val="en-US" w:eastAsia="ja-JP"/>
        </w:rPr>
        <w:t xml:space="preserve"> period greater than </w:t>
      </w:r>
      <w:r>
        <w:rPr>
          <w:rFonts w:ascii="Times" w:eastAsia="MS Mincho" w:hAnsi="Times"/>
          <w:b/>
          <w:iCs/>
          <w:lang w:val="en-US" w:eastAsia="ja-JP"/>
        </w:rPr>
        <w:t xml:space="preserve">2.5 ms, the first and the last RBs / subcarriers allocated to one device must be separated by a gap big enough to help the device to pass the 80% channel occupation test. </w:t>
      </w:r>
    </w:p>
    <w:p w14:paraId="7021C41D" w14:textId="77777777" w:rsidR="00BF3DA3" w:rsidRDefault="00A75305" w:rsidP="00BF3DA3">
      <w:pPr>
        <w:rPr>
          <w:color w:val="000000"/>
          <w:sz w:val="22"/>
          <w:szCs w:val="22"/>
          <w:lang w:val="en-US"/>
        </w:rPr>
      </w:pPr>
      <w:r w:rsidRPr="00A75305">
        <w:rPr>
          <w:color w:val="000000"/>
          <w:sz w:val="22"/>
          <w:szCs w:val="22"/>
          <w:lang w:val="en-US"/>
        </w:rPr>
        <w:lastRenderedPageBreak/>
        <w:t xml:space="preserve">According to the regulation requirement in Section </w:t>
      </w:r>
      <w:r>
        <w:rPr>
          <w:color w:val="000000"/>
          <w:sz w:val="22"/>
          <w:szCs w:val="22"/>
          <w:lang w:val="en-US"/>
        </w:rPr>
        <w:t xml:space="preserve">4.4.2 </w:t>
      </w:r>
      <w:r>
        <w:rPr>
          <w:color w:val="000000"/>
          <w:sz w:val="22"/>
          <w:szCs w:val="22"/>
          <w:lang w:val="en-US"/>
        </w:rPr>
        <w:fldChar w:fldCharType="begin"/>
      </w:r>
      <w:r>
        <w:rPr>
          <w:color w:val="000000"/>
          <w:sz w:val="22"/>
          <w:szCs w:val="22"/>
          <w:lang w:val="en-US"/>
        </w:rPr>
        <w:instrText xml:space="preserve"> REF _Ref441492590 \n \h </w:instrText>
      </w:r>
      <w:r>
        <w:rPr>
          <w:color w:val="000000"/>
          <w:sz w:val="22"/>
          <w:szCs w:val="22"/>
          <w:lang w:val="en-US"/>
        </w:rPr>
      </w:r>
      <w:r>
        <w:rPr>
          <w:color w:val="000000"/>
          <w:sz w:val="22"/>
          <w:szCs w:val="22"/>
          <w:lang w:val="en-US"/>
        </w:rPr>
        <w:fldChar w:fldCharType="separate"/>
      </w:r>
      <w:r w:rsidR="00855FEC">
        <w:rPr>
          <w:color w:val="000000"/>
          <w:sz w:val="22"/>
          <w:szCs w:val="22"/>
          <w:lang w:val="en-US"/>
        </w:rPr>
        <w:t>[3]</w:t>
      </w:r>
      <w:r>
        <w:rPr>
          <w:color w:val="000000"/>
          <w:sz w:val="22"/>
          <w:szCs w:val="22"/>
          <w:lang w:val="en-US"/>
        </w:rPr>
        <w:fldChar w:fldCharType="end"/>
      </w:r>
      <w:r>
        <w:rPr>
          <w:color w:val="000000"/>
          <w:sz w:val="22"/>
          <w:szCs w:val="22"/>
          <w:lang w:val="en-US"/>
        </w:rPr>
        <w:t xml:space="preserve"> and the corresponding test method in Section 5.3.4 </w:t>
      </w:r>
      <w:r>
        <w:rPr>
          <w:color w:val="000000"/>
          <w:sz w:val="22"/>
          <w:szCs w:val="22"/>
          <w:lang w:val="en-US"/>
        </w:rPr>
        <w:fldChar w:fldCharType="begin"/>
      </w:r>
      <w:r>
        <w:rPr>
          <w:color w:val="000000"/>
          <w:sz w:val="22"/>
          <w:szCs w:val="22"/>
          <w:lang w:val="en-US"/>
        </w:rPr>
        <w:instrText xml:space="preserve"> REF _Ref441492590 \n \h </w:instrText>
      </w:r>
      <w:r>
        <w:rPr>
          <w:color w:val="000000"/>
          <w:sz w:val="22"/>
          <w:szCs w:val="22"/>
          <w:lang w:val="en-US"/>
        </w:rPr>
      </w:r>
      <w:r>
        <w:rPr>
          <w:color w:val="000000"/>
          <w:sz w:val="22"/>
          <w:szCs w:val="22"/>
          <w:lang w:val="en-US"/>
        </w:rPr>
        <w:fldChar w:fldCharType="separate"/>
      </w:r>
      <w:r w:rsidR="00855FEC">
        <w:rPr>
          <w:color w:val="000000"/>
          <w:sz w:val="22"/>
          <w:szCs w:val="22"/>
          <w:lang w:val="en-US"/>
        </w:rPr>
        <w:t>[3]</w:t>
      </w:r>
      <w:r>
        <w:rPr>
          <w:color w:val="000000"/>
          <w:sz w:val="22"/>
          <w:szCs w:val="22"/>
          <w:lang w:val="en-US"/>
        </w:rPr>
        <w:fldChar w:fldCharType="end"/>
      </w:r>
      <w:r>
        <w:rPr>
          <w:color w:val="000000"/>
          <w:sz w:val="22"/>
          <w:szCs w:val="22"/>
          <w:lang w:val="en-US"/>
        </w:rPr>
        <w:t xml:space="preserve">, </w:t>
      </w:r>
      <w:r w:rsidR="003C325B">
        <w:rPr>
          <w:color w:val="000000"/>
          <w:sz w:val="22"/>
          <w:szCs w:val="22"/>
          <w:lang w:val="en-US"/>
        </w:rPr>
        <w:t xml:space="preserve">both </w:t>
      </w:r>
      <w:r>
        <w:rPr>
          <w:color w:val="000000"/>
          <w:sz w:val="22"/>
          <w:szCs w:val="22"/>
          <w:lang w:val="en-US"/>
        </w:rPr>
        <w:t xml:space="preserve">the power spectrum density (PSD) per MHz </w:t>
      </w:r>
      <w:r w:rsidR="003C325B">
        <w:rPr>
          <w:color w:val="000000"/>
          <w:sz w:val="22"/>
          <w:szCs w:val="22"/>
          <w:lang w:val="en-US"/>
        </w:rPr>
        <w:t xml:space="preserve">and the total output power </w:t>
      </w:r>
      <w:r>
        <w:rPr>
          <w:color w:val="000000"/>
          <w:sz w:val="22"/>
          <w:szCs w:val="22"/>
          <w:lang w:val="en-US"/>
        </w:rPr>
        <w:t xml:space="preserve">cannot exceed a </w:t>
      </w:r>
      <w:r w:rsidR="003C325B">
        <w:rPr>
          <w:color w:val="000000"/>
          <w:sz w:val="22"/>
          <w:szCs w:val="22"/>
          <w:lang w:val="en-US"/>
        </w:rPr>
        <w:t xml:space="preserve">set of </w:t>
      </w:r>
      <w:r>
        <w:rPr>
          <w:color w:val="000000"/>
          <w:sz w:val="22"/>
          <w:szCs w:val="22"/>
          <w:lang w:val="en-US"/>
        </w:rPr>
        <w:t>specified power limit</w:t>
      </w:r>
      <w:r w:rsidR="003C325B">
        <w:rPr>
          <w:color w:val="000000"/>
          <w:sz w:val="22"/>
          <w:szCs w:val="22"/>
          <w:lang w:val="en-US"/>
        </w:rPr>
        <w:t xml:space="preserve">s, for instance, 10 dBm per MHz and 23dBm for 20 </w:t>
      </w:r>
      <w:proofErr w:type="spellStart"/>
      <w:r w:rsidR="003C325B">
        <w:rPr>
          <w:color w:val="000000"/>
          <w:sz w:val="22"/>
          <w:szCs w:val="22"/>
          <w:lang w:val="en-US"/>
        </w:rPr>
        <w:t>MHz.</w:t>
      </w:r>
      <w:proofErr w:type="spellEnd"/>
      <w:r w:rsidR="003C325B">
        <w:rPr>
          <w:color w:val="000000"/>
          <w:sz w:val="22"/>
          <w:szCs w:val="22"/>
          <w:lang w:val="en-US"/>
        </w:rPr>
        <w:t xml:space="preserve"> </w:t>
      </w:r>
    </w:p>
    <w:p w14:paraId="5A6D85C5" w14:textId="10FC474E" w:rsidR="003845DF" w:rsidRDefault="003C325B" w:rsidP="00BF3DA3">
      <w:pPr>
        <w:rPr>
          <w:color w:val="000000"/>
          <w:sz w:val="22"/>
          <w:szCs w:val="22"/>
          <w:lang w:val="en-US"/>
        </w:rPr>
      </w:pPr>
      <w:r>
        <w:rPr>
          <w:color w:val="000000"/>
          <w:sz w:val="22"/>
          <w:szCs w:val="22"/>
          <w:lang w:val="en-US"/>
        </w:rPr>
        <w:t xml:space="preserve">This may impact the LAA coverage performance, assuming a UE at cell edge is allocated one RB and this UE transmits with intra-subframe hopping so it </w:t>
      </w:r>
      <w:r w:rsidR="00566C22">
        <w:rPr>
          <w:color w:val="000000"/>
          <w:sz w:val="22"/>
          <w:szCs w:val="22"/>
          <w:lang w:val="en-US"/>
        </w:rPr>
        <w:t>can occupy</w:t>
      </w:r>
      <w:r>
        <w:rPr>
          <w:color w:val="000000"/>
          <w:sz w:val="22"/>
          <w:szCs w:val="22"/>
          <w:lang w:val="en-US"/>
        </w:rPr>
        <w:t xml:space="preserve"> 80%</w:t>
      </w:r>
      <w:r w:rsidR="00B230F7">
        <w:rPr>
          <w:color w:val="000000"/>
          <w:sz w:val="22"/>
          <w:szCs w:val="22"/>
          <w:lang w:val="en-US"/>
        </w:rPr>
        <w:t xml:space="preserve"> or more</w:t>
      </w:r>
      <w:r>
        <w:rPr>
          <w:color w:val="000000"/>
          <w:sz w:val="22"/>
          <w:szCs w:val="22"/>
          <w:lang w:val="en-US"/>
        </w:rPr>
        <w:t xml:space="preserve"> of the system bandwidth</w:t>
      </w:r>
      <w:r w:rsidR="00566C22">
        <w:rPr>
          <w:color w:val="000000"/>
          <w:sz w:val="22"/>
          <w:szCs w:val="22"/>
          <w:lang w:val="en-US"/>
        </w:rPr>
        <w:t xml:space="preserve"> by mapping the RB to the two ends of the system band in different time slot</w:t>
      </w:r>
      <w:r>
        <w:rPr>
          <w:color w:val="000000"/>
          <w:sz w:val="22"/>
          <w:szCs w:val="22"/>
          <w:lang w:val="en-US"/>
        </w:rPr>
        <w:t xml:space="preserve">, </w:t>
      </w:r>
      <w:r w:rsidR="00D24D73">
        <w:rPr>
          <w:color w:val="000000"/>
          <w:sz w:val="22"/>
          <w:szCs w:val="22"/>
          <w:lang w:val="en-US"/>
        </w:rPr>
        <w:t xml:space="preserve">but at any slot (0.5 ms) it can only transmit with a power no more than 10 dBm which is 13dB less than the maximum output power, 23dBm, of the device. </w:t>
      </w:r>
    </w:p>
    <w:p w14:paraId="36B1AC83" w14:textId="77777777" w:rsidR="003C325B" w:rsidRDefault="00D24D73" w:rsidP="00BF3DA3">
      <w:pPr>
        <w:rPr>
          <w:color w:val="000000"/>
          <w:sz w:val="22"/>
          <w:szCs w:val="22"/>
          <w:lang w:val="en-US"/>
        </w:rPr>
      </w:pPr>
      <w:r>
        <w:rPr>
          <w:color w:val="000000"/>
          <w:sz w:val="22"/>
          <w:szCs w:val="22"/>
          <w:lang w:val="en-US"/>
        </w:rPr>
        <w:t>To improve the UL coverage performance, it is expected for the UE to occupy as many “MHz”</w:t>
      </w:r>
      <w:r w:rsidR="00D14350">
        <w:rPr>
          <w:color w:val="000000"/>
          <w:sz w:val="22"/>
          <w:szCs w:val="22"/>
          <w:lang w:val="en-US"/>
        </w:rPr>
        <w:t xml:space="preserve"> as possible to </w:t>
      </w:r>
      <w:r w:rsidR="00566C22">
        <w:rPr>
          <w:color w:val="000000"/>
          <w:sz w:val="22"/>
          <w:szCs w:val="22"/>
          <w:lang w:val="en-US"/>
        </w:rPr>
        <w:t>use</w:t>
      </w:r>
      <w:r w:rsidR="00D14350">
        <w:rPr>
          <w:color w:val="000000"/>
          <w:sz w:val="22"/>
          <w:szCs w:val="22"/>
          <w:lang w:val="en-US"/>
        </w:rPr>
        <w:t xml:space="preserve"> a higher output power. </w:t>
      </w:r>
      <w:r w:rsidR="00E75F45">
        <w:rPr>
          <w:color w:val="000000"/>
          <w:sz w:val="22"/>
          <w:szCs w:val="22"/>
          <w:lang w:val="en-US"/>
        </w:rPr>
        <w:t xml:space="preserve">As discussed in </w:t>
      </w:r>
      <w:r w:rsidR="00E75F45">
        <w:rPr>
          <w:color w:val="000000"/>
          <w:sz w:val="22"/>
          <w:szCs w:val="22"/>
          <w:lang w:val="en-US"/>
        </w:rPr>
        <w:fldChar w:fldCharType="begin"/>
      </w:r>
      <w:r w:rsidR="00E75F45">
        <w:rPr>
          <w:color w:val="000000"/>
          <w:sz w:val="22"/>
          <w:szCs w:val="22"/>
          <w:lang w:val="en-US"/>
        </w:rPr>
        <w:instrText xml:space="preserve"> REF _Ref441496355 \n \h </w:instrText>
      </w:r>
      <w:r w:rsidR="00566C22">
        <w:rPr>
          <w:color w:val="000000"/>
          <w:sz w:val="22"/>
          <w:szCs w:val="22"/>
          <w:lang w:val="en-US"/>
        </w:rPr>
        <w:instrText xml:space="preserve"> \* MERGEFORMAT </w:instrText>
      </w:r>
      <w:r w:rsidR="00E75F45">
        <w:rPr>
          <w:color w:val="000000"/>
          <w:sz w:val="22"/>
          <w:szCs w:val="22"/>
          <w:lang w:val="en-US"/>
        </w:rPr>
      </w:r>
      <w:r w:rsidR="00E75F45">
        <w:rPr>
          <w:color w:val="000000"/>
          <w:sz w:val="22"/>
          <w:szCs w:val="22"/>
          <w:lang w:val="en-US"/>
        </w:rPr>
        <w:fldChar w:fldCharType="separate"/>
      </w:r>
      <w:r w:rsidR="00855FEC">
        <w:rPr>
          <w:color w:val="000000"/>
          <w:sz w:val="22"/>
          <w:szCs w:val="22"/>
          <w:lang w:val="en-US"/>
        </w:rPr>
        <w:t>[4]</w:t>
      </w:r>
      <w:r w:rsidR="00E75F45">
        <w:rPr>
          <w:color w:val="000000"/>
          <w:sz w:val="22"/>
          <w:szCs w:val="22"/>
          <w:lang w:val="en-US"/>
        </w:rPr>
        <w:fldChar w:fldCharType="end"/>
      </w:r>
      <w:r w:rsidR="00E75F45">
        <w:rPr>
          <w:color w:val="000000"/>
          <w:sz w:val="22"/>
          <w:szCs w:val="22"/>
          <w:lang w:val="en-US"/>
        </w:rPr>
        <w:t>, i</w:t>
      </w:r>
      <w:r w:rsidR="00D14350">
        <w:rPr>
          <w:color w:val="000000"/>
          <w:sz w:val="22"/>
          <w:szCs w:val="22"/>
          <w:lang w:val="en-US"/>
        </w:rPr>
        <w:t xml:space="preserve">t could be implemented by mapping the 12 subcarriers of one RB discontinuously </w:t>
      </w:r>
      <w:r w:rsidR="00E75F45">
        <w:rPr>
          <w:color w:val="000000"/>
          <w:sz w:val="22"/>
          <w:szCs w:val="22"/>
          <w:lang w:val="en-US"/>
        </w:rPr>
        <w:t xml:space="preserve">(also called IFDMA) when a small number of RBs are allocated </w:t>
      </w:r>
      <w:r w:rsidR="00D14350">
        <w:rPr>
          <w:color w:val="000000"/>
          <w:sz w:val="22"/>
          <w:szCs w:val="22"/>
          <w:lang w:val="en-US"/>
        </w:rPr>
        <w:t xml:space="preserve">or by allocating RBs discontinuously </w:t>
      </w:r>
      <w:r w:rsidR="00566C22">
        <w:rPr>
          <w:color w:val="000000"/>
          <w:sz w:val="22"/>
          <w:szCs w:val="22"/>
          <w:lang w:val="en-US"/>
        </w:rPr>
        <w:t xml:space="preserve">but with all subcarriers of one RB continuously mapped in frequency domain </w:t>
      </w:r>
      <w:r w:rsidR="00E75F45">
        <w:rPr>
          <w:color w:val="000000"/>
          <w:sz w:val="22"/>
          <w:szCs w:val="22"/>
          <w:lang w:val="en-US"/>
        </w:rPr>
        <w:t>(called</w:t>
      </w:r>
      <w:r w:rsidR="00566C22">
        <w:rPr>
          <w:color w:val="000000"/>
          <w:sz w:val="22"/>
          <w:szCs w:val="22"/>
          <w:lang w:val="en-US"/>
        </w:rPr>
        <w:t xml:space="preserve"> Block-</w:t>
      </w:r>
      <w:r w:rsidR="00E75F45">
        <w:rPr>
          <w:color w:val="000000"/>
          <w:sz w:val="22"/>
          <w:szCs w:val="22"/>
          <w:lang w:val="en-US"/>
        </w:rPr>
        <w:t xml:space="preserve">IFDMA) when more RBs </w:t>
      </w:r>
      <w:r w:rsidR="00566C22">
        <w:rPr>
          <w:color w:val="000000"/>
          <w:sz w:val="22"/>
          <w:szCs w:val="22"/>
          <w:lang w:val="en-US"/>
        </w:rPr>
        <w:t>are</w:t>
      </w:r>
      <w:r w:rsidR="00E75F45">
        <w:rPr>
          <w:color w:val="000000"/>
          <w:sz w:val="22"/>
          <w:szCs w:val="22"/>
          <w:lang w:val="en-US"/>
        </w:rPr>
        <w:t xml:space="preserve"> allocated</w:t>
      </w:r>
      <w:r w:rsidR="00D14350">
        <w:rPr>
          <w:color w:val="000000"/>
          <w:sz w:val="22"/>
          <w:szCs w:val="22"/>
          <w:lang w:val="en-US"/>
        </w:rPr>
        <w:t xml:space="preserve">. </w:t>
      </w:r>
    </w:p>
    <w:p w14:paraId="5933DE2D" w14:textId="77777777" w:rsidR="00E75F45" w:rsidRDefault="00E75F45" w:rsidP="00E75F45">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Proposal</w:t>
      </w:r>
      <w:r w:rsidRPr="00486DD9">
        <w:rPr>
          <w:rFonts w:ascii="Times" w:eastAsia="MS Mincho" w:hAnsi="Times"/>
          <w:b/>
          <w:iCs/>
          <w:lang w:val="en-US" w:eastAsia="ja-JP"/>
        </w:rPr>
        <w:t xml:space="preserve"> </w:t>
      </w:r>
      <w:r>
        <w:rPr>
          <w:rFonts w:ascii="Times" w:eastAsia="MS Mincho" w:hAnsi="Times"/>
          <w:b/>
          <w:iCs/>
          <w:lang w:val="en-US" w:eastAsia="ja-JP"/>
        </w:rPr>
        <w:t>2</w:t>
      </w:r>
      <w:r w:rsidRPr="00486DD9">
        <w:rPr>
          <w:rFonts w:ascii="Times" w:eastAsia="MS Mincho" w:hAnsi="Times"/>
          <w:b/>
          <w:iCs/>
          <w:lang w:val="en-US" w:eastAsia="ja-JP"/>
        </w:rPr>
        <w:t xml:space="preserve">: </w:t>
      </w:r>
      <w:r>
        <w:rPr>
          <w:rFonts w:ascii="Times" w:eastAsia="MS Mincho" w:hAnsi="Times"/>
          <w:b/>
          <w:iCs/>
          <w:lang w:val="en-US" w:eastAsia="ja-JP"/>
        </w:rPr>
        <w:t>RBs and/or subcarriers may need to be mapped discontinuously in frequency domain</w:t>
      </w:r>
      <w:r w:rsidR="004A144F">
        <w:rPr>
          <w:rFonts w:ascii="Times" w:eastAsia="MS Mincho" w:hAnsi="Times"/>
          <w:b/>
          <w:iCs/>
          <w:lang w:val="en-US" w:eastAsia="ja-JP"/>
        </w:rPr>
        <w:t xml:space="preserve"> to enable the UE </w:t>
      </w:r>
      <w:r w:rsidR="00566C22">
        <w:rPr>
          <w:rFonts w:ascii="Times" w:eastAsia="MS Mincho" w:hAnsi="Times"/>
          <w:b/>
          <w:iCs/>
          <w:lang w:val="en-US" w:eastAsia="ja-JP"/>
        </w:rPr>
        <w:t xml:space="preserve">to use </w:t>
      </w:r>
      <w:r w:rsidR="004A144F">
        <w:rPr>
          <w:rFonts w:ascii="Times" w:eastAsia="MS Mincho" w:hAnsi="Times"/>
          <w:b/>
          <w:iCs/>
          <w:lang w:val="en-US" w:eastAsia="ja-JP"/>
        </w:rPr>
        <w:t>a higher output power</w:t>
      </w:r>
      <w:r>
        <w:rPr>
          <w:rFonts w:ascii="Times" w:eastAsia="MS Mincho" w:hAnsi="Times"/>
          <w:b/>
          <w:iCs/>
          <w:lang w:val="en-US" w:eastAsia="ja-JP"/>
        </w:rPr>
        <w:t xml:space="preserve">. </w:t>
      </w:r>
    </w:p>
    <w:p w14:paraId="35DF5437" w14:textId="77777777" w:rsidR="009744CE" w:rsidRDefault="009744CE" w:rsidP="009744CE">
      <w:pPr>
        <w:pStyle w:val="Heading2"/>
        <w:rPr>
          <w:rFonts w:eastAsia="SimSun"/>
          <w:lang w:val="en-US"/>
        </w:rPr>
      </w:pPr>
      <w:r w:rsidRPr="00BB4567">
        <w:rPr>
          <w:rFonts w:eastAsia="SimSun"/>
          <w:lang w:val="en-US"/>
        </w:rPr>
        <w:t>2.</w:t>
      </w:r>
      <w:r>
        <w:rPr>
          <w:rFonts w:eastAsia="SimSun"/>
          <w:lang w:val="en-US"/>
        </w:rPr>
        <w:t>2</w:t>
      </w:r>
      <w:r w:rsidRPr="00BB4567">
        <w:rPr>
          <w:rFonts w:eastAsia="SimSun"/>
          <w:lang w:val="en-US"/>
        </w:rPr>
        <w:t xml:space="preserve"> </w:t>
      </w:r>
      <w:r w:rsidR="00931B23">
        <w:rPr>
          <w:rFonts w:eastAsia="SimSun"/>
          <w:lang w:val="en-US"/>
        </w:rPr>
        <w:t>Subcarriers Mapping Considerations</w:t>
      </w:r>
    </w:p>
    <w:p w14:paraId="53AEA316" w14:textId="77777777" w:rsidR="00931B23" w:rsidRDefault="00931B23" w:rsidP="00931B23">
      <w:pPr>
        <w:pStyle w:val="Heading3"/>
        <w:tabs>
          <w:tab w:val="num" w:pos="720"/>
        </w:tabs>
        <w:overflowPunct/>
        <w:autoSpaceDE/>
        <w:autoSpaceDN/>
        <w:adjustRightInd/>
        <w:ind w:left="720" w:hanging="720"/>
        <w:textAlignment w:val="auto"/>
        <w:rPr>
          <w:rFonts w:eastAsia="MS Mincho"/>
          <w:lang w:val="en-US"/>
        </w:rPr>
      </w:pPr>
      <w:r>
        <w:rPr>
          <w:rFonts w:eastAsia="MS Mincho"/>
          <w:lang w:val="en-US"/>
        </w:rPr>
        <w:t>2</w:t>
      </w:r>
      <w:r w:rsidRPr="00632618">
        <w:rPr>
          <w:rFonts w:eastAsia="MS Mincho"/>
          <w:lang w:val="en-US"/>
        </w:rPr>
        <w:t>.</w:t>
      </w:r>
      <w:r>
        <w:rPr>
          <w:rFonts w:eastAsia="MS Mincho"/>
          <w:lang w:val="en-US"/>
        </w:rPr>
        <w:t>2</w:t>
      </w:r>
      <w:r w:rsidRPr="00632618">
        <w:rPr>
          <w:rFonts w:eastAsia="MS Mincho"/>
          <w:lang w:val="en-US"/>
        </w:rPr>
        <w:t>.</w:t>
      </w:r>
      <w:r>
        <w:rPr>
          <w:rFonts w:eastAsia="MS Mincho"/>
          <w:lang w:val="en-US"/>
        </w:rPr>
        <w:t>1</w:t>
      </w:r>
      <w:r w:rsidRPr="00632618">
        <w:rPr>
          <w:rFonts w:eastAsia="MS Mincho"/>
          <w:lang w:val="en-US"/>
        </w:rPr>
        <w:t xml:space="preserve"> </w:t>
      </w:r>
      <w:r>
        <w:rPr>
          <w:rFonts w:eastAsia="MS Mincho"/>
          <w:lang w:val="en-US"/>
        </w:rPr>
        <w:t>IFDMA</w:t>
      </w:r>
    </w:p>
    <w:p w14:paraId="6DB36C6A" w14:textId="77777777" w:rsidR="00D02769" w:rsidRPr="00566C22" w:rsidRDefault="00B44A81" w:rsidP="00D02769">
      <w:pPr>
        <w:rPr>
          <w:color w:val="000000"/>
          <w:sz w:val="22"/>
          <w:szCs w:val="22"/>
          <w:lang w:val="en-US"/>
        </w:rPr>
      </w:pPr>
      <w:r w:rsidRPr="00566C22">
        <w:rPr>
          <w:color w:val="000000"/>
          <w:sz w:val="22"/>
          <w:szCs w:val="22"/>
          <w:lang w:val="en-US"/>
        </w:rPr>
        <w:t xml:space="preserve">For UEs in the cell edge area, </w:t>
      </w:r>
      <w:r w:rsidR="00F03E1D" w:rsidRPr="00566C22">
        <w:rPr>
          <w:color w:val="000000"/>
          <w:sz w:val="22"/>
          <w:szCs w:val="22"/>
          <w:lang w:val="en-US"/>
        </w:rPr>
        <w:t xml:space="preserve">subcarriers can be mapped in the frequency domain with a gap between two adjacent subcarriers and the gap needs to be at least 1 MHz so that </w:t>
      </w:r>
      <w:r w:rsidR="005769FB" w:rsidRPr="00566C22">
        <w:rPr>
          <w:color w:val="000000"/>
          <w:sz w:val="22"/>
          <w:szCs w:val="22"/>
          <w:lang w:val="en-US"/>
        </w:rPr>
        <w:t>each subcarrier can be transmitted with</w:t>
      </w:r>
      <w:r w:rsidR="00F03E1D" w:rsidRPr="00566C22">
        <w:rPr>
          <w:color w:val="000000"/>
          <w:sz w:val="22"/>
          <w:szCs w:val="22"/>
          <w:lang w:val="en-US"/>
        </w:rPr>
        <w:t xml:space="preserve"> the power budget for each </w:t>
      </w:r>
      <w:r w:rsidR="007717AB" w:rsidRPr="00566C22">
        <w:rPr>
          <w:color w:val="000000"/>
          <w:sz w:val="22"/>
          <w:szCs w:val="22"/>
          <w:lang w:val="en-US"/>
        </w:rPr>
        <w:t xml:space="preserve">1 </w:t>
      </w:r>
      <w:r w:rsidR="00F03E1D" w:rsidRPr="00566C22">
        <w:rPr>
          <w:color w:val="000000"/>
          <w:sz w:val="22"/>
          <w:szCs w:val="22"/>
          <w:lang w:val="en-US"/>
        </w:rPr>
        <w:t xml:space="preserve">MHz bandwidth. An example with one RB is illustrated in </w:t>
      </w:r>
      <w:r w:rsidR="00F03E1D" w:rsidRPr="00566C22">
        <w:rPr>
          <w:color w:val="000000"/>
          <w:sz w:val="22"/>
          <w:szCs w:val="22"/>
          <w:lang w:val="en-US"/>
        </w:rPr>
        <w:fldChar w:fldCharType="begin"/>
      </w:r>
      <w:r w:rsidR="00F03E1D" w:rsidRPr="00566C22">
        <w:rPr>
          <w:color w:val="000000"/>
          <w:sz w:val="22"/>
          <w:szCs w:val="22"/>
          <w:lang w:val="en-US"/>
        </w:rPr>
        <w:instrText xml:space="preserve"> REF _Ref441500696 \h  \* MERGEFORMAT </w:instrText>
      </w:r>
      <w:r w:rsidR="00F03E1D" w:rsidRPr="00566C22">
        <w:rPr>
          <w:color w:val="000000"/>
          <w:sz w:val="22"/>
          <w:szCs w:val="22"/>
          <w:lang w:val="en-US"/>
        </w:rPr>
      </w:r>
      <w:r w:rsidR="00F03E1D" w:rsidRPr="00566C22">
        <w:rPr>
          <w:color w:val="000000"/>
          <w:sz w:val="22"/>
          <w:szCs w:val="22"/>
          <w:lang w:val="en-US"/>
        </w:rPr>
        <w:fldChar w:fldCharType="separate"/>
      </w:r>
      <w:r w:rsidR="00855FEC" w:rsidRPr="00855FEC">
        <w:rPr>
          <w:color w:val="000000"/>
          <w:sz w:val="22"/>
          <w:szCs w:val="22"/>
          <w:lang w:val="en-US"/>
        </w:rPr>
        <w:t>Figure 1</w:t>
      </w:r>
      <w:r w:rsidR="00F03E1D" w:rsidRPr="00566C22">
        <w:rPr>
          <w:color w:val="000000"/>
          <w:sz w:val="22"/>
          <w:szCs w:val="22"/>
          <w:lang w:val="en-US"/>
        </w:rPr>
        <w:fldChar w:fldCharType="end"/>
      </w:r>
      <w:r w:rsidR="002D3C66">
        <w:rPr>
          <w:color w:val="000000"/>
          <w:sz w:val="22"/>
          <w:szCs w:val="22"/>
          <w:lang w:val="en-US"/>
        </w:rPr>
        <w:t xml:space="preserve"> and</w:t>
      </w:r>
      <w:r w:rsidR="00F03E1D" w:rsidRPr="00566C22">
        <w:rPr>
          <w:color w:val="000000"/>
          <w:sz w:val="22"/>
          <w:szCs w:val="22"/>
          <w:lang w:val="en-US"/>
        </w:rPr>
        <w:t xml:space="preserve"> </w:t>
      </w:r>
      <w:r w:rsidR="007D1404" w:rsidRPr="00566C22">
        <w:rPr>
          <w:color w:val="000000"/>
          <w:sz w:val="22"/>
          <w:szCs w:val="22"/>
          <w:lang w:val="en-US"/>
        </w:rPr>
        <w:t>the 12 subcarriers are mapped in the frequency domain with an identical gap in betw</w:t>
      </w:r>
      <w:r w:rsidR="005769FB" w:rsidRPr="00566C22">
        <w:rPr>
          <w:color w:val="000000"/>
          <w:sz w:val="22"/>
          <w:szCs w:val="22"/>
          <w:lang w:val="en-US"/>
        </w:rPr>
        <w:t>een two adjacent subcarriers</w:t>
      </w:r>
      <w:r w:rsidR="007D1404" w:rsidRPr="00566C22">
        <w:rPr>
          <w:color w:val="000000"/>
          <w:sz w:val="22"/>
          <w:szCs w:val="22"/>
          <w:lang w:val="en-US"/>
        </w:rPr>
        <w:t>. In this example, each subcarrier can be transmitted with 10dBm power and the total output power could be up to 2</w:t>
      </w:r>
      <w:r w:rsidR="005769FB" w:rsidRPr="00566C22">
        <w:rPr>
          <w:color w:val="000000"/>
          <w:sz w:val="22"/>
          <w:szCs w:val="22"/>
          <w:lang w:val="en-US"/>
        </w:rPr>
        <w:t xml:space="preserve">0.8 </w:t>
      </w:r>
      <w:r w:rsidR="007D1404" w:rsidRPr="00566C22">
        <w:rPr>
          <w:color w:val="000000"/>
          <w:sz w:val="22"/>
          <w:szCs w:val="22"/>
          <w:lang w:val="en-US"/>
        </w:rPr>
        <w:t>dBm</w:t>
      </w:r>
      <w:r w:rsidR="005769FB" w:rsidRPr="00566C22">
        <w:rPr>
          <w:color w:val="000000"/>
          <w:sz w:val="22"/>
          <w:szCs w:val="22"/>
          <w:lang w:val="en-US"/>
        </w:rPr>
        <w:t xml:space="preserve"> (</w:t>
      </w:r>
      <m:oMath>
        <m:r>
          <w:rPr>
            <w:rFonts w:ascii="Cambria Math" w:hAnsi="Cambria Math"/>
            <w:color w:val="000000"/>
            <w:szCs w:val="22"/>
            <w:lang w:val="en-US"/>
          </w:rPr>
          <m:t>=10 dBm+10×log10</m:t>
        </m:r>
        <m:d>
          <m:dPr>
            <m:ctrlPr>
              <w:rPr>
                <w:rFonts w:ascii="Cambria Math" w:hAnsi="Cambria Math"/>
                <w:i/>
                <w:color w:val="000000"/>
                <w:szCs w:val="22"/>
                <w:lang w:val="en-US"/>
              </w:rPr>
            </m:ctrlPr>
          </m:dPr>
          <m:e>
            <m:r>
              <w:rPr>
                <w:rFonts w:ascii="Cambria Math" w:hAnsi="Cambria Math"/>
                <w:color w:val="000000"/>
                <w:szCs w:val="22"/>
                <w:lang w:val="en-US"/>
              </w:rPr>
              <m:t>12</m:t>
            </m:r>
          </m:e>
        </m:d>
        <m:r>
          <w:rPr>
            <w:rFonts w:ascii="Cambria Math" w:hAnsi="Cambria Math"/>
            <w:color w:val="000000"/>
            <w:szCs w:val="22"/>
            <w:lang w:val="en-US"/>
          </w:rPr>
          <m:t>dB</m:t>
        </m:r>
      </m:oMath>
      <w:r w:rsidR="005769FB" w:rsidRPr="002D3C66">
        <w:rPr>
          <w:color w:val="000000"/>
          <w:sz w:val="22"/>
          <w:szCs w:val="22"/>
          <w:lang w:val="en-US"/>
        </w:rPr>
        <w:t>)</w:t>
      </w:r>
      <w:r w:rsidR="007D1404" w:rsidRPr="00566C22">
        <w:rPr>
          <w:color w:val="000000"/>
          <w:sz w:val="22"/>
          <w:szCs w:val="22"/>
          <w:lang w:val="en-US"/>
        </w:rPr>
        <w:t xml:space="preserve">. </w:t>
      </w:r>
    </w:p>
    <w:p w14:paraId="17530E27" w14:textId="77777777" w:rsidR="00B44A81" w:rsidRDefault="005769FB" w:rsidP="00B44A81">
      <w:pPr>
        <w:keepNext/>
        <w:jc w:val="center"/>
      </w:pPr>
      <w:r>
        <w:rPr>
          <w:noProof/>
          <w:lang w:val="en-US"/>
        </w:rPr>
        <w:drawing>
          <wp:inline distT="0" distB="0" distL="0" distR="0" wp14:anchorId="771CF73F" wp14:editId="2D46146A">
            <wp:extent cx="4213555" cy="7568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13127" cy="756771"/>
                    </a:xfrm>
                    <a:prstGeom prst="rect">
                      <a:avLst/>
                    </a:prstGeom>
                    <a:noFill/>
                  </pic:spPr>
                </pic:pic>
              </a:graphicData>
            </a:graphic>
          </wp:inline>
        </w:drawing>
      </w:r>
    </w:p>
    <w:p w14:paraId="6852BA85" w14:textId="77777777" w:rsidR="00D02769" w:rsidRPr="00B44A81" w:rsidRDefault="00B44A81" w:rsidP="00B44A81">
      <w:pPr>
        <w:pStyle w:val="Caption"/>
        <w:jc w:val="center"/>
        <w:rPr>
          <w:rFonts w:eastAsia="SimSun"/>
          <w:lang w:val="en-US"/>
        </w:rPr>
      </w:pPr>
      <w:bookmarkStart w:id="1" w:name="_Ref441500696"/>
      <w:r>
        <w:t xml:space="preserve">Figure </w:t>
      </w:r>
      <w:r w:rsidR="00E658A2">
        <w:fldChar w:fldCharType="begin"/>
      </w:r>
      <w:r w:rsidR="00E658A2">
        <w:instrText xml:space="preserve"> SEQ Figure \* ARABIC </w:instrText>
      </w:r>
      <w:r w:rsidR="00E658A2">
        <w:fldChar w:fldCharType="separate"/>
      </w:r>
      <w:r w:rsidR="00855FEC">
        <w:rPr>
          <w:noProof/>
        </w:rPr>
        <w:t>1</w:t>
      </w:r>
      <w:r w:rsidR="00E658A2">
        <w:rPr>
          <w:noProof/>
        </w:rPr>
        <w:fldChar w:fldCharType="end"/>
      </w:r>
      <w:bookmarkEnd w:id="1"/>
      <w:r>
        <w:rPr>
          <w:lang w:val="en-US"/>
        </w:rPr>
        <w:t xml:space="preserve"> </w:t>
      </w:r>
      <w:r w:rsidR="00034BCD">
        <w:rPr>
          <w:lang w:val="en-US"/>
        </w:rPr>
        <w:t>IFDMA</w:t>
      </w:r>
      <w:r>
        <w:rPr>
          <w:lang w:val="en-US"/>
        </w:rPr>
        <w:t xml:space="preserve"> </w:t>
      </w:r>
      <w:r w:rsidR="002A5683">
        <w:rPr>
          <w:lang w:val="en-US"/>
        </w:rPr>
        <w:t>E</w:t>
      </w:r>
      <w:r>
        <w:rPr>
          <w:lang w:val="en-US"/>
        </w:rPr>
        <w:t xml:space="preserve">xample </w:t>
      </w:r>
    </w:p>
    <w:p w14:paraId="48CA5DAD" w14:textId="7A73DA53" w:rsidR="005A4E50" w:rsidRDefault="00EE35D1" w:rsidP="004431F0">
      <w:pPr>
        <w:rPr>
          <w:color w:val="000000"/>
          <w:sz w:val="22"/>
          <w:szCs w:val="22"/>
          <w:lang w:val="en-US"/>
        </w:rPr>
      </w:pPr>
      <w:r>
        <w:rPr>
          <w:color w:val="000000"/>
          <w:sz w:val="22"/>
          <w:szCs w:val="22"/>
          <w:lang w:val="en-US"/>
        </w:rPr>
        <w:t xml:space="preserve">When all the gaps are identical, </w:t>
      </w:r>
      <w:r w:rsidR="005769FB">
        <w:rPr>
          <w:color w:val="000000"/>
          <w:sz w:val="22"/>
          <w:szCs w:val="22"/>
          <w:lang w:val="en-US"/>
        </w:rPr>
        <w:t xml:space="preserve">the low PAPR/CM </w:t>
      </w:r>
      <w:r w:rsidR="00F20425">
        <w:rPr>
          <w:color w:val="000000"/>
          <w:sz w:val="22"/>
          <w:szCs w:val="22"/>
          <w:lang w:val="en-US"/>
        </w:rPr>
        <w:t xml:space="preserve">property </w:t>
      </w:r>
      <w:r w:rsidR="005769FB">
        <w:rPr>
          <w:color w:val="000000"/>
          <w:sz w:val="22"/>
          <w:szCs w:val="22"/>
          <w:lang w:val="en-US"/>
        </w:rPr>
        <w:t xml:space="preserve">of </w:t>
      </w:r>
      <w:r w:rsidR="006F3B3C">
        <w:rPr>
          <w:color w:val="000000"/>
          <w:sz w:val="22"/>
          <w:szCs w:val="22"/>
          <w:lang w:val="en-US"/>
        </w:rPr>
        <w:t>single</w:t>
      </w:r>
      <w:r w:rsidR="005769FB">
        <w:rPr>
          <w:color w:val="000000"/>
          <w:sz w:val="22"/>
          <w:szCs w:val="22"/>
          <w:lang w:val="en-US"/>
        </w:rPr>
        <w:t xml:space="preserve">-carrier FDMA can be </w:t>
      </w:r>
      <w:r w:rsidR="00F20425">
        <w:rPr>
          <w:color w:val="000000"/>
          <w:sz w:val="22"/>
          <w:szCs w:val="22"/>
          <w:lang w:val="en-US"/>
        </w:rPr>
        <w:t>maintained</w:t>
      </w:r>
      <w:r w:rsidR="005769FB">
        <w:rPr>
          <w:color w:val="000000"/>
          <w:sz w:val="22"/>
          <w:szCs w:val="22"/>
          <w:lang w:val="en-US"/>
        </w:rPr>
        <w:t>. Obviously, UEs with the above mapping scheme cannot pass the 80% channel occupation test</w:t>
      </w:r>
      <w:r w:rsidR="00F20425">
        <w:rPr>
          <w:color w:val="000000"/>
          <w:sz w:val="22"/>
          <w:szCs w:val="22"/>
          <w:lang w:val="en-US"/>
        </w:rPr>
        <w:t>.</w:t>
      </w:r>
      <w:r w:rsidR="005769FB">
        <w:rPr>
          <w:color w:val="000000"/>
          <w:sz w:val="22"/>
          <w:szCs w:val="22"/>
          <w:lang w:val="en-US"/>
        </w:rPr>
        <w:t xml:space="preserve"> </w:t>
      </w:r>
      <w:r w:rsidR="00F20425">
        <w:rPr>
          <w:color w:val="000000"/>
          <w:sz w:val="22"/>
          <w:szCs w:val="22"/>
          <w:lang w:val="en-US"/>
        </w:rPr>
        <w:t>O</w:t>
      </w:r>
      <w:r w:rsidR="005769FB">
        <w:rPr>
          <w:color w:val="000000"/>
          <w:sz w:val="22"/>
          <w:szCs w:val="22"/>
          <w:lang w:val="en-US"/>
        </w:rPr>
        <w:t>ne option is to map one subcarrier to the right end of the system bandwidth</w:t>
      </w:r>
      <w:r w:rsidR="00F20425">
        <w:rPr>
          <w:color w:val="000000"/>
          <w:sz w:val="22"/>
          <w:szCs w:val="22"/>
          <w:lang w:val="en-US"/>
        </w:rPr>
        <w:t xml:space="preserve"> but the</w:t>
      </w:r>
      <w:r w:rsidR="006F3B3C">
        <w:rPr>
          <w:color w:val="000000"/>
          <w:sz w:val="22"/>
          <w:szCs w:val="22"/>
          <w:lang w:val="en-US"/>
        </w:rPr>
        <w:t xml:space="preserve"> PAPR/CM cannot be as low as single-carrier FDMA</w:t>
      </w:r>
      <w:r w:rsidR="00F20425">
        <w:rPr>
          <w:color w:val="000000"/>
          <w:sz w:val="22"/>
          <w:szCs w:val="22"/>
          <w:lang w:val="en-US"/>
        </w:rPr>
        <w:t xml:space="preserve">. </w:t>
      </w:r>
      <w:r w:rsidR="006F3B3C">
        <w:rPr>
          <w:color w:val="000000"/>
          <w:sz w:val="22"/>
          <w:szCs w:val="22"/>
          <w:lang w:val="en-US"/>
        </w:rPr>
        <w:t>Or when the number of allocated RBs is more than one</w:t>
      </w:r>
      <w:r w:rsidR="000C7001">
        <w:rPr>
          <w:color w:val="000000"/>
          <w:sz w:val="22"/>
          <w:szCs w:val="22"/>
          <w:lang w:val="en-US"/>
        </w:rPr>
        <w:t xml:space="preserve">, it is very difficult to </w:t>
      </w:r>
      <w:r w:rsidR="00443577">
        <w:rPr>
          <w:color w:val="000000"/>
          <w:sz w:val="22"/>
          <w:szCs w:val="22"/>
          <w:lang w:val="en-US"/>
        </w:rPr>
        <w:t>e</w:t>
      </w:r>
      <w:r w:rsidR="000C7001">
        <w:rPr>
          <w:color w:val="000000"/>
          <w:sz w:val="22"/>
          <w:szCs w:val="22"/>
          <w:lang w:val="en-US"/>
        </w:rPr>
        <w:t xml:space="preserve">nsure an identical gap between all adjacent subcarriers, for instance, 10 RBs, 120 subcarriers, which will split the whole band (1200 subcarriers) into small pieces of 10 subcarriers </w:t>
      </w:r>
      <w:r w:rsidR="002A42AD">
        <w:rPr>
          <w:color w:val="000000"/>
          <w:sz w:val="22"/>
          <w:szCs w:val="22"/>
          <w:lang w:val="en-US"/>
        </w:rPr>
        <w:t>and</w:t>
      </w:r>
      <w:r w:rsidR="00F20194">
        <w:rPr>
          <w:color w:val="000000"/>
          <w:sz w:val="22"/>
          <w:szCs w:val="22"/>
          <w:lang w:val="en-US"/>
        </w:rPr>
        <w:t xml:space="preserve"> break the current RB design. I</w:t>
      </w:r>
      <w:r w:rsidR="000C7001">
        <w:rPr>
          <w:color w:val="000000"/>
          <w:sz w:val="22"/>
          <w:szCs w:val="22"/>
          <w:lang w:val="en-US"/>
        </w:rPr>
        <w:t>t is a reasonable assumption to allow IFDMA with non-identical gaps which will again result in an increased PAPR/CM</w:t>
      </w:r>
      <w:r w:rsidR="006F3B3C">
        <w:rPr>
          <w:color w:val="000000"/>
          <w:sz w:val="22"/>
          <w:szCs w:val="22"/>
          <w:lang w:val="en-US"/>
        </w:rPr>
        <w:t xml:space="preserve">. </w:t>
      </w:r>
    </w:p>
    <w:p w14:paraId="16789C21" w14:textId="77777777" w:rsidR="00931B23" w:rsidRDefault="00931B23" w:rsidP="00931B23">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Observation</w:t>
      </w:r>
      <w:r w:rsidRPr="00486DD9">
        <w:rPr>
          <w:rFonts w:ascii="Times" w:eastAsia="MS Mincho" w:hAnsi="Times"/>
          <w:b/>
          <w:iCs/>
          <w:lang w:val="en-US" w:eastAsia="ja-JP"/>
        </w:rPr>
        <w:t xml:space="preserve"> </w:t>
      </w:r>
      <w:r>
        <w:rPr>
          <w:rFonts w:ascii="Times" w:eastAsia="MS Mincho" w:hAnsi="Times"/>
          <w:b/>
          <w:iCs/>
          <w:lang w:val="en-US" w:eastAsia="ja-JP"/>
        </w:rPr>
        <w:t>1</w:t>
      </w:r>
      <w:r w:rsidRPr="00486DD9">
        <w:rPr>
          <w:rFonts w:ascii="Times" w:eastAsia="MS Mincho" w:hAnsi="Times"/>
          <w:b/>
          <w:iCs/>
          <w:lang w:val="en-US" w:eastAsia="ja-JP"/>
        </w:rPr>
        <w:t xml:space="preserve">: </w:t>
      </w:r>
      <w:r>
        <w:rPr>
          <w:rFonts w:ascii="Times" w:eastAsia="MS Mincho" w:hAnsi="Times"/>
          <w:b/>
          <w:iCs/>
          <w:lang w:val="en-US" w:eastAsia="ja-JP"/>
        </w:rPr>
        <w:t xml:space="preserve">IFDMA with the </w:t>
      </w:r>
      <w:r w:rsidRPr="00931B23">
        <w:rPr>
          <w:rFonts w:ascii="Times" w:eastAsia="MS Mincho" w:hAnsi="Times"/>
          <w:b/>
          <w:iCs/>
          <w:lang w:val="en-US" w:eastAsia="ja-JP"/>
        </w:rPr>
        <w:t xml:space="preserve">low PAPR/CM property </w:t>
      </w:r>
      <w:r>
        <w:rPr>
          <w:rFonts w:ascii="Times" w:eastAsia="MS Mincho" w:hAnsi="Times"/>
          <w:b/>
          <w:iCs/>
          <w:lang w:val="en-US" w:eastAsia="ja-JP"/>
        </w:rPr>
        <w:t xml:space="preserve">of SC-FDMA is nearly unachievable with multiple UEs multiplexing </w:t>
      </w:r>
      <w:r w:rsidR="002D3C66">
        <w:rPr>
          <w:rFonts w:ascii="Times" w:eastAsia="MS Mincho" w:hAnsi="Times"/>
          <w:b/>
          <w:iCs/>
          <w:lang w:val="en-US" w:eastAsia="ja-JP"/>
        </w:rPr>
        <w:t>and</w:t>
      </w:r>
      <w:r>
        <w:rPr>
          <w:rFonts w:ascii="Times" w:eastAsia="MS Mincho" w:hAnsi="Times"/>
          <w:b/>
          <w:iCs/>
          <w:lang w:val="en-US" w:eastAsia="ja-JP"/>
        </w:rPr>
        <w:t xml:space="preserve"> </w:t>
      </w:r>
      <w:r w:rsidR="002D3C66" w:rsidRPr="002D3C66">
        <w:rPr>
          <w:rFonts w:ascii="Times" w:eastAsia="MS Mincho" w:hAnsi="Times"/>
          <w:b/>
          <w:iCs/>
          <w:lang w:val="en-US" w:eastAsia="ja-JP"/>
        </w:rPr>
        <w:t xml:space="preserve">varied </w:t>
      </w:r>
      <w:r w:rsidR="002D3C66">
        <w:rPr>
          <w:rFonts w:ascii="Times" w:eastAsia="MS Mincho" w:hAnsi="Times"/>
          <w:b/>
          <w:iCs/>
          <w:lang w:val="en-US" w:eastAsia="ja-JP"/>
        </w:rPr>
        <w:t xml:space="preserve">numbers of allocated </w:t>
      </w:r>
      <w:r>
        <w:rPr>
          <w:rFonts w:ascii="Times" w:eastAsia="MS Mincho" w:hAnsi="Times"/>
          <w:b/>
          <w:iCs/>
          <w:lang w:val="en-US" w:eastAsia="ja-JP"/>
        </w:rPr>
        <w:t>RB</w:t>
      </w:r>
      <w:r w:rsidR="002D3C66">
        <w:rPr>
          <w:rFonts w:ascii="Times" w:eastAsia="MS Mincho" w:hAnsi="Times"/>
          <w:b/>
          <w:iCs/>
          <w:lang w:val="en-US" w:eastAsia="ja-JP"/>
        </w:rPr>
        <w:t>s</w:t>
      </w:r>
      <w:r>
        <w:rPr>
          <w:rFonts w:ascii="Times" w:eastAsia="MS Mincho" w:hAnsi="Times"/>
          <w:b/>
          <w:iCs/>
          <w:lang w:val="en-US" w:eastAsia="ja-JP"/>
        </w:rPr>
        <w:t xml:space="preserve">. </w:t>
      </w:r>
    </w:p>
    <w:p w14:paraId="2C0A4F25" w14:textId="77777777" w:rsidR="00931B23" w:rsidRDefault="00931B23" w:rsidP="00931B23">
      <w:pPr>
        <w:pStyle w:val="Heading3"/>
        <w:tabs>
          <w:tab w:val="num" w:pos="720"/>
        </w:tabs>
        <w:overflowPunct/>
        <w:autoSpaceDE/>
        <w:autoSpaceDN/>
        <w:adjustRightInd/>
        <w:ind w:left="720" w:hanging="720"/>
        <w:textAlignment w:val="auto"/>
        <w:rPr>
          <w:rFonts w:eastAsia="MS Mincho"/>
          <w:lang w:val="en-US"/>
        </w:rPr>
      </w:pPr>
      <w:r>
        <w:rPr>
          <w:rFonts w:eastAsia="MS Mincho"/>
          <w:lang w:val="en-US"/>
        </w:rPr>
        <w:t>2</w:t>
      </w:r>
      <w:r w:rsidRPr="00632618">
        <w:rPr>
          <w:rFonts w:eastAsia="MS Mincho"/>
          <w:lang w:val="en-US"/>
        </w:rPr>
        <w:t>.</w:t>
      </w:r>
      <w:r>
        <w:rPr>
          <w:rFonts w:eastAsia="MS Mincho"/>
          <w:lang w:val="en-US"/>
        </w:rPr>
        <w:t>2</w:t>
      </w:r>
      <w:r w:rsidRPr="00632618">
        <w:rPr>
          <w:rFonts w:eastAsia="MS Mincho"/>
          <w:lang w:val="en-US"/>
        </w:rPr>
        <w:t>.</w:t>
      </w:r>
      <w:r>
        <w:rPr>
          <w:rFonts w:eastAsia="MS Mincho"/>
          <w:lang w:val="en-US"/>
        </w:rPr>
        <w:t>2</w:t>
      </w:r>
      <w:r w:rsidRPr="00632618">
        <w:rPr>
          <w:rFonts w:eastAsia="MS Mincho"/>
          <w:lang w:val="en-US"/>
        </w:rPr>
        <w:t xml:space="preserve"> </w:t>
      </w:r>
      <w:r>
        <w:rPr>
          <w:rFonts w:eastAsia="MS Mincho"/>
          <w:lang w:val="en-US"/>
        </w:rPr>
        <w:t>Block-IFDMA</w:t>
      </w:r>
    </w:p>
    <w:p w14:paraId="228AF7EA" w14:textId="77777777" w:rsidR="006F3B3C" w:rsidRDefault="00034BCD" w:rsidP="004431F0">
      <w:pPr>
        <w:rPr>
          <w:color w:val="000000"/>
          <w:sz w:val="22"/>
          <w:szCs w:val="22"/>
          <w:lang w:val="en-US"/>
        </w:rPr>
      </w:pPr>
      <w:r>
        <w:rPr>
          <w:color w:val="000000"/>
          <w:sz w:val="22"/>
          <w:szCs w:val="22"/>
          <w:lang w:val="en-US"/>
        </w:rPr>
        <w:t xml:space="preserve">IFDMA is not always expected due to the poor performance with frequency error and less accurate channel estimation and when a big number of RBs are allocated for one UE, </w:t>
      </w:r>
      <w:r w:rsidR="00F93A98">
        <w:rPr>
          <w:color w:val="000000"/>
          <w:sz w:val="22"/>
          <w:szCs w:val="22"/>
          <w:lang w:val="en-US"/>
        </w:rPr>
        <w:t>B</w:t>
      </w:r>
      <w:r>
        <w:rPr>
          <w:color w:val="000000"/>
          <w:sz w:val="22"/>
          <w:szCs w:val="22"/>
          <w:lang w:val="en-US"/>
        </w:rPr>
        <w:t xml:space="preserve">lock-IFDMA could be a good tradeoff between the permitted output power and link performance. </w:t>
      </w:r>
    </w:p>
    <w:p w14:paraId="48558BB2" w14:textId="77777777" w:rsidR="002A5683" w:rsidRDefault="002A5683" w:rsidP="004431F0">
      <w:pPr>
        <w:rPr>
          <w:color w:val="000000"/>
          <w:sz w:val="22"/>
          <w:szCs w:val="22"/>
          <w:lang w:val="en-US"/>
        </w:rPr>
      </w:pPr>
      <w:r>
        <w:rPr>
          <w:color w:val="000000"/>
          <w:sz w:val="22"/>
          <w:szCs w:val="22"/>
          <w:lang w:val="en-US"/>
        </w:rPr>
        <w:t xml:space="preserve">An illustrated in </w:t>
      </w:r>
      <w:r>
        <w:rPr>
          <w:color w:val="000000"/>
          <w:sz w:val="22"/>
          <w:szCs w:val="22"/>
          <w:lang w:val="en-US"/>
        </w:rPr>
        <w:fldChar w:fldCharType="begin"/>
      </w:r>
      <w:r>
        <w:rPr>
          <w:color w:val="000000"/>
          <w:sz w:val="22"/>
          <w:szCs w:val="22"/>
          <w:lang w:val="en-US"/>
        </w:rPr>
        <w:instrText xml:space="preserve"> REF _Ref441507708 \h </w:instrText>
      </w:r>
      <w:r w:rsidR="006E6A35">
        <w:rPr>
          <w:color w:val="000000"/>
          <w:sz w:val="22"/>
          <w:szCs w:val="22"/>
          <w:lang w:val="en-US"/>
        </w:rPr>
        <w:instrText xml:space="preserve"> \* MERGEFORMAT </w:instrText>
      </w:r>
      <w:r>
        <w:rPr>
          <w:color w:val="000000"/>
          <w:sz w:val="22"/>
          <w:szCs w:val="22"/>
          <w:lang w:val="en-US"/>
        </w:rPr>
      </w:r>
      <w:r>
        <w:rPr>
          <w:color w:val="000000"/>
          <w:sz w:val="22"/>
          <w:szCs w:val="22"/>
          <w:lang w:val="en-US"/>
        </w:rPr>
        <w:fldChar w:fldCharType="separate"/>
      </w:r>
      <w:r w:rsidR="00855FEC" w:rsidRPr="00855FEC">
        <w:rPr>
          <w:color w:val="000000"/>
          <w:sz w:val="22"/>
          <w:szCs w:val="22"/>
          <w:lang w:val="en-US"/>
        </w:rPr>
        <w:t>Figure 2</w:t>
      </w:r>
      <w:r>
        <w:rPr>
          <w:color w:val="000000"/>
          <w:sz w:val="22"/>
          <w:szCs w:val="22"/>
          <w:lang w:val="en-US"/>
        </w:rPr>
        <w:fldChar w:fldCharType="end"/>
      </w:r>
      <w:r w:rsidR="00F93A98">
        <w:rPr>
          <w:color w:val="000000"/>
          <w:sz w:val="22"/>
          <w:szCs w:val="22"/>
          <w:lang w:val="en-US"/>
        </w:rPr>
        <w:t xml:space="preserve">, </w:t>
      </w:r>
      <w:r>
        <w:rPr>
          <w:color w:val="000000"/>
          <w:sz w:val="22"/>
          <w:szCs w:val="22"/>
          <w:lang w:val="en-US"/>
        </w:rPr>
        <w:t>one UE is allocated with 12 RBs which are mapped to 12 discontinuous positions in the frequency domain. Note that block-IFDMA does not have the lower PAPR/CM property</w:t>
      </w:r>
      <w:r w:rsidR="00F93A98">
        <w:rPr>
          <w:color w:val="000000"/>
          <w:sz w:val="22"/>
          <w:szCs w:val="22"/>
          <w:lang w:val="en-US"/>
        </w:rPr>
        <w:t xml:space="preserve"> of SC-FDMA</w:t>
      </w:r>
      <w:r>
        <w:rPr>
          <w:color w:val="000000"/>
          <w:sz w:val="22"/>
          <w:szCs w:val="22"/>
          <w:lang w:val="en-US"/>
        </w:rPr>
        <w:t xml:space="preserve"> </w:t>
      </w:r>
      <w:r>
        <w:rPr>
          <w:color w:val="000000"/>
          <w:sz w:val="22"/>
          <w:szCs w:val="22"/>
          <w:lang w:val="en-US"/>
        </w:rPr>
        <w:lastRenderedPageBreak/>
        <w:t xml:space="preserve">so the gaps between any adjacent RBs do not need to be identical. Same as the IFDMA example, the UE can transmit with a maximum output power of 20.8 dBm. </w:t>
      </w:r>
    </w:p>
    <w:p w14:paraId="14DD14A4" w14:textId="77777777" w:rsidR="00034BCD" w:rsidRDefault="002A5683" w:rsidP="00034BCD">
      <w:pPr>
        <w:jc w:val="center"/>
        <w:rPr>
          <w:color w:val="000000"/>
          <w:sz w:val="22"/>
          <w:szCs w:val="22"/>
          <w:lang w:val="en-US"/>
        </w:rPr>
      </w:pPr>
      <w:r>
        <w:rPr>
          <w:noProof/>
          <w:color w:val="000000"/>
          <w:sz w:val="22"/>
          <w:szCs w:val="22"/>
          <w:lang w:val="en-US"/>
        </w:rPr>
        <w:drawing>
          <wp:inline distT="0" distB="0" distL="0" distR="0" wp14:anchorId="7489E8F7" wp14:editId="69BB505A">
            <wp:extent cx="4454957" cy="800209"/>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54504" cy="800128"/>
                    </a:xfrm>
                    <a:prstGeom prst="rect">
                      <a:avLst/>
                    </a:prstGeom>
                    <a:noFill/>
                  </pic:spPr>
                </pic:pic>
              </a:graphicData>
            </a:graphic>
          </wp:inline>
        </w:drawing>
      </w:r>
    </w:p>
    <w:p w14:paraId="006D9D6A" w14:textId="77777777" w:rsidR="00034BCD" w:rsidRPr="006E6A35" w:rsidRDefault="00034BCD" w:rsidP="006E6A35">
      <w:pPr>
        <w:pStyle w:val="Caption"/>
        <w:jc w:val="center"/>
        <w:rPr>
          <w:rFonts w:eastAsia="SimSun"/>
          <w:lang w:val="en-US"/>
        </w:rPr>
      </w:pPr>
      <w:bookmarkStart w:id="2" w:name="_Ref441507708"/>
      <w:r>
        <w:t xml:space="preserve">Figure </w:t>
      </w:r>
      <w:r w:rsidR="00E658A2">
        <w:fldChar w:fldCharType="begin"/>
      </w:r>
      <w:r w:rsidR="00E658A2">
        <w:instrText xml:space="preserve"> SEQ Figure \* ARABIC </w:instrText>
      </w:r>
      <w:r w:rsidR="00E658A2">
        <w:fldChar w:fldCharType="separate"/>
      </w:r>
      <w:r w:rsidR="00855FEC">
        <w:rPr>
          <w:noProof/>
        </w:rPr>
        <w:t>2</w:t>
      </w:r>
      <w:r w:rsidR="00E658A2">
        <w:rPr>
          <w:noProof/>
        </w:rPr>
        <w:fldChar w:fldCharType="end"/>
      </w:r>
      <w:bookmarkEnd w:id="2"/>
      <w:r>
        <w:rPr>
          <w:lang w:val="en-US"/>
        </w:rPr>
        <w:t xml:space="preserve"> Block-IFDMA </w:t>
      </w:r>
      <w:r w:rsidR="002A5683">
        <w:rPr>
          <w:lang w:val="en-US"/>
        </w:rPr>
        <w:t>E</w:t>
      </w:r>
      <w:r>
        <w:rPr>
          <w:lang w:val="en-US"/>
        </w:rPr>
        <w:t>xample</w:t>
      </w:r>
    </w:p>
    <w:p w14:paraId="083CAA14" w14:textId="77777777" w:rsidR="00077DA4" w:rsidRDefault="006E6A35" w:rsidP="006E6A35">
      <w:pPr>
        <w:pStyle w:val="LGTdoc"/>
        <w:spacing w:afterLines="100" w:after="240" w:line="240" w:lineRule="auto"/>
        <w:jc w:val="left"/>
        <w:rPr>
          <w:color w:val="000000"/>
          <w:szCs w:val="22"/>
          <w:lang w:val="en-US"/>
        </w:rPr>
      </w:pPr>
      <w:r>
        <w:rPr>
          <w:color w:val="000000"/>
          <w:szCs w:val="22"/>
          <w:lang w:val="en-US"/>
        </w:rPr>
        <w:t xml:space="preserve">Here the “block” size is one RB. </w:t>
      </w:r>
      <w:r w:rsidR="00390B9C">
        <w:rPr>
          <w:color w:val="000000"/>
          <w:szCs w:val="22"/>
          <w:lang w:val="en-US"/>
        </w:rPr>
        <w:t xml:space="preserve">Similar proposal can be found in </w:t>
      </w:r>
      <w:r w:rsidR="00390B9C">
        <w:rPr>
          <w:color w:val="000000"/>
          <w:szCs w:val="22"/>
          <w:lang w:val="en-US"/>
        </w:rPr>
        <w:fldChar w:fldCharType="begin"/>
      </w:r>
      <w:r w:rsidR="00390B9C">
        <w:rPr>
          <w:color w:val="000000"/>
          <w:szCs w:val="22"/>
          <w:lang w:val="en-US"/>
        </w:rPr>
        <w:instrText xml:space="preserve"> REF _Ref441674948 \n \h </w:instrText>
      </w:r>
      <w:r w:rsidR="00390B9C">
        <w:rPr>
          <w:color w:val="000000"/>
          <w:szCs w:val="22"/>
          <w:lang w:val="en-US"/>
        </w:rPr>
      </w:r>
      <w:r w:rsidR="00390B9C">
        <w:rPr>
          <w:color w:val="000000"/>
          <w:szCs w:val="22"/>
          <w:lang w:val="en-US"/>
        </w:rPr>
        <w:fldChar w:fldCharType="separate"/>
      </w:r>
      <w:r w:rsidR="00855FEC">
        <w:rPr>
          <w:color w:val="000000"/>
          <w:szCs w:val="22"/>
          <w:lang w:val="en-US"/>
        </w:rPr>
        <w:t>[5]</w:t>
      </w:r>
      <w:r w:rsidR="00390B9C">
        <w:rPr>
          <w:color w:val="000000"/>
          <w:szCs w:val="22"/>
          <w:lang w:val="en-US"/>
        </w:rPr>
        <w:fldChar w:fldCharType="end"/>
      </w:r>
      <w:r w:rsidR="00390B9C">
        <w:rPr>
          <w:color w:val="000000"/>
          <w:szCs w:val="22"/>
          <w:lang w:val="en-US"/>
        </w:rPr>
        <w:t xml:space="preserve"> to organize all RBs into interlaces</w:t>
      </w:r>
      <w:r w:rsidR="00077DA4">
        <w:rPr>
          <w:color w:val="000000"/>
          <w:szCs w:val="22"/>
          <w:lang w:val="en-US"/>
        </w:rPr>
        <w:t xml:space="preserve"> in the uplink which can be shared among the users. </w:t>
      </w:r>
    </w:p>
    <w:p w14:paraId="1A556815" w14:textId="77777777" w:rsidR="006E6A35" w:rsidRPr="006E6A35" w:rsidRDefault="001059CA" w:rsidP="006E6A35">
      <w:pPr>
        <w:pStyle w:val="LGTdoc"/>
        <w:spacing w:afterLines="100" w:after="240" w:line="240" w:lineRule="auto"/>
        <w:jc w:val="left"/>
        <w:rPr>
          <w:rFonts w:ascii="Times" w:eastAsia="MS Mincho" w:hAnsi="Times"/>
          <w:iCs/>
          <w:lang w:val="en-US" w:eastAsia="ja-JP"/>
        </w:rPr>
      </w:pPr>
      <w:r>
        <w:rPr>
          <w:color w:val="000000"/>
          <w:szCs w:val="22"/>
          <w:lang w:val="en-US"/>
        </w:rPr>
        <w:t xml:space="preserve">Compared with IFDMA, </w:t>
      </w:r>
      <w:r w:rsidR="006E6A35">
        <w:rPr>
          <w:color w:val="000000"/>
          <w:szCs w:val="22"/>
          <w:lang w:val="en-US"/>
        </w:rPr>
        <w:t>block-IFDMA</w:t>
      </w:r>
      <w:r>
        <w:rPr>
          <w:color w:val="000000"/>
          <w:szCs w:val="22"/>
          <w:lang w:val="en-US"/>
        </w:rPr>
        <w:t xml:space="preserve"> can help to simplify the </w:t>
      </w:r>
      <w:r w:rsidR="006E6A35">
        <w:rPr>
          <w:color w:val="000000"/>
          <w:szCs w:val="22"/>
          <w:lang w:val="en-US"/>
        </w:rPr>
        <w:t xml:space="preserve">radio resource allocation otherwise the eNB needs to implement a more complicated algorithm to allocate all 1200 subcarriers and inform the UE with </w:t>
      </w:r>
      <w:r w:rsidR="00F20194">
        <w:rPr>
          <w:color w:val="000000"/>
          <w:szCs w:val="22"/>
          <w:lang w:val="en-US"/>
        </w:rPr>
        <w:t xml:space="preserve">much </w:t>
      </w:r>
      <w:r w:rsidR="006E6A35">
        <w:rPr>
          <w:color w:val="000000"/>
          <w:szCs w:val="22"/>
          <w:lang w:val="en-US"/>
        </w:rPr>
        <w:t xml:space="preserve">more signaling bits </w:t>
      </w:r>
      <w:r w:rsidR="00F20194">
        <w:rPr>
          <w:color w:val="000000"/>
          <w:szCs w:val="22"/>
          <w:lang w:val="en-US"/>
        </w:rPr>
        <w:t>to indicate the allocation of</w:t>
      </w:r>
      <w:r w:rsidR="006E6A35">
        <w:rPr>
          <w:color w:val="000000"/>
          <w:szCs w:val="22"/>
          <w:lang w:val="en-US"/>
        </w:rPr>
        <w:t xml:space="preserve"> 144 subcarriers</w:t>
      </w:r>
      <w:r w:rsidR="00F20194">
        <w:rPr>
          <w:color w:val="000000"/>
          <w:szCs w:val="22"/>
          <w:lang w:val="en-US"/>
        </w:rPr>
        <w:t xml:space="preserve"> of 12 RBs</w:t>
      </w:r>
      <w:r w:rsidR="006E6A35">
        <w:rPr>
          <w:color w:val="000000"/>
          <w:szCs w:val="22"/>
          <w:lang w:val="en-US"/>
        </w:rPr>
        <w:t>.</w:t>
      </w:r>
      <w:r w:rsidR="00F93A98">
        <w:rPr>
          <w:color w:val="000000"/>
          <w:szCs w:val="22"/>
          <w:lang w:val="en-US"/>
        </w:rPr>
        <w:t xml:space="preserve"> </w:t>
      </w:r>
    </w:p>
    <w:p w14:paraId="5986B00D" w14:textId="77777777" w:rsidR="006E6A35" w:rsidRDefault="006E6A35" w:rsidP="006E6A35">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Observation</w:t>
      </w:r>
      <w:r w:rsidRPr="00486DD9">
        <w:rPr>
          <w:rFonts w:ascii="Times" w:eastAsia="MS Mincho" w:hAnsi="Times"/>
          <w:b/>
          <w:iCs/>
          <w:lang w:val="en-US" w:eastAsia="ja-JP"/>
        </w:rPr>
        <w:t xml:space="preserve"> </w:t>
      </w:r>
      <w:r>
        <w:rPr>
          <w:rFonts w:ascii="Times" w:eastAsia="MS Mincho" w:hAnsi="Times"/>
          <w:b/>
          <w:iCs/>
          <w:lang w:val="en-US" w:eastAsia="ja-JP"/>
        </w:rPr>
        <w:t>2</w:t>
      </w:r>
      <w:r w:rsidRPr="00486DD9">
        <w:rPr>
          <w:rFonts w:ascii="Times" w:eastAsia="MS Mincho" w:hAnsi="Times"/>
          <w:b/>
          <w:iCs/>
          <w:lang w:val="en-US" w:eastAsia="ja-JP"/>
        </w:rPr>
        <w:t xml:space="preserve">: </w:t>
      </w:r>
      <w:r>
        <w:rPr>
          <w:rFonts w:ascii="Times" w:eastAsia="MS Mincho" w:hAnsi="Times"/>
          <w:b/>
          <w:iCs/>
          <w:lang w:val="en-US" w:eastAsia="ja-JP"/>
        </w:rPr>
        <w:t>Block-IFDMA</w:t>
      </w:r>
      <w:r w:rsidR="003A399E">
        <w:rPr>
          <w:rFonts w:ascii="Times" w:eastAsia="MS Mincho" w:hAnsi="Times"/>
          <w:b/>
          <w:iCs/>
          <w:lang w:val="en-US" w:eastAsia="ja-JP"/>
        </w:rPr>
        <w:t xml:space="preserve"> has a better link performance and less complicated RRM than IFDMA with the cost of increased PAPR</w:t>
      </w:r>
      <w:r w:rsidR="002A42AD">
        <w:rPr>
          <w:rFonts w:ascii="Times" w:eastAsia="MS Mincho" w:hAnsi="Times"/>
          <w:b/>
          <w:iCs/>
          <w:lang w:val="en-US" w:eastAsia="ja-JP"/>
        </w:rPr>
        <w:t>/CM</w:t>
      </w:r>
      <w:r>
        <w:rPr>
          <w:rFonts w:ascii="Times" w:eastAsia="MS Mincho" w:hAnsi="Times"/>
          <w:b/>
          <w:iCs/>
          <w:lang w:val="en-US" w:eastAsia="ja-JP"/>
        </w:rPr>
        <w:t xml:space="preserve">. </w:t>
      </w:r>
    </w:p>
    <w:p w14:paraId="1F1CD0AF" w14:textId="77777777" w:rsidR="006F3B3C" w:rsidRPr="00931B23" w:rsidRDefault="00931B23" w:rsidP="00931B23">
      <w:pPr>
        <w:pStyle w:val="Heading3"/>
        <w:tabs>
          <w:tab w:val="num" w:pos="720"/>
        </w:tabs>
        <w:overflowPunct/>
        <w:autoSpaceDE/>
        <w:autoSpaceDN/>
        <w:adjustRightInd/>
        <w:ind w:left="720" w:hanging="720"/>
        <w:textAlignment w:val="auto"/>
        <w:rPr>
          <w:rFonts w:eastAsia="MS Mincho"/>
          <w:lang w:val="en-US"/>
        </w:rPr>
      </w:pPr>
      <w:r>
        <w:rPr>
          <w:rFonts w:eastAsia="MS Mincho"/>
          <w:lang w:val="en-US"/>
        </w:rPr>
        <w:t>2</w:t>
      </w:r>
      <w:r w:rsidRPr="00632618">
        <w:rPr>
          <w:rFonts w:eastAsia="MS Mincho"/>
          <w:lang w:val="en-US"/>
        </w:rPr>
        <w:t>.</w:t>
      </w:r>
      <w:r>
        <w:rPr>
          <w:rFonts w:eastAsia="MS Mincho"/>
          <w:lang w:val="en-US"/>
        </w:rPr>
        <w:t>2</w:t>
      </w:r>
      <w:r w:rsidRPr="00632618">
        <w:rPr>
          <w:rFonts w:eastAsia="MS Mincho"/>
          <w:lang w:val="en-US"/>
        </w:rPr>
        <w:t>.</w:t>
      </w:r>
      <w:r>
        <w:rPr>
          <w:rFonts w:eastAsia="MS Mincho"/>
          <w:lang w:val="en-US"/>
        </w:rPr>
        <w:t>3</w:t>
      </w:r>
      <w:r w:rsidRPr="00632618">
        <w:rPr>
          <w:rFonts w:eastAsia="MS Mincho"/>
          <w:lang w:val="en-US"/>
        </w:rPr>
        <w:t xml:space="preserve"> </w:t>
      </w:r>
      <w:r w:rsidR="00034BCD">
        <w:rPr>
          <w:rFonts w:eastAsia="MS Mincho"/>
          <w:lang w:val="en-US"/>
        </w:rPr>
        <w:t>RBs Reservation to Support IFDMA and Block-IFDMA Multiplexing</w:t>
      </w:r>
    </w:p>
    <w:p w14:paraId="2F7E7F39" w14:textId="77777777" w:rsidR="001072C2" w:rsidRDefault="00D855F1" w:rsidP="004431F0">
      <w:pPr>
        <w:rPr>
          <w:color w:val="000000"/>
          <w:sz w:val="22"/>
          <w:szCs w:val="22"/>
          <w:lang w:val="en-US"/>
        </w:rPr>
      </w:pPr>
      <w:r>
        <w:rPr>
          <w:color w:val="000000"/>
          <w:sz w:val="22"/>
          <w:szCs w:val="22"/>
          <w:lang w:val="en-US"/>
        </w:rPr>
        <w:t xml:space="preserve">According to the above discussion, IFDMA and Block-IFDMA </w:t>
      </w:r>
      <w:r w:rsidR="003A399E">
        <w:rPr>
          <w:color w:val="000000"/>
          <w:sz w:val="22"/>
          <w:szCs w:val="22"/>
          <w:lang w:val="en-US"/>
        </w:rPr>
        <w:t xml:space="preserve">both have their specific </w:t>
      </w:r>
      <w:r w:rsidR="00402582">
        <w:rPr>
          <w:color w:val="000000"/>
          <w:sz w:val="22"/>
          <w:szCs w:val="22"/>
          <w:lang w:val="en-US"/>
        </w:rPr>
        <w:t>advantages</w:t>
      </w:r>
      <w:r w:rsidR="003A399E">
        <w:rPr>
          <w:color w:val="000000"/>
          <w:sz w:val="22"/>
          <w:szCs w:val="22"/>
          <w:lang w:val="en-US"/>
        </w:rPr>
        <w:t xml:space="preserve"> in different scenarios. </w:t>
      </w:r>
      <w:r w:rsidR="00402582">
        <w:rPr>
          <w:color w:val="000000"/>
          <w:sz w:val="22"/>
          <w:szCs w:val="22"/>
          <w:lang w:val="en-US"/>
        </w:rPr>
        <w:t xml:space="preserve">For UEs at cell edge, a </w:t>
      </w:r>
      <w:r w:rsidR="00F20194">
        <w:rPr>
          <w:color w:val="000000"/>
          <w:sz w:val="22"/>
          <w:szCs w:val="22"/>
          <w:lang w:val="en-US"/>
        </w:rPr>
        <w:t xml:space="preserve">small </w:t>
      </w:r>
      <w:r w:rsidR="00402582">
        <w:rPr>
          <w:color w:val="000000"/>
          <w:sz w:val="22"/>
          <w:szCs w:val="22"/>
          <w:lang w:val="en-US"/>
        </w:rPr>
        <w:t>number of RBs are allocated</w:t>
      </w:r>
      <w:r w:rsidR="002C715D">
        <w:rPr>
          <w:color w:val="000000"/>
          <w:sz w:val="22"/>
          <w:szCs w:val="22"/>
          <w:lang w:val="en-US"/>
        </w:rPr>
        <w:t xml:space="preserve"> and </w:t>
      </w:r>
      <w:r w:rsidR="00402582">
        <w:rPr>
          <w:color w:val="000000"/>
          <w:sz w:val="22"/>
          <w:szCs w:val="22"/>
          <w:lang w:val="en-US"/>
        </w:rPr>
        <w:t xml:space="preserve">IFDMA can help to increase the permitted output power by occupying more “1 MHz” bandwidth. For UEs close to the eNB, </w:t>
      </w:r>
      <w:r w:rsidR="008D2D34">
        <w:rPr>
          <w:color w:val="000000"/>
          <w:sz w:val="22"/>
          <w:szCs w:val="22"/>
          <w:lang w:val="en-US"/>
        </w:rPr>
        <w:t xml:space="preserve">more RBs can be allocated with a better SINR and the output power can be increased by occupying the bandwidth </w:t>
      </w:r>
      <w:r w:rsidR="006B7AD4">
        <w:rPr>
          <w:color w:val="000000"/>
          <w:sz w:val="22"/>
          <w:szCs w:val="22"/>
          <w:lang w:val="en-US"/>
        </w:rPr>
        <w:t>with discontinuous RBs</w:t>
      </w:r>
      <w:r w:rsidR="008D2D34">
        <w:rPr>
          <w:color w:val="000000"/>
          <w:sz w:val="22"/>
          <w:szCs w:val="22"/>
          <w:lang w:val="en-US"/>
        </w:rPr>
        <w:t xml:space="preserve">, so the link performance can be improved with Block-IFDMA. </w:t>
      </w:r>
    </w:p>
    <w:p w14:paraId="22E389A5" w14:textId="77777777" w:rsidR="006F3B3C" w:rsidRDefault="001072C2" w:rsidP="004431F0">
      <w:pPr>
        <w:rPr>
          <w:color w:val="000000"/>
          <w:sz w:val="22"/>
          <w:szCs w:val="22"/>
          <w:lang w:val="en-US"/>
        </w:rPr>
      </w:pPr>
      <w:r>
        <w:rPr>
          <w:color w:val="000000"/>
          <w:sz w:val="22"/>
          <w:szCs w:val="22"/>
          <w:lang w:val="en-US"/>
        </w:rPr>
        <w:t xml:space="preserve">A simple comparison is given in </w:t>
      </w:r>
      <w:r>
        <w:rPr>
          <w:color w:val="000000"/>
          <w:sz w:val="22"/>
          <w:szCs w:val="22"/>
          <w:lang w:val="en-US"/>
        </w:rPr>
        <w:fldChar w:fldCharType="begin"/>
      </w:r>
      <w:r>
        <w:rPr>
          <w:color w:val="000000"/>
          <w:sz w:val="22"/>
          <w:szCs w:val="22"/>
          <w:lang w:val="en-US"/>
        </w:rPr>
        <w:instrText xml:space="preserve"> REF _Ref441590780 \h  \* MERGEFORMAT </w:instrText>
      </w:r>
      <w:r>
        <w:rPr>
          <w:color w:val="000000"/>
          <w:sz w:val="22"/>
          <w:szCs w:val="22"/>
          <w:lang w:val="en-US"/>
        </w:rPr>
      </w:r>
      <w:r>
        <w:rPr>
          <w:color w:val="000000"/>
          <w:sz w:val="22"/>
          <w:szCs w:val="22"/>
          <w:lang w:val="en-US"/>
        </w:rPr>
        <w:fldChar w:fldCharType="separate"/>
      </w:r>
      <w:r w:rsidR="00855FEC" w:rsidRPr="00855FEC">
        <w:rPr>
          <w:color w:val="000000"/>
          <w:sz w:val="22"/>
          <w:szCs w:val="22"/>
          <w:lang w:val="en-US"/>
        </w:rPr>
        <w:t>Table 1</w:t>
      </w:r>
      <w:r>
        <w:rPr>
          <w:color w:val="000000"/>
          <w:sz w:val="22"/>
          <w:szCs w:val="22"/>
          <w:lang w:val="en-US"/>
        </w:rPr>
        <w:fldChar w:fldCharType="end"/>
      </w:r>
      <w:r>
        <w:rPr>
          <w:color w:val="000000"/>
          <w:sz w:val="22"/>
          <w:szCs w:val="22"/>
          <w:lang w:val="en-US"/>
        </w:rPr>
        <w:t>.</w:t>
      </w:r>
    </w:p>
    <w:p w14:paraId="0E2453EA" w14:textId="77777777" w:rsidR="001072C2" w:rsidRPr="001072C2" w:rsidRDefault="001072C2" w:rsidP="001072C2">
      <w:pPr>
        <w:pStyle w:val="Caption"/>
        <w:keepNext/>
        <w:jc w:val="center"/>
        <w:rPr>
          <w:lang w:val="en-US"/>
        </w:rPr>
      </w:pPr>
      <w:bookmarkStart w:id="3" w:name="_Ref441590780"/>
      <w:r>
        <w:t xml:space="preserve">Table </w:t>
      </w:r>
      <w:r w:rsidR="00E658A2">
        <w:fldChar w:fldCharType="begin"/>
      </w:r>
      <w:r w:rsidR="00E658A2">
        <w:instrText xml:space="preserve"> SEQ Table \* ARABIC </w:instrText>
      </w:r>
      <w:r w:rsidR="00E658A2">
        <w:fldChar w:fldCharType="separate"/>
      </w:r>
      <w:r w:rsidR="00855FEC">
        <w:rPr>
          <w:noProof/>
        </w:rPr>
        <w:t>1</w:t>
      </w:r>
      <w:r w:rsidR="00E658A2">
        <w:rPr>
          <w:noProof/>
        </w:rPr>
        <w:fldChar w:fldCharType="end"/>
      </w:r>
      <w:bookmarkEnd w:id="3"/>
      <w:r>
        <w:rPr>
          <w:lang w:val="en-US"/>
        </w:rPr>
        <w:t xml:space="preserve"> Comparison between IFDMA and Block-IFDMA</w:t>
      </w:r>
    </w:p>
    <w:tbl>
      <w:tblPr>
        <w:tblStyle w:val="TableGrid"/>
        <w:tblW w:w="0" w:type="auto"/>
        <w:jc w:val="center"/>
        <w:tblLook w:val="04A0" w:firstRow="1" w:lastRow="0" w:firstColumn="1" w:lastColumn="0" w:noHBand="0" w:noVBand="1"/>
      </w:tblPr>
      <w:tblGrid>
        <w:gridCol w:w="1203"/>
        <w:gridCol w:w="2768"/>
        <w:gridCol w:w="1530"/>
        <w:gridCol w:w="1048"/>
        <w:gridCol w:w="1269"/>
        <w:gridCol w:w="1843"/>
      </w:tblGrid>
      <w:tr w:rsidR="002C715D" w:rsidRPr="001F53DD" w14:paraId="1AA29604" w14:textId="77777777" w:rsidTr="00AB1BB6">
        <w:trPr>
          <w:trHeight w:val="246"/>
          <w:jc w:val="center"/>
        </w:trPr>
        <w:tc>
          <w:tcPr>
            <w:tcW w:w="0" w:type="auto"/>
            <w:vAlign w:val="bottom"/>
          </w:tcPr>
          <w:p w14:paraId="22B3EABD" w14:textId="77777777" w:rsidR="002C715D" w:rsidRPr="002C715D" w:rsidRDefault="002C715D" w:rsidP="00D84A25">
            <w:pPr>
              <w:spacing w:after="0"/>
              <w:rPr>
                <w:color w:val="000000"/>
                <w:sz w:val="16"/>
                <w:szCs w:val="22"/>
                <w:lang w:val="en-US"/>
              </w:rPr>
            </w:pPr>
          </w:p>
        </w:tc>
        <w:tc>
          <w:tcPr>
            <w:tcW w:w="2768" w:type="dxa"/>
            <w:vAlign w:val="bottom"/>
          </w:tcPr>
          <w:p w14:paraId="6B410702" w14:textId="77777777" w:rsidR="002C715D" w:rsidRPr="002C715D" w:rsidRDefault="002C715D" w:rsidP="00D84A25">
            <w:pPr>
              <w:spacing w:after="0"/>
              <w:rPr>
                <w:b/>
                <w:color w:val="000000"/>
                <w:sz w:val="16"/>
                <w:szCs w:val="22"/>
                <w:lang w:val="en-US"/>
              </w:rPr>
            </w:pPr>
            <w:r w:rsidRPr="002C715D">
              <w:rPr>
                <w:b/>
                <w:color w:val="000000"/>
                <w:sz w:val="16"/>
                <w:szCs w:val="22"/>
                <w:lang w:val="en-US"/>
              </w:rPr>
              <w:t>PAPR/CM</w:t>
            </w:r>
          </w:p>
        </w:tc>
        <w:tc>
          <w:tcPr>
            <w:tcW w:w="1530" w:type="dxa"/>
            <w:vAlign w:val="bottom"/>
          </w:tcPr>
          <w:p w14:paraId="38B6DA54" w14:textId="77777777" w:rsidR="002C715D" w:rsidRPr="002C715D" w:rsidRDefault="002C715D" w:rsidP="00D84A25">
            <w:pPr>
              <w:spacing w:after="0"/>
              <w:rPr>
                <w:b/>
                <w:color w:val="000000"/>
                <w:sz w:val="16"/>
                <w:szCs w:val="22"/>
                <w:lang w:val="en-US"/>
              </w:rPr>
            </w:pPr>
            <w:r w:rsidRPr="002C715D">
              <w:rPr>
                <w:b/>
                <w:color w:val="000000"/>
                <w:sz w:val="16"/>
                <w:szCs w:val="22"/>
                <w:lang w:val="en-US"/>
              </w:rPr>
              <w:t>Link Performance</w:t>
            </w:r>
          </w:p>
        </w:tc>
        <w:tc>
          <w:tcPr>
            <w:tcW w:w="1048" w:type="dxa"/>
            <w:vAlign w:val="bottom"/>
          </w:tcPr>
          <w:p w14:paraId="59E29311" w14:textId="77777777" w:rsidR="002C715D" w:rsidRPr="002C715D" w:rsidRDefault="002C715D" w:rsidP="00D84A25">
            <w:pPr>
              <w:spacing w:after="0"/>
              <w:rPr>
                <w:b/>
                <w:color w:val="000000"/>
                <w:sz w:val="16"/>
                <w:szCs w:val="22"/>
                <w:lang w:val="en-US"/>
              </w:rPr>
            </w:pPr>
            <w:r w:rsidRPr="002C715D">
              <w:rPr>
                <w:b/>
                <w:color w:val="000000"/>
                <w:sz w:val="16"/>
                <w:szCs w:val="22"/>
                <w:lang w:val="en-US"/>
              </w:rPr>
              <w:t>RRM</w:t>
            </w:r>
          </w:p>
        </w:tc>
        <w:tc>
          <w:tcPr>
            <w:tcW w:w="1269" w:type="dxa"/>
          </w:tcPr>
          <w:p w14:paraId="6430E91C" w14:textId="77777777" w:rsidR="002C715D" w:rsidRPr="002C715D" w:rsidRDefault="002C715D" w:rsidP="00D84A25">
            <w:pPr>
              <w:spacing w:after="0"/>
              <w:rPr>
                <w:b/>
                <w:color w:val="000000"/>
                <w:sz w:val="16"/>
                <w:szCs w:val="22"/>
                <w:lang w:val="en-US"/>
              </w:rPr>
            </w:pPr>
            <w:r w:rsidRPr="002C715D">
              <w:rPr>
                <w:b/>
                <w:color w:val="000000"/>
                <w:sz w:val="16"/>
                <w:szCs w:val="22"/>
                <w:lang w:val="en-US"/>
              </w:rPr>
              <w:t>Signaling Size</w:t>
            </w:r>
          </w:p>
        </w:tc>
        <w:tc>
          <w:tcPr>
            <w:tcW w:w="0" w:type="auto"/>
          </w:tcPr>
          <w:p w14:paraId="436BD3A1" w14:textId="77777777" w:rsidR="002C715D" w:rsidRPr="002C715D" w:rsidRDefault="002C715D" w:rsidP="00AB1BB6">
            <w:pPr>
              <w:spacing w:after="0"/>
              <w:rPr>
                <w:b/>
                <w:color w:val="000000"/>
                <w:sz w:val="16"/>
                <w:szCs w:val="22"/>
                <w:lang w:val="en-US"/>
              </w:rPr>
            </w:pPr>
            <w:r w:rsidRPr="002C715D">
              <w:rPr>
                <w:b/>
                <w:color w:val="000000"/>
                <w:sz w:val="16"/>
                <w:szCs w:val="22"/>
                <w:lang w:val="en-US"/>
              </w:rPr>
              <w:t>Suitable RB</w:t>
            </w:r>
            <w:r w:rsidR="00AB1BB6">
              <w:rPr>
                <w:b/>
                <w:color w:val="000000"/>
                <w:sz w:val="16"/>
                <w:szCs w:val="22"/>
                <w:lang w:val="en-US"/>
              </w:rPr>
              <w:t>s</w:t>
            </w:r>
            <w:r w:rsidRPr="002C715D">
              <w:rPr>
                <w:b/>
                <w:color w:val="000000"/>
                <w:sz w:val="16"/>
                <w:szCs w:val="22"/>
                <w:lang w:val="en-US"/>
              </w:rPr>
              <w:t xml:space="preserve"> Allocation</w:t>
            </w:r>
          </w:p>
        </w:tc>
      </w:tr>
      <w:tr w:rsidR="002C715D" w:rsidRPr="001F53DD" w14:paraId="10D155E9" w14:textId="77777777" w:rsidTr="00AB1BB6">
        <w:trPr>
          <w:jc w:val="center"/>
        </w:trPr>
        <w:tc>
          <w:tcPr>
            <w:tcW w:w="0" w:type="auto"/>
            <w:vAlign w:val="center"/>
          </w:tcPr>
          <w:p w14:paraId="6A61D8B7" w14:textId="77777777" w:rsidR="002C715D" w:rsidRPr="002C715D" w:rsidRDefault="002C715D" w:rsidP="00D84A25">
            <w:pPr>
              <w:spacing w:after="0"/>
              <w:jc w:val="center"/>
              <w:rPr>
                <w:b/>
                <w:color w:val="000000"/>
                <w:sz w:val="16"/>
                <w:szCs w:val="22"/>
                <w:lang w:val="en-US"/>
              </w:rPr>
            </w:pPr>
            <w:r w:rsidRPr="002C715D">
              <w:rPr>
                <w:b/>
                <w:color w:val="000000"/>
                <w:sz w:val="16"/>
                <w:szCs w:val="22"/>
                <w:lang w:val="en-US"/>
              </w:rPr>
              <w:t>IFDMA</w:t>
            </w:r>
          </w:p>
        </w:tc>
        <w:tc>
          <w:tcPr>
            <w:tcW w:w="2768" w:type="dxa"/>
          </w:tcPr>
          <w:p w14:paraId="46C3C656" w14:textId="77777777" w:rsidR="002C715D" w:rsidRPr="002C715D" w:rsidRDefault="002C715D" w:rsidP="00AB1BB6">
            <w:pPr>
              <w:spacing w:after="0"/>
              <w:rPr>
                <w:color w:val="000000"/>
                <w:sz w:val="16"/>
                <w:szCs w:val="22"/>
                <w:lang w:val="en-US"/>
              </w:rPr>
            </w:pPr>
            <w:r w:rsidRPr="002C715D">
              <w:rPr>
                <w:color w:val="000000"/>
                <w:sz w:val="16"/>
                <w:szCs w:val="22"/>
                <w:lang w:val="en-US"/>
              </w:rPr>
              <w:t xml:space="preserve">Low </w:t>
            </w:r>
            <w:r w:rsidR="00AB1BB6">
              <w:rPr>
                <w:color w:val="000000"/>
                <w:sz w:val="16"/>
                <w:szCs w:val="22"/>
                <w:lang w:val="en-US"/>
              </w:rPr>
              <w:t xml:space="preserve">or high </w:t>
            </w:r>
            <w:r w:rsidRPr="002C715D">
              <w:rPr>
                <w:color w:val="000000"/>
                <w:sz w:val="16"/>
                <w:szCs w:val="22"/>
                <w:lang w:val="en-US"/>
              </w:rPr>
              <w:t>(</w:t>
            </w:r>
            <w:r w:rsidR="00AB1BB6">
              <w:rPr>
                <w:color w:val="000000"/>
                <w:sz w:val="16"/>
                <w:szCs w:val="22"/>
                <w:lang w:val="en-US"/>
              </w:rPr>
              <w:t>when no</w:t>
            </w:r>
            <w:r w:rsidRPr="002C715D">
              <w:rPr>
                <w:color w:val="000000"/>
                <w:sz w:val="16"/>
                <w:szCs w:val="22"/>
                <w:lang w:val="en-US"/>
              </w:rPr>
              <w:t xml:space="preserve"> </w:t>
            </w:r>
            <w:r w:rsidR="00AB1BB6">
              <w:rPr>
                <w:color w:val="000000"/>
                <w:sz w:val="16"/>
                <w:szCs w:val="22"/>
                <w:lang w:val="en-US"/>
              </w:rPr>
              <w:t>identical gap</w:t>
            </w:r>
            <w:r w:rsidR="00411BDC">
              <w:rPr>
                <w:color w:val="000000"/>
                <w:sz w:val="16"/>
                <w:szCs w:val="22"/>
                <w:lang w:val="en-US"/>
              </w:rPr>
              <w:t>s</w:t>
            </w:r>
            <w:r w:rsidRPr="002C715D">
              <w:rPr>
                <w:color w:val="000000"/>
                <w:sz w:val="16"/>
                <w:szCs w:val="22"/>
                <w:lang w:val="en-US"/>
              </w:rPr>
              <w:t>)</w:t>
            </w:r>
          </w:p>
        </w:tc>
        <w:tc>
          <w:tcPr>
            <w:tcW w:w="1530" w:type="dxa"/>
          </w:tcPr>
          <w:p w14:paraId="5F9CB39F" w14:textId="77777777" w:rsidR="002C715D" w:rsidRPr="002C715D" w:rsidRDefault="002C715D" w:rsidP="00D84A25">
            <w:pPr>
              <w:spacing w:after="0"/>
              <w:rPr>
                <w:color w:val="000000"/>
                <w:sz w:val="16"/>
                <w:szCs w:val="22"/>
                <w:lang w:val="en-US"/>
              </w:rPr>
            </w:pPr>
            <w:r w:rsidRPr="002C715D">
              <w:rPr>
                <w:color w:val="000000"/>
                <w:sz w:val="16"/>
                <w:szCs w:val="22"/>
                <w:lang w:val="en-US"/>
              </w:rPr>
              <w:t>Bad</w:t>
            </w:r>
          </w:p>
        </w:tc>
        <w:tc>
          <w:tcPr>
            <w:tcW w:w="1048" w:type="dxa"/>
          </w:tcPr>
          <w:p w14:paraId="19A3C78F" w14:textId="77777777" w:rsidR="002C715D" w:rsidRPr="002C715D" w:rsidRDefault="002C715D" w:rsidP="00D84A25">
            <w:pPr>
              <w:spacing w:after="0"/>
              <w:rPr>
                <w:color w:val="000000"/>
                <w:sz w:val="16"/>
                <w:szCs w:val="22"/>
                <w:lang w:val="en-US"/>
              </w:rPr>
            </w:pPr>
            <w:r w:rsidRPr="002C715D">
              <w:rPr>
                <w:color w:val="000000"/>
                <w:sz w:val="16"/>
                <w:szCs w:val="22"/>
                <w:lang w:val="en-US"/>
              </w:rPr>
              <w:t>Complicated</w:t>
            </w:r>
          </w:p>
        </w:tc>
        <w:tc>
          <w:tcPr>
            <w:tcW w:w="1269" w:type="dxa"/>
          </w:tcPr>
          <w:p w14:paraId="3B2B88E6" w14:textId="77777777" w:rsidR="002C715D" w:rsidRPr="002C715D" w:rsidRDefault="002C715D" w:rsidP="00D84A25">
            <w:pPr>
              <w:spacing w:after="0"/>
              <w:rPr>
                <w:color w:val="000000"/>
                <w:sz w:val="16"/>
                <w:szCs w:val="22"/>
                <w:lang w:val="en-US"/>
              </w:rPr>
            </w:pPr>
            <w:r w:rsidRPr="002C715D">
              <w:rPr>
                <w:color w:val="000000"/>
                <w:sz w:val="16"/>
                <w:szCs w:val="22"/>
                <w:lang w:val="en-US"/>
              </w:rPr>
              <w:t>Big</w:t>
            </w:r>
          </w:p>
        </w:tc>
        <w:tc>
          <w:tcPr>
            <w:tcW w:w="0" w:type="auto"/>
          </w:tcPr>
          <w:p w14:paraId="102FB221" w14:textId="77777777" w:rsidR="002C715D" w:rsidRPr="002C715D" w:rsidRDefault="002C715D" w:rsidP="00D84A25">
            <w:pPr>
              <w:spacing w:after="0"/>
              <w:rPr>
                <w:color w:val="000000"/>
                <w:sz w:val="16"/>
                <w:szCs w:val="22"/>
                <w:lang w:val="en-US"/>
              </w:rPr>
            </w:pPr>
            <w:r w:rsidRPr="002C715D">
              <w:rPr>
                <w:color w:val="000000"/>
                <w:sz w:val="16"/>
                <w:szCs w:val="22"/>
                <w:lang w:val="en-US"/>
              </w:rPr>
              <w:t>Small number</w:t>
            </w:r>
          </w:p>
        </w:tc>
      </w:tr>
      <w:tr w:rsidR="002C715D" w:rsidRPr="001F53DD" w14:paraId="5465828E" w14:textId="77777777" w:rsidTr="00AB1BB6">
        <w:trPr>
          <w:jc w:val="center"/>
        </w:trPr>
        <w:tc>
          <w:tcPr>
            <w:tcW w:w="0" w:type="auto"/>
            <w:vAlign w:val="center"/>
          </w:tcPr>
          <w:p w14:paraId="49D98EC8" w14:textId="77777777" w:rsidR="002C715D" w:rsidRPr="002C715D" w:rsidRDefault="002C715D" w:rsidP="00D84A25">
            <w:pPr>
              <w:spacing w:after="0"/>
              <w:jc w:val="center"/>
              <w:rPr>
                <w:b/>
                <w:color w:val="000000"/>
                <w:sz w:val="16"/>
                <w:szCs w:val="22"/>
                <w:lang w:val="en-US"/>
              </w:rPr>
            </w:pPr>
            <w:r w:rsidRPr="002C715D">
              <w:rPr>
                <w:b/>
                <w:color w:val="000000"/>
                <w:sz w:val="16"/>
                <w:szCs w:val="22"/>
                <w:lang w:val="en-US"/>
              </w:rPr>
              <w:t>Block-IFDMA</w:t>
            </w:r>
          </w:p>
        </w:tc>
        <w:tc>
          <w:tcPr>
            <w:tcW w:w="2768" w:type="dxa"/>
          </w:tcPr>
          <w:p w14:paraId="3A475EE8" w14:textId="77777777" w:rsidR="002C715D" w:rsidRPr="002C715D" w:rsidRDefault="002C715D" w:rsidP="00D84A25">
            <w:pPr>
              <w:spacing w:after="0"/>
              <w:rPr>
                <w:color w:val="000000"/>
                <w:sz w:val="16"/>
                <w:szCs w:val="22"/>
                <w:lang w:val="en-US"/>
              </w:rPr>
            </w:pPr>
            <w:r w:rsidRPr="002C715D">
              <w:rPr>
                <w:color w:val="000000"/>
                <w:sz w:val="16"/>
                <w:szCs w:val="22"/>
                <w:lang w:val="en-US"/>
              </w:rPr>
              <w:t>High</w:t>
            </w:r>
          </w:p>
        </w:tc>
        <w:tc>
          <w:tcPr>
            <w:tcW w:w="1530" w:type="dxa"/>
          </w:tcPr>
          <w:p w14:paraId="5F10B25C" w14:textId="77777777" w:rsidR="002C715D" w:rsidRPr="002C715D" w:rsidRDefault="002C715D" w:rsidP="00D84A25">
            <w:pPr>
              <w:spacing w:after="0"/>
              <w:rPr>
                <w:color w:val="000000"/>
                <w:sz w:val="16"/>
                <w:szCs w:val="22"/>
                <w:lang w:val="en-US"/>
              </w:rPr>
            </w:pPr>
            <w:r w:rsidRPr="002C715D">
              <w:rPr>
                <w:color w:val="000000"/>
                <w:sz w:val="16"/>
                <w:szCs w:val="22"/>
                <w:lang w:val="en-US"/>
              </w:rPr>
              <w:t>Good</w:t>
            </w:r>
          </w:p>
        </w:tc>
        <w:tc>
          <w:tcPr>
            <w:tcW w:w="1048" w:type="dxa"/>
          </w:tcPr>
          <w:p w14:paraId="1E976996" w14:textId="77777777" w:rsidR="002C715D" w:rsidRPr="002C715D" w:rsidRDefault="002C715D" w:rsidP="00D84A25">
            <w:pPr>
              <w:spacing w:after="0"/>
              <w:rPr>
                <w:color w:val="000000"/>
                <w:sz w:val="16"/>
                <w:szCs w:val="22"/>
                <w:lang w:val="en-US"/>
              </w:rPr>
            </w:pPr>
            <w:r w:rsidRPr="002C715D">
              <w:rPr>
                <w:color w:val="000000"/>
                <w:sz w:val="16"/>
                <w:szCs w:val="22"/>
                <w:lang w:val="en-US"/>
              </w:rPr>
              <w:t>Simple</w:t>
            </w:r>
          </w:p>
        </w:tc>
        <w:tc>
          <w:tcPr>
            <w:tcW w:w="1269" w:type="dxa"/>
          </w:tcPr>
          <w:p w14:paraId="31BA6421" w14:textId="77777777" w:rsidR="002C715D" w:rsidRPr="002C715D" w:rsidRDefault="002C715D" w:rsidP="00D84A25">
            <w:pPr>
              <w:spacing w:after="0"/>
              <w:rPr>
                <w:color w:val="000000"/>
                <w:sz w:val="16"/>
                <w:szCs w:val="22"/>
                <w:lang w:val="en-US"/>
              </w:rPr>
            </w:pPr>
            <w:r w:rsidRPr="002C715D">
              <w:rPr>
                <w:color w:val="000000"/>
                <w:sz w:val="16"/>
                <w:szCs w:val="22"/>
                <w:lang w:val="en-US"/>
              </w:rPr>
              <w:t>Small</w:t>
            </w:r>
          </w:p>
        </w:tc>
        <w:tc>
          <w:tcPr>
            <w:tcW w:w="0" w:type="auto"/>
          </w:tcPr>
          <w:p w14:paraId="56A00826" w14:textId="77777777" w:rsidR="002C715D" w:rsidRPr="002C715D" w:rsidRDefault="002C715D" w:rsidP="002C715D">
            <w:pPr>
              <w:spacing w:after="0"/>
              <w:rPr>
                <w:color w:val="000000"/>
                <w:sz w:val="16"/>
                <w:szCs w:val="22"/>
                <w:lang w:val="en-US"/>
              </w:rPr>
            </w:pPr>
            <w:r w:rsidRPr="002C715D">
              <w:rPr>
                <w:color w:val="000000"/>
                <w:sz w:val="16"/>
                <w:szCs w:val="22"/>
                <w:lang w:val="en-US"/>
              </w:rPr>
              <w:t>Big number</w:t>
            </w:r>
          </w:p>
        </w:tc>
      </w:tr>
    </w:tbl>
    <w:p w14:paraId="554E58E0" w14:textId="77777777" w:rsidR="003A399E" w:rsidRDefault="003A399E" w:rsidP="004431F0">
      <w:pPr>
        <w:rPr>
          <w:color w:val="000000"/>
          <w:sz w:val="22"/>
          <w:szCs w:val="22"/>
          <w:lang w:val="en-US"/>
        </w:rPr>
      </w:pPr>
    </w:p>
    <w:p w14:paraId="39B47AAB" w14:textId="77777777" w:rsidR="003A399E" w:rsidRDefault="001072C2" w:rsidP="00D84A25">
      <w:pPr>
        <w:rPr>
          <w:color w:val="000000"/>
          <w:sz w:val="22"/>
          <w:szCs w:val="22"/>
          <w:lang w:val="en-US"/>
        </w:rPr>
      </w:pPr>
      <w:r>
        <w:rPr>
          <w:color w:val="000000"/>
          <w:sz w:val="22"/>
          <w:szCs w:val="22"/>
          <w:lang w:val="en-US"/>
        </w:rPr>
        <w:t xml:space="preserve">It is </w:t>
      </w:r>
      <w:r w:rsidR="002A42AD">
        <w:rPr>
          <w:color w:val="000000"/>
          <w:sz w:val="22"/>
          <w:szCs w:val="22"/>
          <w:lang w:val="en-US"/>
        </w:rPr>
        <w:t xml:space="preserve">proposed </w:t>
      </w:r>
      <w:r>
        <w:rPr>
          <w:color w:val="000000"/>
          <w:sz w:val="22"/>
          <w:szCs w:val="22"/>
          <w:lang w:val="en-US"/>
        </w:rPr>
        <w:t xml:space="preserve">to enable both methods by </w:t>
      </w:r>
      <w:r w:rsidR="002A42AD">
        <w:rPr>
          <w:color w:val="000000"/>
          <w:sz w:val="22"/>
          <w:szCs w:val="22"/>
          <w:lang w:val="en-US"/>
        </w:rPr>
        <w:t xml:space="preserve">allocating </w:t>
      </w:r>
      <w:r>
        <w:rPr>
          <w:color w:val="000000"/>
          <w:sz w:val="22"/>
          <w:szCs w:val="22"/>
          <w:lang w:val="en-US"/>
        </w:rPr>
        <w:t>some RBs for IFDMA</w:t>
      </w:r>
      <w:r w:rsidR="003C46F8">
        <w:rPr>
          <w:color w:val="000000"/>
          <w:sz w:val="22"/>
          <w:szCs w:val="22"/>
          <w:lang w:val="en-US"/>
        </w:rPr>
        <w:t>, called IFDMA RBs,</w:t>
      </w:r>
      <w:r w:rsidR="009B567A">
        <w:rPr>
          <w:color w:val="000000"/>
          <w:sz w:val="22"/>
          <w:szCs w:val="22"/>
          <w:lang w:val="en-US"/>
        </w:rPr>
        <w:t xml:space="preserve"> and others for Block-IFDMA</w:t>
      </w:r>
      <w:r w:rsidR="003C46F8">
        <w:rPr>
          <w:color w:val="000000"/>
          <w:sz w:val="22"/>
          <w:szCs w:val="22"/>
          <w:lang w:val="en-US"/>
        </w:rPr>
        <w:t>, called Block-IFDMA RBs</w:t>
      </w:r>
      <w:r>
        <w:rPr>
          <w:color w:val="000000"/>
          <w:sz w:val="22"/>
          <w:szCs w:val="22"/>
          <w:lang w:val="en-US"/>
        </w:rPr>
        <w:t xml:space="preserve">. </w:t>
      </w:r>
      <w:r w:rsidR="00007C73">
        <w:rPr>
          <w:color w:val="000000"/>
          <w:sz w:val="22"/>
          <w:szCs w:val="22"/>
          <w:lang w:val="en-US"/>
        </w:rPr>
        <w:t xml:space="preserve">As illustrated in </w:t>
      </w:r>
      <w:r w:rsidR="00007C73">
        <w:rPr>
          <w:color w:val="000000"/>
          <w:sz w:val="22"/>
          <w:szCs w:val="22"/>
          <w:lang w:val="en-US"/>
        </w:rPr>
        <w:fldChar w:fldCharType="begin"/>
      </w:r>
      <w:r w:rsidR="00007C73">
        <w:rPr>
          <w:color w:val="000000"/>
          <w:sz w:val="22"/>
          <w:szCs w:val="22"/>
          <w:lang w:val="en-US"/>
        </w:rPr>
        <w:instrText xml:space="preserve"> REF _Ref441592938 \h  \* MERGEFORMAT </w:instrText>
      </w:r>
      <w:r w:rsidR="00007C73">
        <w:rPr>
          <w:color w:val="000000"/>
          <w:sz w:val="22"/>
          <w:szCs w:val="22"/>
          <w:lang w:val="en-US"/>
        </w:rPr>
      </w:r>
      <w:r w:rsidR="00007C73">
        <w:rPr>
          <w:color w:val="000000"/>
          <w:sz w:val="22"/>
          <w:szCs w:val="22"/>
          <w:lang w:val="en-US"/>
        </w:rPr>
        <w:fldChar w:fldCharType="separate"/>
      </w:r>
      <w:r w:rsidR="00855FEC" w:rsidRPr="00855FEC">
        <w:rPr>
          <w:color w:val="000000"/>
          <w:sz w:val="22"/>
          <w:szCs w:val="22"/>
          <w:lang w:val="en-US"/>
        </w:rPr>
        <w:t>Figure 3</w:t>
      </w:r>
      <w:r w:rsidR="00007C73">
        <w:rPr>
          <w:color w:val="000000"/>
          <w:sz w:val="22"/>
          <w:szCs w:val="22"/>
          <w:lang w:val="en-US"/>
        </w:rPr>
        <w:fldChar w:fldCharType="end"/>
      </w:r>
      <w:r w:rsidR="00007C73">
        <w:rPr>
          <w:color w:val="000000"/>
          <w:sz w:val="22"/>
          <w:szCs w:val="22"/>
          <w:lang w:val="en-US"/>
        </w:rPr>
        <w:t xml:space="preserve">, </w:t>
      </w:r>
      <w:r w:rsidR="003C46F8">
        <w:rPr>
          <w:color w:val="000000"/>
          <w:sz w:val="22"/>
          <w:szCs w:val="22"/>
          <w:lang w:val="en-US"/>
        </w:rPr>
        <w:t xml:space="preserve">IFDMA </w:t>
      </w:r>
      <w:r w:rsidR="00007C73">
        <w:rPr>
          <w:color w:val="000000"/>
          <w:sz w:val="22"/>
          <w:szCs w:val="22"/>
          <w:lang w:val="en-US"/>
        </w:rPr>
        <w:t xml:space="preserve">RBs in green are </w:t>
      </w:r>
      <w:r w:rsidR="003C46F8">
        <w:rPr>
          <w:color w:val="000000"/>
          <w:sz w:val="22"/>
          <w:szCs w:val="22"/>
          <w:lang w:val="en-US"/>
        </w:rPr>
        <w:t>allocated</w:t>
      </w:r>
      <w:r w:rsidR="002A42AD">
        <w:rPr>
          <w:color w:val="000000"/>
          <w:sz w:val="22"/>
          <w:szCs w:val="22"/>
          <w:lang w:val="en-US"/>
        </w:rPr>
        <w:t xml:space="preserve"> </w:t>
      </w:r>
      <w:r w:rsidR="00007C73">
        <w:rPr>
          <w:color w:val="000000"/>
          <w:sz w:val="22"/>
          <w:szCs w:val="22"/>
          <w:lang w:val="en-US"/>
        </w:rPr>
        <w:t xml:space="preserve">for subcarrier mapping, 12 subcarriers of one RB can be mapped on the same positons of </w:t>
      </w:r>
      <w:r w:rsidR="003C46F8">
        <w:rPr>
          <w:color w:val="000000"/>
          <w:sz w:val="22"/>
          <w:szCs w:val="22"/>
          <w:lang w:val="en-US"/>
        </w:rPr>
        <w:t xml:space="preserve">the IFDMA </w:t>
      </w:r>
      <w:r w:rsidR="00007C73">
        <w:rPr>
          <w:color w:val="000000"/>
          <w:sz w:val="22"/>
          <w:szCs w:val="22"/>
          <w:lang w:val="en-US"/>
        </w:rPr>
        <w:t xml:space="preserve">RBs, and other positions can be reused by other UEs. For this example, </w:t>
      </w:r>
      <w:r w:rsidR="00A31991">
        <w:rPr>
          <w:color w:val="000000"/>
          <w:sz w:val="22"/>
          <w:szCs w:val="22"/>
          <w:lang w:val="en-US"/>
        </w:rPr>
        <w:t xml:space="preserve">the gaps are equal and identical to 1.08 MHz so each subcarrier can be transmitted with an average power of 10 dBm. When the number of required subcarriers is bigger than the number of </w:t>
      </w:r>
      <w:r w:rsidR="003C46F8">
        <w:rPr>
          <w:color w:val="000000"/>
          <w:sz w:val="22"/>
          <w:szCs w:val="22"/>
          <w:lang w:val="en-US"/>
        </w:rPr>
        <w:t xml:space="preserve">IFDMA </w:t>
      </w:r>
      <w:r w:rsidR="00A31991">
        <w:rPr>
          <w:color w:val="000000"/>
          <w:sz w:val="22"/>
          <w:szCs w:val="22"/>
          <w:lang w:val="en-US"/>
        </w:rPr>
        <w:t xml:space="preserve">RBs, the remaining subcarriers can </w:t>
      </w:r>
      <w:r w:rsidR="003C46F8">
        <w:rPr>
          <w:color w:val="000000"/>
          <w:sz w:val="22"/>
          <w:szCs w:val="22"/>
          <w:lang w:val="en-US"/>
        </w:rPr>
        <w:t xml:space="preserve">be </w:t>
      </w:r>
      <w:r w:rsidR="00A31991">
        <w:rPr>
          <w:color w:val="000000"/>
          <w:sz w:val="22"/>
          <w:szCs w:val="22"/>
          <w:lang w:val="en-US"/>
        </w:rPr>
        <w:t xml:space="preserve">mapped on other vacant subcarrier positions </w:t>
      </w:r>
      <w:r w:rsidR="00697C0B">
        <w:rPr>
          <w:color w:val="000000"/>
          <w:sz w:val="22"/>
          <w:szCs w:val="22"/>
          <w:lang w:val="en-US"/>
        </w:rPr>
        <w:t xml:space="preserve">but </w:t>
      </w:r>
      <w:r w:rsidR="00A31991">
        <w:rPr>
          <w:color w:val="000000"/>
          <w:sz w:val="22"/>
          <w:szCs w:val="22"/>
          <w:lang w:val="en-US"/>
        </w:rPr>
        <w:t xml:space="preserve">the PAPR/CM is increased </w:t>
      </w:r>
      <w:r w:rsidR="00697C0B">
        <w:rPr>
          <w:color w:val="000000"/>
          <w:sz w:val="22"/>
          <w:szCs w:val="22"/>
          <w:lang w:val="en-US"/>
        </w:rPr>
        <w:t>due to non-identical gaps</w:t>
      </w:r>
      <w:r w:rsidR="00A31991">
        <w:rPr>
          <w:color w:val="000000"/>
          <w:sz w:val="22"/>
          <w:szCs w:val="22"/>
          <w:lang w:val="en-US"/>
        </w:rPr>
        <w:t xml:space="preserve">. </w:t>
      </w:r>
    </w:p>
    <w:p w14:paraId="5BD2BE2C" w14:textId="77777777" w:rsidR="00007C73" w:rsidRDefault="00007C73" w:rsidP="00007C73">
      <w:pPr>
        <w:keepNext/>
        <w:jc w:val="center"/>
      </w:pPr>
      <w:r>
        <w:rPr>
          <w:noProof/>
          <w:color w:val="000000"/>
          <w:sz w:val="22"/>
          <w:szCs w:val="22"/>
          <w:lang w:val="en-US"/>
        </w:rPr>
        <w:drawing>
          <wp:inline distT="0" distB="0" distL="0" distR="0" wp14:anchorId="52067A04" wp14:editId="5D83C5D1">
            <wp:extent cx="4652034" cy="1126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9065" cy="1128243"/>
                    </a:xfrm>
                    <a:prstGeom prst="rect">
                      <a:avLst/>
                    </a:prstGeom>
                    <a:noFill/>
                  </pic:spPr>
                </pic:pic>
              </a:graphicData>
            </a:graphic>
          </wp:inline>
        </w:drawing>
      </w:r>
    </w:p>
    <w:p w14:paraId="3ED685D6" w14:textId="77777777" w:rsidR="003A399E" w:rsidRPr="00007C73" w:rsidRDefault="00007C73" w:rsidP="00007C73">
      <w:pPr>
        <w:pStyle w:val="Caption"/>
        <w:jc w:val="center"/>
        <w:rPr>
          <w:color w:val="000000"/>
          <w:sz w:val="22"/>
          <w:szCs w:val="22"/>
          <w:lang w:val="en-US"/>
        </w:rPr>
      </w:pPr>
      <w:bookmarkStart w:id="4" w:name="_Ref441592938"/>
      <w:r>
        <w:t xml:space="preserve">Figure </w:t>
      </w:r>
      <w:r w:rsidR="00E658A2">
        <w:fldChar w:fldCharType="begin"/>
      </w:r>
      <w:r w:rsidR="00E658A2">
        <w:instrText xml:space="preserve"> SEQ Figure \* ARABIC </w:instrText>
      </w:r>
      <w:r w:rsidR="00E658A2">
        <w:fldChar w:fldCharType="separate"/>
      </w:r>
      <w:r w:rsidR="00855FEC">
        <w:rPr>
          <w:noProof/>
        </w:rPr>
        <w:t>3</w:t>
      </w:r>
      <w:r w:rsidR="00E658A2">
        <w:rPr>
          <w:noProof/>
        </w:rPr>
        <w:fldChar w:fldCharType="end"/>
      </w:r>
      <w:bookmarkEnd w:id="4"/>
      <w:r>
        <w:rPr>
          <w:lang w:val="en-US"/>
        </w:rPr>
        <w:t xml:space="preserve"> RB Reservation to support IFDMA and Block-IFDMA Multiplexing</w:t>
      </w:r>
    </w:p>
    <w:p w14:paraId="46D93324" w14:textId="77777777" w:rsidR="00830227" w:rsidRDefault="00A31991" w:rsidP="004431F0">
      <w:pPr>
        <w:rPr>
          <w:color w:val="000000"/>
          <w:sz w:val="22"/>
          <w:szCs w:val="22"/>
          <w:lang w:val="en-US"/>
        </w:rPr>
      </w:pPr>
      <w:r>
        <w:rPr>
          <w:color w:val="000000"/>
          <w:sz w:val="22"/>
          <w:szCs w:val="22"/>
          <w:lang w:val="en-US"/>
        </w:rPr>
        <w:t xml:space="preserve">All the other RBs can be used in the existing way and RBs from one UE can be discontinuously mapped according to the two proposals above. </w:t>
      </w:r>
    </w:p>
    <w:p w14:paraId="158BC219" w14:textId="6CB5E65F" w:rsidR="006F3B3C" w:rsidRDefault="00697C0B" w:rsidP="004431F0">
      <w:pPr>
        <w:rPr>
          <w:color w:val="000000"/>
          <w:sz w:val="22"/>
          <w:szCs w:val="22"/>
          <w:lang w:val="en-US"/>
        </w:rPr>
      </w:pPr>
      <w:r>
        <w:rPr>
          <w:color w:val="000000"/>
          <w:sz w:val="22"/>
          <w:szCs w:val="22"/>
          <w:lang w:val="en-US"/>
        </w:rPr>
        <w:t xml:space="preserve">IFDMA RBs can be dynamically determined by the eNB according to the loads distribution in the cell, </w:t>
      </w:r>
      <w:r w:rsidR="00830227">
        <w:rPr>
          <w:color w:val="000000"/>
          <w:sz w:val="22"/>
          <w:szCs w:val="22"/>
          <w:lang w:val="en-US"/>
        </w:rPr>
        <w:t xml:space="preserve">for instance, more UEs in the cell edge area, more IFDMA RBs can be allocated or vice versa. This IFDMA </w:t>
      </w:r>
      <w:r w:rsidR="00830227">
        <w:rPr>
          <w:color w:val="000000"/>
          <w:sz w:val="22"/>
          <w:szCs w:val="22"/>
          <w:lang w:val="en-US"/>
        </w:rPr>
        <w:lastRenderedPageBreak/>
        <w:t xml:space="preserve">RBs allocation can be updated much less frequently than TTI </w:t>
      </w:r>
      <w:r w:rsidR="00802212">
        <w:rPr>
          <w:color w:val="000000"/>
          <w:sz w:val="22"/>
          <w:szCs w:val="22"/>
          <w:lang w:val="en-US"/>
        </w:rPr>
        <w:t xml:space="preserve">length </w:t>
      </w:r>
      <w:r w:rsidR="00830227">
        <w:rPr>
          <w:color w:val="000000"/>
          <w:sz w:val="22"/>
          <w:szCs w:val="22"/>
          <w:lang w:val="en-US"/>
        </w:rPr>
        <w:t>and the UL scheduling bits can be reduced by indicating</w:t>
      </w:r>
      <w:r w:rsidR="00A14827">
        <w:rPr>
          <w:color w:val="000000"/>
          <w:sz w:val="22"/>
          <w:szCs w:val="22"/>
          <w:lang w:val="en-US"/>
        </w:rPr>
        <w:t xml:space="preserve"> the subcarrier allocation</w:t>
      </w:r>
      <w:r w:rsidR="00830227">
        <w:rPr>
          <w:color w:val="000000"/>
          <w:sz w:val="22"/>
          <w:szCs w:val="22"/>
          <w:lang w:val="en-US"/>
        </w:rPr>
        <w:t xml:space="preserve"> within the set of IFDMA RBs. </w:t>
      </w:r>
    </w:p>
    <w:p w14:paraId="2DA200A4" w14:textId="77777777" w:rsidR="00A31991" w:rsidRPr="00A31991" w:rsidRDefault="00A31991" w:rsidP="00A31991">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Proposal</w:t>
      </w:r>
      <w:r w:rsidRPr="00486DD9">
        <w:rPr>
          <w:rFonts w:ascii="Times" w:eastAsia="MS Mincho" w:hAnsi="Times"/>
          <w:b/>
          <w:iCs/>
          <w:lang w:val="en-US" w:eastAsia="ja-JP"/>
        </w:rPr>
        <w:t xml:space="preserve"> </w:t>
      </w:r>
      <w:r>
        <w:rPr>
          <w:rFonts w:ascii="Times" w:eastAsia="MS Mincho" w:hAnsi="Times"/>
          <w:b/>
          <w:iCs/>
          <w:lang w:val="en-US" w:eastAsia="ja-JP"/>
        </w:rPr>
        <w:t>3</w:t>
      </w:r>
      <w:r w:rsidRPr="00486DD9">
        <w:rPr>
          <w:rFonts w:ascii="Times" w:eastAsia="MS Mincho" w:hAnsi="Times"/>
          <w:b/>
          <w:iCs/>
          <w:lang w:val="en-US" w:eastAsia="ja-JP"/>
        </w:rPr>
        <w:t xml:space="preserve">: </w:t>
      </w:r>
      <w:r w:rsidR="00F51F43">
        <w:rPr>
          <w:rFonts w:ascii="Times" w:eastAsia="MS Mincho" w:hAnsi="Times"/>
          <w:b/>
          <w:iCs/>
          <w:lang w:val="en-US" w:eastAsia="ja-JP"/>
        </w:rPr>
        <w:t>A certain number of</w:t>
      </w:r>
      <w:r w:rsidR="00D77964">
        <w:rPr>
          <w:rFonts w:ascii="Times" w:eastAsia="MS Mincho" w:hAnsi="Times"/>
          <w:b/>
          <w:iCs/>
          <w:lang w:val="en-US" w:eastAsia="ja-JP"/>
        </w:rPr>
        <w:t xml:space="preserve"> </w:t>
      </w:r>
      <w:r w:rsidR="00AF1051">
        <w:rPr>
          <w:rFonts w:ascii="Times" w:eastAsia="MS Mincho" w:hAnsi="Times"/>
          <w:b/>
          <w:iCs/>
          <w:lang w:val="en-US" w:eastAsia="ja-JP"/>
        </w:rPr>
        <w:t xml:space="preserve">RBs can be </w:t>
      </w:r>
      <w:r w:rsidR="00830227">
        <w:rPr>
          <w:rFonts w:ascii="Times" w:eastAsia="MS Mincho" w:hAnsi="Times"/>
          <w:b/>
          <w:iCs/>
          <w:lang w:val="en-US" w:eastAsia="ja-JP"/>
        </w:rPr>
        <w:t>allocated</w:t>
      </w:r>
      <w:r w:rsidR="002A42AD">
        <w:rPr>
          <w:rFonts w:ascii="Times" w:eastAsia="MS Mincho" w:hAnsi="Times"/>
          <w:b/>
          <w:iCs/>
          <w:lang w:val="en-US" w:eastAsia="ja-JP"/>
        </w:rPr>
        <w:t xml:space="preserve"> </w:t>
      </w:r>
      <w:r w:rsidR="00AF1051">
        <w:rPr>
          <w:rFonts w:ascii="Times" w:eastAsia="MS Mincho" w:hAnsi="Times"/>
          <w:b/>
          <w:iCs/>
          <w:lang w:val="en-US" w:eastAsia="ja-JP"/>
        </w:rPr>
        <w:t>for subcarrier mapping to support IFDMA while all others RBs can be used in the existing way to support Block-IFDMA</w:t>
      </w:r>
      <w:r>
        <w:rPr>
          <w:rFonts w:ascii="Times" w:eastAsia="MS Mincho" w:hAnsi="Times"/>
          <w:b/>
          <w:iCs/>
          <w:lang w:val="en-US" w:eastAsia="ja-JP"/>
        </w:rPr>
        <w:t xml:space="preserve">. </w:t>
      </w:r>
    </w:p>
    <w:p w14:paraId="3AFF58F6" w14:textId="77777777" w:rsidR="00DA7E75" w:rsidRDefault="00DA7E75" w:rsidP="00DA7E75">
      <w:pPr>
        <w:pStyle w:val="Heading1"/>
      </w:pPr>
      <w:r>
        <w:rPr>
          <w:color w:val="000000"/>
        </w:rPr>
        <w:t>3</w:t>
      </w:r>
      <w:r w:rsidRPr="00B85522">
        <w:rPr>
          <w:color w:val="000000"/>
        </w:rPr>
        <w:tab/>
      </w:r>
      <w:r w:rsidR="00E75F45">
        <w:rPr>
          <w:color w:val="000000"/>
        </w:rPr>
        <w:t xml:space="preserve">PAPR </w:t>
      </w:r>
      <w:r w:rsidR="00B44A81">
        <w:rPr>
          <w:color w:val="000000"/>
        </w:rPr>
        <w:t>Considerations</w:t>
      </w:r>
    </w:p>
    <w:p w14:paraId="7104B6D9" w14:textId="77777777" w:rsidR="00C16808" w:rsidRPr="00C16808" w:rsidRDefault="00AF1051" w:rsidP="00C16808">
      <w:pPr>
        <w:rPr>
          <w:color w:val="000000"/>
          <w:sz w:val="22"/>
          <w:szCs w:val="22"/>
          <w:lang w:val="en-US"/>
        </w:rPr>
      </w:pPr>
      <w:r>
        <w:rPr>
          <w:color w:val="000000"/>
          <w:sz w:val="22"/>
          <w:szCs w:val="22"/>
          <w:lang w:val="en-US"/>
        </w:rPr>
        <w:t>Without single-carrier property being maintained, PAPR/CM is increased for</w:t>
      </w:r>
      <w:r w:rsidR="00077DA4">
        <w:rPr>
          <w:color w:val="000000"/>
          <w:sz w:val="22"/>
          <w:szCs w:val="22"/>
          <w:lang w:val="en-US"/>
        </w:rPr>
        <w:t xml:space="preserve"> both</w:t>
      </w:r>
      <w:r>
        <w:rPr>
          <w:color w:val="000000"/>
          <w:sz w:val="22"/>
          <w:szCs w:val="22"/>
          <w:lang w:val="en-US"/>
        </w:rPr>
        <w:t xml:space="preserve"> IFDMA </w:t>
      </w:r>
      <w:r w:rsidR="00077DA4">
        <w:rPr>
          <w:color w:val="000000"/>
          <w:sz w:val="22"/>
          <w:szCs w:val="22"/>
          <w:lang w:val="en-US"/>
        </w:rPr>
        <w:t xml:space="preserve">when </w:t>
      </w:r>
      <w:r>
        <w:rPr>
          <w:color w:val="000000"/>
          <w:sz w:val="22"/>
          <w:szCs w:val="22"/>
          <w:lang w:val="en-US"/>
        </w:rPr>
        <w:t xml:space="preserve">gaps </w:t>
      </w:r>
      <w:r w:rsidR="00077DA4">
        <w:rPr>
          <w:color w:val="000000"/>
          <w:sz w:val="22"/>
          <w:szCs w:val="22"/>
          <w:lang w:val="en-US"/>
        </w:rPr>
        <w:t>are not identical and</w:t>
      </w:r>
      <w:r>
        <w:rPr>
          <w:color w:val="000000"/>
          <w:sz w:val="22"/>
          <w:szCs w:val="22"/>
          <w:lang w:val="en-US"/>
        </w:rPr>
        <w:t xml:space="preserve"> block-IFDMA. CM for Block-IFDMA is evaluated with simulation</w:t>
      </w:r>
      <w:r w:rsidR="001059CA" w:rsidRPr="001059CA">
        <w:rPr>
          <w:color w:val="000000"/>
          <w:sz w:val="22"/>
          <w:szCs w:val="22"/>
          <w:lang w:val="en-US"/>
        </w:rPr>
        <w:t xml:space="preserve"> </w:t>
      </w:r>
      <w:r w:rsidR="001059CA">
        <w:rPr>
          <w:color w:val="000000"/>
          <w:sz w:val="22"/>
          <w:szCs w:val="22"/>
          <w:lang w:val="en-US"/>
        </w:rPr>
        <w:t>below</w:t>
      </w:r>
      <w:r>
        <w:rPr>
          <w:color w:val="000000"/>
          <w:sz w:val="22"/>
          <w:szCs w:val="22"/>
          <w:lang w:val="en-US"/>
        </w:rPr>
        <w:t>.</w:t>
      </w:r>
    </w:p>
    <w:p w14:paraId="5CE788BC" w14:textId="77777777" w:rsidR="00DA7E75" w:rsidRDefault="00DA7E75" w:rsidP="00BB1946">
      <w:pPr>
        <w:pStyle w:val="Heading2"/>
        <w:tabs>
          <w:tab w:val="left" w:pos="6232"/>
        </w:tabs>
        <w:rPr>
          <w:rFonts w:eastAsia="SimSun"/>
          <w:lang w:val="en-US"/>
        </w:rPr>
      </w:pPr>
      <w:r>
        <w:rPr>
          <w:rFonts w:eastAsia="SimSun"/>
          <w:lang w:val="en-US"/>
        </w:rPr>
        <w:t>3</w:t>
      </w:r>
      <w:r w:rsidRPr="00BB4567">
        <w:rPr>
          <w:rFonts w:eastAsia="SimSun"/>
          <w:lang w:val="en-US"/>
        </w:rPr>
        <w:t>.</w:t>
      </w:r>
      <w:r>
        <w:rPr>
          <w:rFonts w:eastAsia="SimSun"/>
          <w:lang w:val="en-US"/>
        </w:rPr>
        <w:t>1</w:t>
      </w:r>
      <w:r w:rsidRPr="00BB4567">
        <w:rPr>
          <w:rFonts w:eastAsia="SimSun"/>
          <w:lang w:val="en-US"/>
        </w:rPr>
        <w:t xml:space="preserve"> </w:t>
      </w:r>
      <w:r>
        <w:rPr>
          <w:rFonts w:eastAsia="SimSun"/>
          <w:lang w:val="en-US"/>
        </w:rPr>
        <w:t>Simulation Assumption</w:t>
      </w:r>
    </w:p>
    <w:p w14:paraId="39756F56" w14:textId="77777777" w:rsidR="00077DA4" w:rsidRDefault="00077DA4" w:rsidP="00AF1051">
      <w:pPr>
        <w:rPr>
          <w:color w:val="000000"/>
          <w:sz w:val="22"/>
          <w:szCs w:val="22"/>
          <w:lang w:val="en-US"/>
        </w:rPr>
      </w:pPr>
      <w:r>
        <w:rPr>
          <w:color w:val="000000"/>
          <w:sz w:val="22"/>
          <w:szCs w:val="22"/>
          <w:lang w:val="en-US"/>
        </w:rPr>
        <w:t>It is known that cubic metric</w:t>
      </w:r>
      <w:r w:rsidR="006E1158">
        <w:rPr>
          <w:color w:val="000000"/>
          <w:sz w:val="22"/>
          <w:szCs w:val="22"/>
          <w:lang w:val="en-US"/>
        </w:rPr>
        <w:t xml:space="preserve"> is a much more suitable measure than PAPR to indicate the power back off of a power amplifier. The cubic metric is defined as </w:t>
      </w:r>
      <w:r w:rsidR="001F53DD">
        <w:rPr>
          <w:color w:val="000000"/>
          <w:sz w:val="22"/>
          <w:szCs w:val="22"/>
          <w:lang w:val="en-US"/>
        </w:rPr>
        <w:fldChar w:fldCharType="begin"/>
      </w:r>
      <w:r w:rsidR="001F53DD">
        <w:rPr>
          <w:color w:val="000000"/>
          <w:sz w:val="22"/>
          <w:szCs w:val="22"/>
          <w:lang w:val="en-US"/>
        </w:rPr>
        <w:instrText xml:space="preserve"> REF _Ref441741784 \n \h </w:instrText>
      </w:r>
      <w:r w:rsidR="001F53DD">
        <w:rPr>
          <w:color w:val="000000"/>
          <w:sz w:val="22"/>
          <w:szCs w:val="22"/>
          <w:lang w:val="en-US"/>
        </w:rPr>
      </w:r>
      <w:r w:rsidR="001F53DD">
        <w:rPr>
          <w:color w:val="000000"/>
          <w:sz w:val="22"/>
          <w:szCs w:val="22"/>
          <w:lang w:val="en-US"/>
        </w:rPr>
        <w:fldChar w:fldCharType="separate"/>
      </w:r>
      <w:r w:rsidR="00855FEC">
        <w:rPr>
          <w:color w:val="000000"/>
          <w:sz w:val="22"/>
          <w:szCs w:val="22"/>
          <w:lang w:val="en-US"/>
        </w:rPr>
        <w:t>[6]</w:t>
      </w:r>
      <w:r w:rsidR="001F53DD">
        <w:rPr>
          <w:color w:val="000000"/>
          <w:sz w:val="22"/>
          <w:szCs w:val="22"/>
          <w:lang w:val="en-US"/>
        </w:rPr>
        <w:fldChar w:fldCharType="end"/>
      </w:r>
      <w:r w:rsidR="006E1158">
        <w:rPr>
          <w:color w:val="000000"/>
          <w:sz w:val="22"/>
          <w:szCs w:val="22"/>
          <w:lang w:val="en-US"/>
        </w:rPr>
        <w:t xml:space="preserve">: </w:t>
      </w:r>
    </w:p>
    <w:p w14:paraId="693D0451" w14:textId="77777777" w:rsidR="006E1158" w:rsidRDefault="006E1158" w:rsidP="006E1158">
      <w:pPr>
        <w:jc w:val="center"/>
        <w:rPr>
          <w:color w:val="000000"/>
          <w:sz w:val="22"/>
          <w:szCs w:val="22"/>
          <w:lang w:val="en-US"/>
        </w:rPr>
      </w:pPr>
      <w:r>
        <w:rPr>
          <w:noProof/>
          <w:lang w:val="en-US"/>
        </w:rPr>
        <w:drawing>
          <wp:inline distT="0" distB="0" distL="0" distR="0" wp14:anchorId="2348BF04" wp14:editId="38D4B8FF">
            <wp:extent cx="3262579" cy="29774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3195" cy="297796"/>
                    </a:xfrm>
                    <a:prstGeom prst="rect">
                      <a:avLst/>
                    </a:prstGeom>
                    <a:noFill/>
                  </pic:spPr>
                </pic:pic>
              </a:graphicData>
            </a:graphic>
          </wp:inline>
        </w:drawing>
      </w:r>
    </w:p>
    <w:p w14:paraId="64DB7B9A" w14:textId="77777777" w:rsidR="006E1158" w:rsidRDefault="006E1158" w:rsidP="00AF1051">
      <w:pPr>
        <w:rPr>
          <w:color w:val="000000"/>
          <w:sz w:val="22"/>
          <w:szCs w:val="22"/>
          <w:lang w:val="en-US"/>
        </w:rPr>
      </w:pPr>
      <w:proofErr w:type="gramStart"/>
      <w:r>
        <w:rPr>
          <w:color w:val="000000"/>
          <w:sz w:val="22"/>
          <w:szCs w:val="22"/>
          <w:lang w:val="en-US"/>
        </w:rPr>
        <w:t xml:space="preserve">where </w:t>
      </w:r>
      <w:proofErr w:type="gramEnd"/>
      <w:r>
        <w:rPr>
          <w:noProof/>
          <w:szCs w:val="22"/>
          <w:lang w:val="en-US"/>
        </w:rPr>
        <w:drawing>
          <wp:inline distT="0" distB="0" distL="0" distR="0" wp14:anchorId="53C9DF7C" wp14:editId="028F7184">
            <wp:extent cx="1771650" cy="204318"/>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4342" cy="204629"/>
                    </a:xfrm>
                    <a:prstGeom prst="rect">
                      <a:avLst/>
                    </a:prstGeom>
                    <a:noFill/>
                    <a:ln>
                      <a:noFill/>
                    </a:ln>
                  </pic:spPr>
                </pic:pic>
              </a:graphicData>
            </a:graphic>
          </wp:inline>
        </w:drawing>
      </w:r>
      <w:r>
        <w:rPr>
          <w:color w:val="000000"/>
          <w:sz w:val="22"/>
          <w:szCs w:val="22"/>
          <w:lang w:val="en-US"/>
        </w:rPr>
        <w:t xml:space="preserve">, </w:t>
      </w:r>
      <w:r w:rsidRPr="006E1158">
        <w:rPr>
          <w:i/>
          <w:color w:val="000000"/>
          <w:sz w:val="22"/>
          <w:szCs w:val="22"/>
          <w:lang w:val="en-US"/>
        </w:rPr>
        <w:t>K</w:t>
      </w:r>
      <w:r>
        <w:rPr>
          <w:color w:val="000000"/>
          <w:sz w:val="22"/>
          <w:szCs w:val="22"/>
          <w:lang w:val="en-US"/>
        </w:rPr>
        <w:t xml:space="preserve"> = 1.56 for LTE signals and the term </w:t>
      </w:r>
      <w:r w:rsidRPr="006E1158">
        <w:rPr>
          <w:i/>
          <w:color w:val="000000"/>
          <w:sz w:val="22"/>
          <w:szCs w:val="22"/>
          <w:lang w:val="en-US"/>
        </w:rPr>
        <w:t>X</w:t>
      </w:r>
      <w:r>
        <w:rPr>
          <w:color w:val="000000"/>
          <w:sz w:val="22"/>
          <w:szCs w:val="22"/>
          <w:lang w:val="en-US"/>
        </w:rPr>
        <w:t xml:space="preserve"> is related to the bandwidth of the signal. For this simulation, a 20 MHz bandwidth is assumed and the relative CM value </w:t>
      </w:r>
      <w:r w:rsidR="00F61429">
        <w:rPr>
          <w:color w:val="000000"/>
          <w:sz w:val="22"/>
          <w:szCs w:val="22"/>
          <w:lang w:val="en-US"/>
        </w:rPr>
        <w:t>is</w:t>
      </w:r>
      <w:r>
        <w:rPr>
          <w:color w:val="000000"/>
          <w:sz w:val="22"/>
          <w:szCs w:val="22"/>
          <w:lang w:val="en-US"/>
        </w:rPr>
        <w:t xml:space="preserve"> compared without </w:t>
      </w:r>
      <w:r w:rsidRPr="006E1158">
        <w:rPr>
          <w:i/>
          <w:color w:val="000000"/>
          <w:sz w:val="22"/>
          <w:szCs w:val="22"/>
          <w:lang w:val="en-US"/>
        </w:rPr>
        <w:t>X</w:t>
      </w:r>
      <w:r>
        <w:rPr>
          <w:color w:val="000000"/>
          <w:sz w:val="22"/>
          <w:szCs w:val="22"/>
          <w:lang w:val="en-US"/>
        </w:rPr>
        <w:t xml:space="preserve">. </w:t>
      </w:r>
    </w:p>
    <w:p w14:paraId="5321BD87" w14:textId="77777777" w:rsidR="002734C6" w:rsidRDefault="0086342A" w:rsidP="00AF1051">
      <w:pPr>
        <w:rPr>
          <w:color w:val="000000"/>
          <w:sz w:val="22"/>
          <w:szCs w:val="22"/>
          <w:lang w:val="en-US"/>
        </w:rPr>
      </w:pPr>
      <w:r w:rsidRPr="00AF1051">
        <w:rPr>
          <w:color w:val="000000"/>
          <w:sz w:val="22"/>
          <w:szCs w:val="22"/>
          <w:lang w:val="en-US"/>
        </w:rPr>
        <w:t>Assuming</w:t>
      </w:r>
      <w:r w:rsidR="00AF1051" w:rsidRPr="00AF1051">
        <w:rPr>
          <w:color w:val="000000"/>
          <w:sz w:val="22"/>
          <w:szCs w:val="22"/>
          <w:lang w:val="en-US"/>
        </w:rPr>
        <w:t xml:space="preserve"> </w:t>
      </w:r>
      <w:r>
        <w:rPr>
          <w:color w:val="000000"/>
          <w:sz w:val="22"/>
          <w:szCs w:val="22"/>
          <w:lang w:val="en-US"/>
        </w:rPr>
        <w:t xml:space="preserve">a UE is allocated with 10 RBs which are mapped in the frequency domain as one or more clusters, and </w:t>
      </w:r>
      <w:r w:rsidR="00663922">
        <w:rPr>
          <w:color w:val="000000"/>
          <w:sz w:val="22"/>
          <w:szCs w:val="22"/>
          <w:lang w:val="en-US"/>
        </w:rPr>
        <w:t xml:space="preserve">each </w:t>
      </w:r>
      <w:r>
        <w:rPr>
          <w:color w:val="000000"/>
          <w:sz w:val="22"/>
          <w:szCs w:val="22"/>
          <w:lang w:val="en-US"/>
        </w:rPr>
        <w:t xml:space="preserve">cluster includes a group of continuous RBs. One CM value is generated every subframe </w:t>
      </w:r>
      <w:r w:rsidR="006E1158">
        <w:rPr>
          <w:color w:val="000000"/>
          <w:sz w:val="22"/>
          <w:szCs w:val="22"/>
          <w:lang w:val="en-US"/>
        </w:rPr>
        <w:t xml:space="preserve">(t </w:t>
      </w:r>
      <w:r w:rsidR="00C40CEF">
        <w:rPr>
          <w:color w:val="000000"/>
          <w:sz w:val="22"/>
          <w:szCs w:val="22"/>
          <w:lang w:val="en-US"/>
        </w:rPr>
        <w:t xml:space="preserve">is </w:t>
      </w:r>
      <w:r w:rsidR="006E1158">
        <w:rPr>
          <w:color w:val="000000"/>
          <w:sz w:val="22"/>
          <w:szCs w:val="22"/>
          <w:lang w:val="en-US"/>
        </w:rPr>
        <w:t xml:space="preserve">1 ms </w:t>
      </w:r>
      <w:r w:rsidR="00663922">
        <w:rPr>
          <w:color w:val="000000"/>
          <w:sz w:val="22"/>
          <w:szCs w:val="22"/>
          <w:lang w:val="en-US"/>
        </w:rPr>
        <w:t xml:space="preserve">length </w:t>
      </w:r>
      <w:r w:rsidR="006E1158">
        <w:rPr>
          <w:color w:val="000000"/>
          <w:sz w:val="22"/>
          <w:szCs w:val="22"/>
          <w:lang w:val="en-US"/>
        </w:rPr>
        <w:t xml:space="preserve">in the </w:t>
      </w:r>
      <w:r w:rsidR="00C40CEF">
        <w:rPr>
          <w:color w:val="000000"/>
          <w:sz w:val="22"/>
          <w:szCs w:val="22"/>
          <w:lang w:val="en-US"/>
        </w:rPr>
        <w:t xml:space="preserve">formula </w:t>
      </w:r>
      <w:r w:rsidR="006E1158">
        <w:rPr>
          <w:color w:val="000000"/>
          <w:sz w:val="22"/>
          <w:szCs w:val="22"/>
          <w:lang w:val="en-US"/>
        </w:rPr>
        <w:t xml:space="preserve">above) </w:t>
      </w:r>
      <w:r>
        <w:rPr>
          <w:color w:val="000000"/>
          <w:sz w:val="22"/>
          <w:szCs w:val="22"/>
          <w:lang w:val="en-US"/>
        </w:rPr>
        <w:t>and CDF is based on 10</w:t>
      </w:r>
      <w:r w:rsidRPr="0086342A">
        <w:rPr>
          <w:color w:val="000000"/>
          <w:sz w:val="22"/>
          <w:szCs w:val="22"/>
          <w:vertAlign w:val="superscript"/>
          <w:lang w:val="en-US"/>
        </w:rPr>
        <w:t>4</w:t>
      </w:r>
      <w:r>
        <w:rPr>
          <w:color w:val="000000"/>
          <w:sz w:val="22"/>
          <w:szCs w:val="22"/>
          <w:lang w:val="en-US"/>
        </w:rPr>
        <w:t xml:space="preserve"> subframes. </w:t>
      </w:r>
      <w:r w:rsidR="002734C6">
        <w:rPr>
          <w:color w:val="000000"/>
          <w:sz w:val="22"/>
          <w:szCs w:val="22"/>
          <w:lang w:val="en-US"/>
        </w:rPr>
        <w:t xml:space="preserve">There is one DFT for all clusters. </w:t>
      </w:r>
    </w:p>
    <w:p w14:paraId="5070C42D" w14:textId="77777777" w:rsidR="00632618" w:rsidRDefault="0086342A" w:rsidP="00AF1051">
      <w:pPr>
        <w:rPr>
          <w:color w:val="000000"/>
          <w:sz w:val="22"/>
          <w:szCs w:val="22"/>
          <w:lang w:val="en-US"/>
        </w:rPr>
      </w:pPr>
      <w:r>
        <w:rPr>
          <w:color w:val="000000"/>
          <w:sz w:val="22"/>
          <w:szCs w:val="22"/>
          <w:lang w:val="en-US"/>
        </w:rPr>
        <w:t xml:space="preserve">As illustrated in </w:t>
      </w:r>
      <w:r>
        <w:rPr>
          <w:color w:val="000000"/>
          <w:sz w:val="22"/>
          <w:szCs w:val="22"/>
          <w:lang w:val="en-US"/>
        </w:rPr>
        <w:fldChar w:fldCharType="begin"/>
      </w:r>
      <w:r>
        <w:rPr>
          <w:color w:val="000000"/>
          <w:sz w:val="22"/>
          <w:szCs w:val="22"/>
          <w:lang w:val="en-US"/>
        </w:rPr>
        <w:instrText xml:space="preserve"> REF _Ref441594883 \h  \* MERGEFORMAT </w:instrText>
      </w:r>
      <w:r>
        <w:rPr>
          <w:color w:val="000000"/>
          <w:sz w:val="22"/>
          <w:szCs w:val="22"/>
          <w:lang w:val="en-US"/>
        </w:rPr>
      </w:r>
      <w:r>
        <w:rPr>
          <w:color w:val="000000"/>
          <w:sz w:val="22"/>
          <w:szCs w:val="22"/>
          <w:lang w:val="en-US"/>
        </w:rPr>
        <w:fldChar w:fldCharType="separate"/>
      </w:r>
      <w:r w:rsidR="00855FEC" w:rsidRPr="00855FEC">
        <w:rPr>
          <w:color w:val="000000"/>
          <w:sz w:val="22"/>
          <w:szCs w:val="22"/>
          <w:lang w:val="en-US"/>
        </w:rPr>
        <w:t>Figure 4</w:t>
      </w:r>
      <w:r>
        <w:rPr>
          <w:color w:val="000000"/>
          <w:sz w:val="22"/>
          <w:szCs w:val="22"/>
          <w:lang w:val="en-US"/>
        </w:rPr>
        <w:fldChar w:fldCharType="end"/>
      </w:r>
      <w:r>
        <w:rPr>
          <w:color w:val="000000"/>
          <w:sz w:val="22"/>
          <w:szCs w:val="22"/>
          <w:lang w:val="en-US"/>
        </w:rPr>
        <w:t>, “1 cluster” mean</w:t>
      </w:r>
      <w:r w:rsidR="00DC7AA4">
        <w:rPr>
          <w:color w:val="000000"/>
          <w:sz w:val="22"/>
          <w:szCs w:val="22"/>
          <w:lang w:val="en-US"/>
        </w:rPr>
        <w:t xml:space="preserve">s all 10 RBs are continuous which is exactly </w:t>
      </w:r>
      <w:r w:rsidR="00663922">
        <w:rPr>
          <w:color w:val="000000"/>
          <w:sz w:val="22"/>
          <w:szCs w:val="22"/>
          <w:lang w:val="en-US"/>
        </w:rPr>
        <w:t xml:space="preserve">how the </w:t>
      </w:r>
      <w:r w:rsidR="00DC7AA4">
        <w:rPr>
          <w:color w:val="000000"/>
          <w:sz w:val="22"/>
          <w:szCs w:val="22"/>
          <w:lang w:val="en-US"/>
        </w:rPr>
        <w:t xml:space="preserve">current LTE </w:t>
      </w:r>
      <w:r w:rsidR="00663922">
        <w:rPr>
          <w:color w:val="000000"/>
          <w:sz w:val="22"/>
          <w:szCs w:val="22"/>
          <w:lang w:val="en-US"/>
        </w:rPr>
        <w:t>PUSCH is mapped</w:t>
      </w:r>
      <w:r w:rsidR="00DC7AA4">
        <w:rPr>
          <w:color w:val="000000"/>
          <w:sz w:val="22"/>
          <w:szCs w:val="22"/>
          <w:lang w:val="en-US"/>
        </w:rPr>
        <w:t xml:space="preserve"> and “2 cluster” means</w:t>
      </w:r>
      <w:r w:rsidR="00663922">
        <w:rPr>
          <w:color w:val="000000"/>
          <w:sz w:val="22"/>
          <w:szCs w:val="22"/>
          <w:lang w:val="en-US"/>
        </w:rPr>
        <w:t xml:space="preserve"> </w:t>
      </w:r>
      <w:r w:rsidR="00DC7AA4">
        <w:rPr>
          <w:color w:val="000000"/>
          <w:sz w:val="22"/>
          <w:szCs w:val="22"/>
          <w:lang w:val="en-US"/>
        </w:rPr>
        <w:t xml:space="preserve">10 RBs are </w:t>
      </w:r>
      <w:r w:rsidR="00663922">
        <w:rPr>
          <w:color w:val="000000"/>
          <w:sz w:val="22"/>
          <w:szCs w:val="22"/>
          <w:lang w:val="en-US"/>
        </w:rPr>
        <w:t xml:space="preserve">equally </w:t>
      </w:r>
      <w:r w:rsidR="00DC7AA4">
        <w:rPr>
          <w:color w:val="000000"/>
          <w:sz w:val="22"/>
          <w:szCs w:val="22"/>
          <w:lang w:val="en-US"/>
        </w:rPr>
        <w:t xml:space="preserve">split into two groups which are mapped in the frequency domain with a gap but within each group, 5 RBs are still continuous. So easy to know, “10 cluster” means </w:t>
      </w:r>
      <w:r w:rsidR="001059CA">
        <w:rPr>
          <w:color w:val="000000"/>
          <w:sz w:val="22"/>
          <w:szCs w:val="22"/>
          <w:lang w:val="en-US"/>
        </w:rPr>
        <w:t>all RBs are mapped discontinuously</w:t>
      </w:r>
      <w:r w:rsidR="0002792C">
        <w:rPr>
          <w:color w:val="000000"/>
          <w:sz w:val="22"/>
          <w:szCs w:val="22"/>
          <w:lang w:val="en-US"/>
        </w:rPr>
        <w:t xml:space="preserve"> </w:t>
      </w:r>
      <w:r w:rsidR="001059CA">
        <w:rPr>
          <w:color w:val="000000"/>
          <w:sz w:val="22"/>
          <w:szCs w:val="22"/>
          <w:lang w:val="en-US"/>
        </w:rPr>
        <w:t xml:space="preserve">with a gap between any adjacent </w:t>
      </w:r>
      <w:r w:rsidR="00663922">
        <w:rPr>
          <w:color w:val="000000"/>
          <w:sz w:val="22"/>
          <w:szCs w:val="22"/>
          <w:lang w:val="en-US"/>
        </w:rPr>
        <w:t xml:space="preserve">two </w:t>
      </w:r>
      <w:r w:rsidR="001059CA">
        <w:rPr>
          <w:color w:val="000000"/>
          <w:sz w:val="22"/>
          <w:szCs w:val="22"/>
          <w:lang w:val="en-US"/>
        </w:rPr>
        <w:t>RBs</w:t>
      </w:r>
      <w:r w:rsidR="00DC7AA4">
        <w:rPr>
          <w:color w:val="000000"/>
          <w:sz w:val="22"/>
          <w:szCs w:val="22"/>
          <w:lang w:val="en-US"/>
        </w:rPr>
        <w:t xml:space="preserve">. </w:t>
      </w:r>
    </w:p>
    <w:p w14:paraId="1122CDEA" w14:textId="77777777" w:rsidR="002734C6" w:rsidRDefault="002734C6" w:rsidP="002734C6">
      <w:pPr>
        <w:pStyle w:val="Heading2"/>
        <w:tabs>
          <w:tab w:val="left" w:pos="6232"/>
        </w:tabs>
        <w:rPr>
          <w:rFonts w:eastAsia="SimSun"/>
          <w:lang w:val="en-US"/>
        </w:rPr>
      </w:pPr>
      <w:r>
        <w:rPr>
          <w:rFonts w:eastAsia="SimSun"/>
          <w:lang w:val="en-US"/>
        </w:rPr>
        <w:t>3</w:t>
      </w:r>
      <w:r w:rsidRPr="00BB4567">
        <w:rPr>
          <w:rFonts w:eastAsia="SimSun"/>
          <w:lang w:val="en-US"/>
        </w:rPr>
        <w:t>.</w:t>
      </w:r>
      <w:r>
        <w:rPr>
          <w:rFonts w:eastAsia="SimSun"/>
          <w:lang w:val="en-US"/>
        </w:rPr>
        <w:t>2</w:t>
      </w:r>
      <w:r w:rsidRPr="00BB4567">
        <w:rPr>
          <w:rFonts w:eastAsia="SimSun"/>
          <w:lang w:val="en-US"/>
        </w:rPr>
        <w:t xml:space="preserve"> </w:t>
      </w:r>
      <w:r>
        <w:rPr>
          <w:rFonts w:eastAsia="SimSun"/>
          <w:lang w:val="en-US"/>
        </w:rPr>
        <w:t>Simulation Results</w:t>
      </w:r>
    </w:p>
    <w:p w14:paraId="7F423C22" w14:textId="77777777" w:rsidR="00164FE6" w:rsidRDefault="00DC7AA4" w:rsidP="00164FE6">
      <w:pPr>
        <w:rPr>
          <w:color w:val="000000"/>
          <w:sz w:val="22"/>
          <w:szCs w:val="22"/>
          <w:lang w:val="en-US"/>
        </w:rPr>
      </w:pPr>
      <w:r>
        <w:rPr>
          <w:color w:val="000000"/>
          <w:sz w:val="22"/>
          <w:szCs w:val="22"/>
          <w:lang w:val="en-US"/>
        </w:rPr>
        <w:t>It shows that more clusters result in a bigger CM value and for QPSK, the CM is increased by about 1 dB when the number of clusters increased from 1 to 10.</w:t>
      </w:r>
      <w:r w:rsidR="001F301C">
        <w:rPr>
          <w:color w:val="000000"/>
          <w:sz w:val="22"/>
          <w:szCs w:val="22"/>
          <w:lang w:val="en-US"/>
        </w:rPr>
        <w:t xml:space="preserve"> For a UE at cell edge with 10 RBs allocated, </w:t>
      </w:r>
      <w:r w:rsidR="009B7A5B">
        <w:rPr>
          <w:color w:val="000000"/>
          <w:sz w:val="22"/>
          <w:szCs w:val="22"/>
          <w:lang w:val="en-US"/>
        </w:rPr>
        <w:t>1 dB power de-rating is required when the device is working with its maximum output power</w:t>
      </w:r>
      <w:r w:rsidR="001F301C">
        <w:rPr>
          <w:color w:val="000000"/>
          <w:sz w:val="22"/>
          <w:szCs w:val="22"/>
          <w:lang w:val="en-US"/>
        </w:rPr>
        <w:t xml:space="preserve"> but since the permitted output is less than the maximum output power for this simulation case, no power backoff is really needed. </w:t>
      </w:r>
      <w:r>
        <w:rPr>
          <w:color w:val="000000"/>
          <w:sz w:val="22"/>
          <w:szCs w:val="22"/>
          <w:lang w:val="en-US"/>
        </w:rPr>
        <w:t xml:space="preserve"> The CM values for 16QAM and 64QAM are increased accordingly but</w:t>
      </w:r>
      <w:r w:rsidR="002734C6">
        <w:rPr>
          <w:color w:val="000000"/>
          <w:sz w:val="22"/>
          <w:szCs w:val="22"/>
          <w:lang w:val="en-US"/>
        </w:rPr>
        <w:t xml:space="preserve"> with a less amount. </w:t>
      </w:r>
    </w:p>
    <w:p w14:paraId="2B09D20C" w14:textId="77777777" w:rsidR="0086342A" w:rsidRDefault="00D855F1" w:rsidP="0086342A">
      <w:pPr>
        <w:keepNext/>
        <w:jc w:val="center"/>
      </w:pPr>
      <w:r w:rsidRPr="00D855F1">
        <w:rPr>
          <w:noProof/>
          <w:color w:val="000000"/>
          <w:sz w:val="22"/>
          <w:szCs w:val="22"/>
          <w:lang w:val="en-US"/>
        </w:rPr>
        <w:drawing>
          <wp:inline distT="0" distB="0" distL="0" distR="0" wp14:anchorId="540283C8" wp14:editId="7F867DA6">
            <wp:extent cx="2760134" cy="2070100"/>
            <wp:effectExtent l="19050" t="19050" r="21590" b="2540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8417" cy="2076312"/>
                    </a:xfrm>
                    <a:prstGeom prst="rect">
                      <a:avLst/>
                    </a:prstGeom>
                    <a:noFill/>
                    <a:ln w="9525">
                      <a:solidFill>
                        <a:schemeClr val="tx1"/>
                      </a:solidFill>
                      <a:miter lim="800000"/>
                      <a:headEnd/>
                      <a:tailEnd/>
                    </a:ln>
                    <a:extLst/>
                  </pic:spPr>
                </pic:pic>
              </a:graphicData>
            </a:graphic>
          </wp:inline>
        </w:drawing>
      </w:r>
    </w:p>
    <w:p w14:paraId="32CBED34" w14:textId="77777777" w:rsidR="00EE5F66" w:rsidRDefault="0086342A" w:rsidP="0086342A">
      <w:pPr>
        <w:pStyle w:val="Caption"/>
        <w:jc w:val="center"/>
        <w:rPr>
          <w:lang w:val="en-US"/>
        </w:rPr>
      </w:pPr>
      <w:bookmarkStart w:id="5" w:name="_Ref441594883"/>
      <w:r>
        <w:t xml:space="preserve">Figure </w:t>
      </w:r>
      <w:r w:rsidR="00E658A2">
        <w:fldChar w:fldCharType="begin"/>
      </w:r>
      <w:r w:rsidR="00E658A2">
        <w:instrText xml:space="preserve"> SEQ Figure \* ARABIC </w:instrText>
      </w:r>
      <w:r w:rsidR="00E658A2">
        <w:fldChar w:fldCharType="separate"/>
      </w:r>
      <w:r w:rsidR="00855FEC">
        <w:rPr>
          <w:noProof/>
        </w:rPr>
        <w:t>4</w:t>
      </w:r>
      <w:r w:rsidR="00E658A2">
        <w:rPr>
          <w:noProof/>
        </w:rPr>
        <w:fldChar w:fldCharType="end"/>
      </w:r>
      <w:bookmarkEnd w:id="5"/>
      <w:r>
        <w:rPr>
          <w:lang w:val="en-US"/>
        </w:rPr>
        <w:t xml:space="preserve"> Simulation Results with Different Number of Clusters</w:t>
      </w:r>
    </w:p>
    <w:p w14:paraId="5457AB5F" w14:textId="48DB3C86" w:rsidR="009D485E" w:rsidRDefault="009D485E" w:rsidP="002734C6">
      <w:pPr>
        <w:rPr>
          <w:color w:val="000000"/>
          <w:sz w:val="22"/>
          <w:szCs w:val="22"/>
          <w:lang w:val="en-US"/>
        </w:rPr>
      </w:pPr>
      <w:r>
        <w:rPr>
          <w:color w:val="000000"/>
          <w:sz w:val="22"/>
          <w:szCs w:val="22"/>
          <w:lang w:val="en-US"/>
        </w:rPr>
        <w:t xml:space="preserve">The CM values of the above signals with 10 RBs are compared with more numbers of clusters as shown in </w:t>
      </w:r>
      <w:r w:rsidR="008E781A">
        <w:rPr>
          <w:color w:val="000000"/>
          <w:sz w:val="22"/>
          <w:szCs w:val="22"/>
          <w:lang w:val="en-US"/>
        </w:rPr>
        <w:fldChar w:fldCharType="begin"/>
      </w:r>
      <w:r w:rsidR="008E781A">
        <w:rPr>
          <w:color w:val="000000"/>
          <w:sz w:val="22"/>
          <w:szCs w:val="22"/>
          <w:lang w:val="en-US"/>
        </w:rPr>
        <w:instrText xml:space="preserve"> REF _Ref441834113 \h  \* MERGEFORMAT </w:instrText>
      </w:r>
      <w:r w:rsidR="008E781A">
        <w:rPr>
          <w:color w:val="000000"/>
          <w:sz w:val="22"/>
          <w:szCs w:val="22"/>
          <w:lang w:val="en-US"/>
        </w:rPr>
      </w:r>
      <w:r w:rsidR="008E781A">
        <w:rPr>
          <w:color w:val="000000"/>
          <w:sz w:val="22"/>
          <w:szCs w:val="22"/>
          <w:lang w:val="en-US"/>
        </w:rPr>
        <w:fldChar w:fldCharType="separate"/>
      </w:r>
      <w:r w:rsidR="00855FEC" w:rsidRPr="00855FEC">
        <w:rPr>
          <w:color w:val="000000"/>
          <w:sz w:val="22"/>
          <w:szCs w:val="22"/>
          <w:lang w:val="en-US"/>
        </w:rPr>
        <w:t>Figure 5</w:t>
      </w:r>
      <w:r w:rsidR="008E781A">
        <w:rPr>
          <w:color w:val="000000"/>
          <w:sz w:val="22"/>
          <w:szCs w:val="22"/>
          <w:lang w:val="en-US"/>
        </w:rPr>
        <w:fldChar w:fldCharType="end"/>
      </w:r>
      <w:r>
        <w:rPr>
          <w:color w:val="000000"/>
          <w:sz w:val="22"/>
          <w:szCs w:val="22"/>
          <w:lang w:val="en-US"/>
        </w:rPr>
        <w:t xml:space="preserve">. </w:t>
      </w:r>
      <w:r w:rsidR="008E781A">
        <w:rPr>
          <w:color w:val="000000"/>
          <w:sz w:val="22"/>
          <w:szCs w:val="22"/>
          <w:lang w:val="en-US"/>
        </w:rPr>
        <w:t xml:space="preserve">Different from the above CDF case, one CM value is calculated with samples from 200 subframes </w:t>
      </w:r>
      <w:r w:rsidR="008E781A">
        <w:rPr>
          <w:color w:val="000000"/>
          <w:sz w:val="22"/>
          <w:szCs w:val="22"/>
          <w:lang w:val="en-US"/>
        </w:rPr>
        <w:lastRenderedPageBreak/>
        <w:t xml:space="preserve">so the result could be more constant. It shows that there is a peak point where the output signals have the maximum CM value and </w:t>
      </w:r>
      <w:r w:rsidR="00281A43">
        <w:rPr>
          <w:color w:val="000000"/>
          <w:sz w:val="22"/>
          <w:szCs w:val="22"/>
          <w:lang w:val="en-US"/>
        </w:rPr>
        <w:t xml:space="preserve">the minimum CM value can be achieved either with 1 cluster (LFDMA) or with 120 clusters (IFDMA). </w:t>
      </w:r>
    </w:p>
    <w:p w14:paraId="4256404A" w14:textId="77777777" w:rsidR="008E781A" w:rsidRDefault="008E781A" w:rsidP="00411BDC">
      <w:pPr>
        <w:keepNext/>
        <w:jc w:val="center"/>
      </w:pPr>
      <w:r>
        <w:rPr>
          <w:noProof/>
          <w:lang w:val="en-US"/>
        </w:rPr>
        <w:drawing>
          <wp:inline distT="0" distB="0" distL="0" distR="0" wp14:anchorId="658F5305" wp14:editId="4670E1A0">
            <wp:extent cx="3276600" cy="19695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76600" cy="1969591"/>
                    </a:xfrm>
                    <a:prstGeom prst="rect">
                      <a:avLst/>
                    </a:prstGeom>
                    <a:noFill/>
                  </pic:spPr>
                </pic:pic>
              </a:graphicData>
            </a:graphic>
          </wp:inline>
        </w:drawing>
      </w:r>
    </w:p>
    <w:p w14:paraId="01ED3C7D" w14:textId="77777777" w:rsidR="007513A5" w:rsidRPr="008E781A" w:rsidRDefault="008E781A" w:rsidP="00411BDC">
      <w:pPr>
        <w:pStyle w:val="Caption"/>
        <w:jc w:val="center"/>
        <w:rPr>
          <w:color w:val="000000"/>
          <w:sz w:val="22"/>
          <w:szCs w:val="22"/>
          <w:lang w:val="en-US"/>
        </w:rPr>
      </w:pPr>
      <w:bookmarkStart w:id="6" w:name="_Ref441834113"/>
      <w:r>
        <w:t xml:space="preserve">Figure </w:t>
      </w:r>
      <w:r>
        <w:fldChar w:fldCharType="begin"/>
      </w:r>
      <w:r>
        <w:instrText xml:space="preserve"> SEQ Figure \* ARABIC </w:instrText>
      </w:r>
      <w:r>
        <w:fldChar w:fldCharType="separate"/>
      </w:r>
      <w:r w:rsidR="00855FEC">
        <w:rPr>
          <w:noProof/>
        </w:rPr>
        <w:t>5</w:t>
      </w:r>
      <w:r>
        <w:fldChar w:fldCharType="end"/>
      </w:r>
      <w:bookmarkEnd w:id="6"/>
      <w:r>
        <w:rPr>
          <w:lang w:val="en-US"/>
        </w:rPr>
        <w:t xml:space="preserve"> CM vs. Number of Clusters</w:t>
      </w:r>
    </w:p>
    <w:p w14:paraId="072DD11A" w14:textId="77777777" w:rsidR="00A0413C" w:rsidRDefault="00D05125" w:rsidP="00D05125">
      <w:pPr>
        <w:rPr>
          <w:color w:val="000000"/>
          <w:sz w:val="22"/>
          <w:szCs w:val="22"/>
          <w:lang w:val="en-US"/>
        </w:rPr>
      </w:pPr>
      <w:r>
        <w:rPr>
          <w:color w:val="000000"/>
          <w:sz w:val="22"/>
          <w:szCs w:val="22"/>
          <w:lang w:val="en-US"/>
        </w:rPr>
        <w:t xml:space="preserve">Compare “20 clusters with 6 subcarriers per cluster” with “10 clusters with 1 RB per cluster”, the CM is almost same, the good side is that power can be increased by 1.2 dB (23 dBm – 1 dB backoff – 20.8 dBm) and </w:t>
      </w:r>
      <w:r w:rsidR="009B7A5B">
        <w:rPr>
          <w:color w:val="000000"/>
          <w:sz w:val="22"/>
          <w:szCs w:val="22"/>
          <w:lang w:val="en-US"/>
        </w:rPr>
        <w:t xml:space="preserve">the </w:t>
      </w:r>
      <w:r>
        <w:rPr>
          <w:color w:val="000000"/>
          <w:sz w:val="22"/>
          <w:szCs w:val="22"/>
          <w:lang w:val="en-US"/>
        </w:rPr>
        <w:t>bad side is the degraded link performance</w:t>
      </w:r>
      <w:r w:rsidR="00A0413C">
        <w:rPr>
          <w:color w:val="000000"/>
          <w:sz w:val="22"/>
          <w:szCs w:val="22"/>
          <w:lang w:val="en-US"/>
        </w:rPr>
        <w:t xml:space="preserve"> of IFDMA </w:t>
      </w:r>
      <w:r>
        <w:rPr>
          <w:color w:val="000000"/>
          <w:sz w:val="22"/>
          <w:szCs w:val="22"/>
          <w:lang w:val="en-US"/>
        </w:rPr>
        <w:t xml:space="preserve">and fragmented RB allocation. </w:t>
      </w:r>
    </w:p>
    <w:p w14:paraId="05364694" w14:textId="450D8697" w:rsidR="00D05125" w:rsidRDefault="00EA4962" w:rsidP="00D05125">
      <w:pPr>
        <w:rPr>
          <w:color w:val="000000"/>
          <w:sz w:val="22"/>
          <w:szCs w:val="22"/>
          <w:lang w:val="en-US"/>
        </w:rPr>
      </w:pPr>
      <w:r>
        <w:rPr>
          <w:color w:val="000000"/>
          <w:sz w:val="22"/>
          <w:szCs w:val="22"/>
          <w:lang w:val="en-US"/>
        </w:rPr>
        <w:t>C</w:t>
      </w:r>
      <w:r w:rsidR="007201D6">
        <w:rPr>
          <w:color w:val="000000"/>
          <w:sz w:val="22"/>
          <w:szCs w:val="22"/>
          <w:lang w:val="en-US"/>
        </w:rPr>
        <w:t xml:space="preserve">onfigurations between IFMDA and Block-IFDMA are not just a matter of the number of RBs allocated and both link performance and implementation complexity </w:t>
      </w:r>
      <w:r>
        <w:rPr>
          <w:color w:val="000000"/>
          <w:sz w:val="22"/>
          <w:szCs w:val="22"/>
          <w:lang w:val="en-US"/>
        </w:rPr>
        <w:t xml:space="preserve">need to be </w:t>
      </w:r>
      <w:r w:rsidR="007201D6">
        <w:rPr>
          <w:color w:val="000000"/>
          <w:sz w:val="22"/>
          <w:szCs w:val="22"/>
          <w:lang w:val="en-US"/>
        </w:rPr>
        <w:t xml:space="preserve">considered. </w:t>
      </w:r>
      <w:r w:rsidR="00A0413C">
        <w:rPr>
          <w:color w:val="000000"/>
          <w:sz w:val="22"/>
          <w:szCs w:val="22"/>
          <w:lang w:val="en-US"/>
        </w:rPr>
        <w:t xml:space="preserve">For UEs at cell edge with a small number of RBs allocated, </w:t>
      </w:r>
      <w:r w:rsidR="00855FEC">
        <w:rPr>
          <w:color w:val="000000"/>
          <w:sz w:val="22"/>
          <w:szCs w:val="22"/>
          <w:lang w:val="en-US"/>
        </w:rPr>
        <w:t>IFDMA with subcarrier mapping can help to increase the permitted output power</w:t>
      </w:r>
      <w:r w:rsidR="00A0413C">
        <w:rPr>
          <w:color w:val="000000"/>
          <w:sz w:val="22"/>
          <w:szCs w:val="22"/>
          <w:lang w:val="en-US"/>
        </w:rPr>
        <w:t>.</w:t>
      </w:r>
      <w:r w:rsidR="00855FEC">
        <w:rPr>
          <w:color w:val="000000"/>
          <w:sz w:val="22"/>
          <w:szCs w:val="22"/>
          <w:lang w:val="en-US"/>
        </w:rPr>
        <w:t xml:space="preserve"> It is recommended to study the different configurations, i.e., UL signal strength and the number of allocated RBs, between IFDMA and Block-IFDMA. For both, configurations as pointed out in </w:t>
      </w:r>
      <w:r w:rsidR="0092599B">
        <w:rPr>
          <w:color w:val="000000"/>
          <w:sz w:val="22"/>
          <w:szCs w:val="22"/>
          <w:lang w:val="en-US"/>
        </w:rPr>
        <w:fldChar w:fldCharType="begin"/>
      </w:r>
      <w:r w:rsidR="0092599B">
        <w:rPr>
          <w:color w:val="000000"/>
          <w:sz w:val="22"/>
          <w:szCs w:val="22"/>
          <w:lang w:val="en-US"/>
        </w:rPr>
        <w:instrText xml:space="preserve"> REF _Ref442454056 \n \h </w:instrText>
      </w:r>
      <w:r w:rsidR="0092599B">
        <w:rPr>
          <w:color w:val="000000"/>
          <w:sz w:val="22"/>
          <w:szCs w:val="22"/>
          <w:lang w:val="en-US"/>
        </w:rPr>
      </w:r>
      <w:r w:rsidR="0092599B">
        <w:rPr>
          <w:color w:val="000000"/>
          <w:sz w:val="22"/>
          <w:szCs w:val="22"/>
          <w:lang w:val="en-US"/>
        </w:rPr>
        <w:fldChar w:fldCharType="separate"/>
      </w:r>
      <w:r w:rsidR="0092599B">
        <w:rPr>
          <w:color w:val="000000"/>
          <w:sz w:val="22"/>
          <w:szCs w:val="22"/>
          <w:lang w:val="en-US"/>
        </w:rPr>
        <w:t>[2]</w:t>
      </w:r>
      <w:r w:rsidR="0092599B">
        <w:rPr>
          <w:color w:val="000000"/>
          <w:sz w:val="22"/>
          <w:szCs w:val="22"/>
          <w:lang w:val="en-US"/>
        </w:rPr>
        <w:fldChar w:fldCharType="end"/>
      </w:r>
      <w:r w:rsidR="00855FEC">
        <w:rPr>
          <w:color w:val="000000"/>
          <w:sz w:val="22"/>
          <w:szCs w:val="22"/>
          <w:lang w:val="en-US"/>
        </w:rPr>
        <w:t>, i.e., number of clusters, cluster size and gap</w:t>
      </w:r>
      <w:r w:rsidR="0092599B">
        <w:rPr>
          <w:color w:val="000000"/>
          <w:sz w:val="22"/>
          <w:szCs w:val="22"/>
          <w:lang w:val="en-US"/>
        </w:rPr>
        <w:t xml:space="preserve"> size</w:t>
      </w:r>
      <w:r w:rsidR="00855FEC">
        <w:rPr>
          <w:color w:val="000000"/>
          <w:sz w:val="22"/>
          <w:szCs w:val="22"/>
          <w:lang w:val="en-US"/>
        </w:rPr>
        <w:t xml:space="preserve"> between two adjacent clusters, </w:t>
      </w:r>
      <w:r w:rsidR="0092599B">
        <w:rPr>
          <w:color w:val="000000"/>
          <w:sz w:val="22"/>
          <w:szCs w:val="22"/>
          <w:lang w:val="en-US"/>
        </w:rPr>
        <w:t xml:space="preserve">need to be studied with both achievable link performance and RB allocation complexity considered. </w:t>
      </w:r>
    </w:p>
    <w:p w14:paraId="0827FE0C" w14:textId="0C85823D" w:rsidR="00D05125" w:rsidRPr="00D05125" w:rsidRDefault="00D05125" w:rsidP="00D05125">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Proposal</w:t>
      </w:r>
      <w:r w:rsidRPr="00486DD9">
        <w:rPr>
          <w:rFonts w:ascii="Times" w:eastAsia="MS Mincho" w:hAnsi="Times"/>
          <w:b/>
          <w:iCs/>
          <w:lang w:val="en-US" w:eastAsia="ja-JP"/>
        </w:rPr>
        <w:t xml:space="preserve"> </w:t>
      </w:r>
      <w:r>
        <w:rPr>
          <w:rFonts w:ascii="Times" w:eastAsia="MS Mincho" w:hAnsi="Times"/>
          <w:b/>
          <w:iCs/>
          <w:lang w:val="en-US" w:eastAsia="ja-JP"/>
        </w:rPr>
        <w:t>4</w:t>
      </w:r>
      <w:r w:rsidRPr="00486DD9">
        <w:rPr>
          <w:rFonts w:ascii="Times" w:eastAsia="MS Mincho" w:hAnsi="Times"/>
          <w:b/>
          <w:iCs/>
          <w:lang w:val="en-US" w:eastAsia="ja-JP"/>
        </w:rPr>
        <w:t xml:space="preserve">: </w:t>
      </w:r>
      <w:r>
        <w:rPr>
          <w:rFonts w:ascii="Times" w:eastAsia="MS Mincho" w:hAnsi="Times"/>
          <w:b/>
          <w:iCs/>
          <w:lang w:val="en-US" w:eastAsia="ja-JP"/>
        </w:rPr>
        <w:t xml:space="preserve">it is recommended to study the suitable configurations for </w:t>
      </w:r>
      <w:r w:rsidR="007201D6">
        <w:rPr>
          <w:rFonts w:ascii="Times" w:eastAsia="MS Mincho" w:hAnsi="Times"/>
          <w:b/>
          <w:iCs/>
          <w:lang w:val="en-US" w:eastAsia="ja-JP"/>
        </w:rPr>
        <w:t xml:space="preserve">IFDMA and </w:t>
      </w:r>
      <w:r>
        <w:rPr>
          <w:rFonts w:ascii="Times" w:eastAsia="MS Mincho" w:hAnsi="Times"/>
          <w:b/>
          <w:iCs/>
          <w:lang w:val="en-US" w:eastAsia="ja-JP"/>
        </w:rPr>
        <w:t xml:space="preserve">Block-IFDMA. </w:t>
      </w:r>
    </w:p>
    <w:p w14:paraId="0149B5FE" w14:textId="77777777" w:rsidR="002734C6" w:rsidRPr="002734C6" w:rsidRDefault="002734C6" w:rsidP="002734C6">
      <w:pPr>
        <w:rPr>
          <w:color w:val="000000"/>
          <w:sz w:val="22"/>
          <w:szCs w:val="22"/>
          <w:lang w:val="en-US"/>
        </w:rPr>
      </w:pPr>
      <w:r w:rsidRPr="002734C6">
        <w:rPr>
          <w:color w:val="000000"/>
          <w:sz w:val="22"/>
          <w:szCs w:val="22"/>
          <w:lang w:val="en-US"/>
        </w:rPr>
        <w:t xml:space="preserve">The </w:t>
      </w:r>
      <w:r w:rsidR="00C40CEF">
        <w:rPr>
          <w:color w:val="000000"/>
          <w:sz w:val="22"/>
          <w:szCs w:val="22"/>
          <w:lang w:val="en-US"/>
        </w:rPr>
        <w:t xml:space="preserve">above multi-cluster </w:t>
      </w:r>
      <w:r w:rsidRPr="002734C6">
        <w:rPr>
          <w:color w:val="000000"/>
          <w:sz w:val="22"/>
          <w:szCs w:val="22"/>
          <w:lang w:val="en-US"/>
        </w:rPr>
        <w:t xml:space="preserve">simulation </w:t>
      </w:r>
      <w:r w:rsidR="00C40CEF">
        <w:rPr>
          <w:color w:val="000000"/>
          <w:sz w:val="22"/>
          <w:szCs w:val="22"/>
          <w:lang w:val="en-US"/>
        </w:rPr>
        <w:t xml:space="preserve">is done </w:t>
      </w:r>
      <w:r w:rsidRPr="002734C6">
        <w:rPr>
          <w:color w:val="000000"/>
          <w:sz w:val="22"/>
          <w:szCs w:val="22"/>
          <w:lang w:val="en-US"/>
        </w:rPr>
        <w:t xml:space="preserve">together with </w:t>
      </w:r>
      <w:r w:rsidR="00C40CEF" w:rsidRPr="002734C6">
        <w:rPr>
          <w:color w:val="000000"/>
          <w:sz w:val="22"/>
          <w:szCs w:val="22"/>
          <w:lang w:val="en-US"/>
        </w:rPr>
        <w:t>multi</w:t>
      </w:r>
      <w:r w:rsidR="00C40CEF">
        <w:rPr>
          <w:color w:val="000000"/>
          <w:sz w:val="22"/>
          <w:szCs w:val="22"/>
          <w:lang w:val="en-US"/>
        </w:rPr>
        <w:t>-</w:t>
      </w:r>
      <w:r w:rsidRPr="002734C6">
        <w:rPr>
          <w:color w:val="000000"/>
          <w:sz w:val="22"/>
          <w:szCs w:val="22"/>
          <w:lang w:val="en-US"/>
        </w:rPr>
        <w:t>carrier</w:t>
      </w:r>
      <w:r w:rsidR="00411BDC">
        <w:rPr>
          <w:color w:val="000000"/>
          <w:sz w:val="22"/>
          <w:szCs w:val="22"/>
          <w:lang w:val="en-US"/>
        </w:rPr>
        <w:t xml:space="preserve"> below</w:t>
      </w:r>
      <w:r w:rsidR="00C40CEF">
        <w:rPr>
          <w:color w:val="000000"/>
          <w:sz w:val="22"/>
          <w:szCs w:val="22"/>
          <w:lang w:val="en-US"/>
        </w:rPr>
        <w:t xml:space="preserve"> </w:t>
      </w:r>
      <w:r w:rsidRPr="002734C6">
        <w:rPr>
          <w:color w:val="000000"/>
          <w:sz w:val="22"/>
          <w:szCs w:val="22"/>
          <w:lang w:val="en-US"/>
        </w:rPr>
        <w:t xml:space="preserve">and results are shown in </w:t>
      </w:r>
      <w:r w:rsidRPr="002734C6">
        <w:rPr>
          <w:color w:val="000000"/>
          <w:sz w:val="22"/>
          <w:szCs w:val="22"/>
          <w:lang w:val="en-US"/>
        </w:rPr>
        <w:fldChar w:fldCharType="begin"/>
      </w:r>
      <w:r w:rsidRPr="002734C6">
        <w:rPr>
          <w:color w:val="000000"/>
          <w:sz w:val="22"/>
          <w:szCs w:val="22"/>
          <w:lang w:val="en-US"/>
        </w:rPr>
        <w:instrText xml:space="preserve"> REF _Ref441596322 \h </w:instrText>
      </w:r>
      <w:r>
        <w:rPr>
          <w:color w:val="000000"/>
          <w:sz w:val="22"/>
          <w:szCs w:val="22"/>
          <w:lang w:val="en-US"/>
        </w:rPr>
        <w:instrText xml:space="preserve"> \* MERGEFORMAT </w:instrText>
      </w:r>
      <w:r w:rsidRPr="002734C6">
        <w:rPr>
          <w:color w:val="000000"/>
          <w:sz w:val="22"/>
          <w:szCs w:val="22"/>
          <w:lang w:val="en-US"/>
        </w:rPr>
      </w:r>
      <w:r w:rsidRPr="002734C6">
        <w:rPr>
          <w:color w:val="000000"/>
          <w:sz w:val="22"/>
          <w:szCs w:val="22"/>
          <w:lang w:val="en-US"/>
        </w:rPr>
        <w:fldChar w:fldCharType="separate"/>
      </w:r>
      <w:r w:rsidR="00855FEC" w:rsidRPr="00855FEC">
        <w:rPr>
          <w:color w:val="000000"/>
          <w:sz w:val="22"/>
          <w:szCs w:val="22"/>
          <w:lang w:val="en-US"/>
        </w:rPr>
        <w:t>Figure 6</w:t>
      </w:r>
      <w:r w:rsidRPr="002734C6">
        <w:rPr>
          <w:color w:val="000000"/>
          <w:sz w:val="22"/>
          <w:szCs w:val="22"/>
          <w:lang w:val="en-US"/>
        </w:rPr>
        <w:fldChar w:fldCharType="end"/>
      </w:r>
      <w:r w:rsidR="00D77964">
        <w:rPr>
          <w:color w:val="000000"/>
          <w:sz w:val="22"/>
          <w:szCs w:val="22"/>
          <w:lang w:val="en-US"/>
        </w:rPr>
        <w:t xml:space="preserve">. It can be observed that CM is more dominated by the number of aggregated carriers, for instance, when the number of clusters is increased from 1 to 10 for a single carrier, the CM value is increased by 1.05 dB while when the number of carriers is increased from 1 to 8 for a single cluster, the CM value is increased by 2.44 </w:t>
      </w:r>
      <w:proofErr w:type="spellStart"/>
      <w:r w:rsidR="00D77964">
        <w:rPr>
          <w:color w:val="000000"/>
          <w:sz w:val="22"/>
          <w:szCs w:val="22"/>
          <w:lang w:val="en-US"/>
        </w:rPr>
        <w:t>dB.</w:t>
      </w:r>
      <w:proofErr w:type="spellEnd"/>
      <w:r w:rsidR="00D77964">
        <w:rPr>
          <w:color w:val="000000"/>
          <w:sz w:val="22"/>
          <w:szCs w:val="22"/>
          <w:lang w:val="en-US"/>
        </w:rPr>
        <w:t xml:space="preserve"> </w:t>
      </w:r>
    </w:p>
    <w:p w14:paraId="03D77FC5" w14:textId="77777777" w:rsidR="002734C6" w:rsidRDefault="00EE5F66" w:rsidP="002734C6">
      <w:pPr>
        <w:keepNext/>
        <w:jc w:val="center"/>
      </w:pPr>
      <w:r>
        <w:rPr>
          <w:noProof/>
          <w:color w:val="000000"/>
          <w:sz w:val="22"/>
          <w:szCs w:val="22"/>
          <w:lang w:val="en-US"/>
        </w:rPr>
        <w:drawing>
          <wp:inline distT="0" distB="0" distL="0" distR="0" wp14:anchorId="738C85CC" wp14:editId="70F5D8AB">
            <wp:extent cx="2825750" cy="20778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7216" cy="2078905"/>
                    </a:xfrm>
                    <a:prstGeom prst="rect">
                      <a:avLst/>
                    </a:prstGeom>
                    <a:noFill/>
                  </pic:spPr>
                </pic:pic>
              </a:graphicData>
            </a:graphic>
          </wp:inline>
        </w:drawing>
      </w:r>
    </w:p>
    <w:p w14:paraId="7D4D6405" w14:textId="77777777" w:rsidR="00EE5F66" w:rsidRPr="002734C6" w:rsidRDefault="002734C6" w:rsidP="002734C6">
      <w:pPr>
        <w:pStyle w:val="Caption"/>
        <w:jc w:val="center"/>
        <w:rPr>
          <w:color w:val="000000"/>
          <w:sz w:val="22"/>
          <w:szCs w:val="22"/>
          <w:lang w:val="en-US"/>
        </w:rPr>
      </w:pPr>
      <w:bookmarkStart w:id="7" w:name="_Ref441596322"/>
      <w:r>
        <w:t xml:space="preserve">Figure </w:t>
      </w:r>
      <w:r w:rsidR="00E658A2">
        <w:fldChar w:fldCharType="begin"/>
      </w:r>
      <w:r w:rsidR="00E658A2">
        <w:instrText xml:space="preserve"> SEQ Figure \* ARABIC </w:instrText>
      </w:r>
      <w:r w:rsidR="00E658A2">
        <w:fldChar w:fldCharType="separate"/>
      </w:r>
      <w:r w:rsidR="00855FEC">
        <w:rPr>
          <w:noProof/>
        </w:rPr>
        <w:t>6</w:t>
      </w:r>
      <w:r w:rsidR="00E658A2">
        <w:rPr>
          <w:noProof/>
        </w:rPr>
        <w:fldChar w:fldCharType="end"/>
      </w:r>
      <w:bookmarkEnd w:id="7"/>
      <w:r>
        <w:rPr>
          <w:lang w:val="en-US"/>
        </w:rPr>
        <w:t xml:space="preserve"> Simulation Results with Multiple Carriers</w:t>
      </w:r>
    </w:p>
    <w:p w14:paraId="1D031165" w14:textId="77777777" w:rsidR="00EE5F66" w:rsidRPr="00164FE6" w:rsidRDefault="00A51172" w:rsidP="00164FE6">
      <w:pPr>
        <w:rPr>
          <w:color w:val="000000"/>
          <w:sz w:val="22"/>
          <w:szCs w:val="22"/>
          <w:lang w:val="en-US"/>
        </w:rPr>
      </w:pPr>
      <w:r>
        <w:rPr>
          <w:color w:val="000000"/>
          <w:sz w:val="22"/>
          <w:szCs w:val="22"/>
          <w:lang w:val="en-US"/>
        </w:rPr>
        <w:t xml:space="preserve">As discussed in </w:t>
      </w:r>
      <w:r w:rsidR="001F53DD">
        <w:rPr>
          <w:color w:val="000000"/>
          <w:sz w:val="22"/>
          <w:szCs w:val="22"/>
          <w:lang w:val="en-US"/>
        </w:rPr>
        <w:fldChar w:fldCharType="begin"/>
      </w:r>
      <w:r w:rsidR="001F53DD">
        <w:rPr>
          <w:color w:val="000000"/>
          <w:sz w:val="22"/>
          <w:szCs w:val="22"/>
          <w:lang w:val="en-US"/>
        </w:rPr>
        <w:instrText xml:space="preserve"> REF _Ref441741771 \n \h </w:instrText>
      </w:r>
      <w:r w:rsidR="001F53DD">
        <w:rPr>
          <w:color w:val="000000"/>
          <w:sz w:val="22"/>
          <w:szCs w:val="22"/>
          <w:lang w:val="en-US"/>
        </w:rPr>
      </w:r>
      <w:r w:rsidR="001F53DD">
        <w:rPr>
          <w:color w:val="000000"/>
          <w:sz w:val="22"/>
          <w:szCs w:val="22"/>
          <w:lang w:val="en-US"/>
        </w:rPr>
        <w:fldChar w:fldCharType="separate"/>
      </w:r>
      <w:r w:rsidR="00855FEC">
        <w:rPr>
          <w:color w:val="000000"/>
          <w:sz w:val="22"/>
          <w:szCs w:val="22"/>
          <w:lang w:val="en-US"/>
        </w:rPr>
        <w:t>[7]</w:t>
      </w:r>
      <w:r w:rsidR="001F53DD">
        <w:rPr>
          <w:color w:val="000000"/>
          <w:sz w:val="22"/>
          <w:szCs w:val="22"/>
          <w:lang w:val="en-US"/>
        </w:rPr>
        <w:fldChar w:fldCharType="end"/>
      </w:r>
      <w:r>
        <w:rPr>
          <w:color w:val="000000"/>
          <w:sz w:val="22"/>
          <w:szCs w:val="22"/>
          <w:lang w:val="en-US"/>
        </w:rPr>
        <w:t xml:space="preserve">, the increased CM value from Block-IFDMA is marginal when multi-carrier is used simultaneously. </w:t>
      </w:r>
    </w:p>
    <w:p w14:paraId="19BF0C29" w14:textId="77777777" w:rsidR="0034111C" w:rsidRDefault="00F23013">
      <w:pPr>
        <w:pStyle w:val="Heading1"/>
        <w:rPr>
          <w:color w:val="000000"/>
        </w:rPr>
      </w:pPr>
      <w:r>
        <w:rPr>
          <w:color w:val="000000"/>
        </w:rPr>
        <w:lastRenderedPageBreak/>
        <w:t>3</w:t>
      </w:r>
      <w:r w:rsidR="0034111C" w:rsidRPr="00B85522">
        <w:rPr>
          <w:color w:val="000000"/>
        </w:rPr>
        <w:tab/>
      </w:r>
      <w:r w:rsidR="00EE7FA7" w:rsidRPr="00B85522">
        <w:rPr>
          <w:color w:val="000000"/>
        </w:rPr>
        <w:t>Conclusion</w:t>
      </w:r>
    </w:p>
    <w:p w14:paraId="773B6B83" w14:textId="32F133C9" w:rsidR="00484D21" w:rsidRPr="0092599B" w:rsidRDefault="00A51172" w:rsidP="0092599B">
      <w:pPr>
        <w:rPr>
          <w:color w:val="000000"/>
          <w:sz w:val="22"/>
          <w:szCs w:val="22"/>
          <w:lang w:val="en-US"/>
        </w:rPr>
      </w:pPr>
      <w:r>
        <w:rPr>
          <w:color w:val="000000"/>
          <w:sz w:val="22"/>
          <w:szCs w:val="22"/>
          <w:lang w:val="en-US"/>
        </w:rPr>
        <w:t xml:space="preserve">In this contribution we have discussed the </w:t>
      </w:r>
      <w:r w:rsidR="006E1158">
        <w:t>Region 1 / Europe</w:t>
      </w:r>
      <w:r>
        <w:rPr>
          <w:color w:val="000000"/>
          <w:sz w:val="22"/>
          <w:szCs w:val="22"/>
          <w:lang w:val="en-US"/>
        </w:rPr>
        <w:t xml:space="preserve"> regulations and the corresponding impact</w:t>
      </w:r>
      <w:r w:rsidR="00484D21">
        <w:rPr>
          <w:color w:val="000000"/>
          <w:sz w:val="22"/>
          <w:szCs w:val="22"/>
          <w:lang w:val="en-US"/>
        </w:rPr>
        <w:t>s</w:t>
      </w:r>
      <w:r>
        <w:rPr>
          <w:color w:val="000000"/>
          <w:sz w:val="22"/>
          <w:szCs w:val="22"/>
          <w:lang w:val="en-US"/>
        </w:rPr>
        <w:t xml:space="preserve"> on </w:t>
      </w:r>
      <w:r w:rsidR="00484D21">
        <w:rPr>
          <w:color w:val="000000"/>
          <w:sz w:val="22"/>
          <w:szCs w:val="22"/>
          <w:lang w:val="en-US"/>
        </w:rPr>
        <w:t>UL waveform design</w:t>
      </w:r>
      <w:r w:rsidR="000078DC">
        <w:rPr>
          <w:color w:val="000000"/>
          <w:sz w:val="22"/>
          <w:szCs w:val="22"/>
          <w:lang w:val="en-US"/>
        </w:rPr>
        <w:t xml:space="preserve">. </w:t>
      </w:r>
      <w:r w:rsidR="00164FE6">
        <w:rPr>
          <w:color w:val="000000"/>
          <w:sz w:val="22"/>
          <w:szCs w:val="22"/>
          <w:lang w:val="en-US"/>
        </w:rPr>
        <w:t xml:space="preserve"> </w:t>
      </w:r>
      <w:r w:rsidR="00921EF0" w:rsidRPr="00F70FA2">
        <w:rPr>
          <w:color w:val="000000"/>
          <w:sz w:val="22"/>
          <w:szCs w:val="22"/>
          <w:lang w:val="en-US"/>
        </w:rPr>
        <w:t>Based on our analysis and simulations</w:t>
      </w:r>
      <w:r w:rsidR="00164FE6">
        <w:rPr>
          <w:color w:val="000000"/>
          <w:sz w:val="22"/>
          <w:szCs w:val="22"/>
          <w:lang w:val="en-US"/>
        </w:rPr>
        <w:t>,</w:t>
      </w:r>
      <w:r w:rsidR="00921EF0" w:rsidRPr="00F70FA2">
        <w:rPr>
          <w:color w:val="000000"/>
          <w:sz w:val="22"/>
          <w:szCs w:val="22"/>
          <w:lang w:val="en-US"/>
        </w:rPr>
        <w:t xml:space="preserve"> we </w:t>
      </w:r>
      <w:r w:rsidR="00484D21" w:rsidRPr="00484D21">
        <w:rPr>
          <w:color w:val="000000"/>
          <w:sz w:val="22"/>
          <w:szCs w:val="22"/>
          <w:lang w:val="en-US"/>
        </w:rPr>
        <w:t xml:space="preserve">make the following </w:t>
      </w:r>
      <w:r w:rsidR="003845DF">
        <w:rPr>
          <w:color w:val="000000"/>
          <w:sz w:val="22"/>
          <w:szCs w:val="22"/>
          <w:lang w:val="en-US"/>
        </w:rPr>
        <w:t>to be discussed by RAN1</w:t>
      </w:r>
      <w:r w:rsidR="00921EF0" w:rsidRPr="00F70FA2">
        <w:rPr>
          <w:color w:val="000000"/>
          <w:sz w:val="22"/>
          <w:szCs w:val="22"/>
          <w:lang w:val="en-US"/>
        </w:rPr>
        <w:t>:</w:t>
      </w:r>
    </w:p>
    <w:p w14:paraId="1DD12616" w14:textId="77777777" w:rsidR="00EA4962" w:rsidRDefault="00EA4962" w:rsidP="00EA4962">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Proposal</w:t>
      </w:r>
      <w:r w:rsidRPr="00486DD9">
        <w:rPr>
          <w:rFonts w:ascii="Times" w:eastAsia="MS Mincho" w:hAnsi="Times"/>
          <w:b/>
          <w:iCs/>
          <w:lang w:val="en-US" w:eastAsia="ja-JP"/>
        </w:rPr>
        <w:t xml:space="preserve"> 1: </w:t>
      </w:r>
      <w:r>
        <w:rPr>
          <w:rFonts w:ascii="Times" w:eastAsia="MS Mincho" w:hAnsi="Times"/>
          <w:b/>
          <w:iCs/>
          <w:lang w:val="en-US" w:eastAsia="ja-JP"/>
        </w:rPr>
        <w:t xml:space="preserve">in a period greater than 2.5 ms, the first and the last RBs / subcarriers allocated to one device must be separated by a gap big enough to help the device to pass the 80% channel occupation test. </w:t>
      </w:r>
    </w:p>
    <w:p w14:paraId="7BAED495" w14:textId="77777777" w:rsidR="00EA4962" w:rsidRDefault="00EA4962" w:rsidP="00EA4962">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Proposal</w:t>
      </w:r>
      <w:r w:rsidRPr="00486DD9">
        <w:rPr>
          <w:rFonts w:ascii="Times" w:eastAsia="MS Mincho" w:hAnsi="Times"/>
          <w:b/>
          <w:iCs/>
          <w:lang w:val="en-US" w:eastAsia="ja-JP"/>
        </w:rPr>
        <w:t xml:space="preserve"> </w:t>
      </w:r>
      <w:r>
        <w:rPr>
          <w:rFonts w:ascii="Times" w:eastAsia="MS Mincho" w:hAnsi="Times"/>
          <w:b/>
          <w:iCs/>
          <w:lang w:val="en-US" w:eastAsia="ja-JP"/>
        </w:rPr>
        <w:t>2</w:t>
      </w:r>
      <w:r w:rsidRPr="00486DD9">
        <w:rPr>
          <w:rFonts w:ascii="Times" w:eastAsia="MS Mincho" w:hAnsi="Times"/>
          <w:b/>
          <w:iCs/>
          <w:lang w:val="en-US" w:eastAsia="ja-JP"/>
        </w:rPr>
        <w:t xml:space="preserve">: </w:t>
      </w:r>
      <w:r>
        <w:rPr>
          <w:rFonts w:ascii="Times" w:eastAsia="MS Mincho" w:hAnsi="Times"/>
          <w:b/>
          <w:iCs/>
          <w:lang w:val="en-US" w:eastAsia="ja-JP"/>
        </w:rPr>
        <w:t xml:space="preserve">RBs and/or subcarriers may need to be mapped discontinuously in frequency domain to enable the UE to use a higher output power. </w:t>
      </w:r>
    </w:p>
    <w:p w14:paraId="7D1E59FA" w14:textId="77777777" w:rsidR="003845DF" w:rsidRDefault="003845DF" w:rsidP="00EA4962">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Observation</w:t>
      </w:r>
      <w:r w:rsidRPr="00486DD9">
        <w:rPr>
          <w:rFonts w:ascii="Times" w:eastAsia="MS Mincho" w:hAnsi="Times"/>
          <w:b/>
          <w:iCs/>
          <w:lang w:val="en-US" w:eastAsia="ja-JP"/>
        </w:rPr>
        <w:t xml:space="preserve"> </w:t>
      </w:r>
      <w:r>
        <w:rPr>
          <w:rFonts w:ascii="Times" w:eastAsia="MS Mincho" w:hAnsi="Times"/>
          <w:b/>
          <w:iCs/>
          <w:lang w:val="en-US" w:eastAsia="ja-JP"/>
        </w:rPr>
        <w:t>1</w:t>
      </w:r>
      <w:r w:rsidRPr="00486DD9">
        <w:rPr>
          <w:rFonts w:ascii="Times" w:eastAsia="MS Mincho" w:hAnsi="Times"/>
          <w:b/>
          <w:iCs/>
          <w:lang w:val="en-US" w:eastAsia="ja-JP"/>
        </w:rPr>
        <w:t xml:space="preserve">: </w:t>
      </w:r>
      <w:r>
        <w:rPr>
          <w:rFonts w:ascii="Times" w:eastAsia="MS Mincho" w:hAnsi="Times"/>
          <w:b/>
          <w:iCs/>
          <w:lang w:val="en-US" w:eastAsia="ja-JP"/>
        </w:rPr>
        <w:t xml:space="preserve">IFDMA with the </w:t>
      </w:r>
      <w:r w:rsidRPr="00931B23">
        <w:rPr>
          <w:rFonts w:ascii="Times" w:eastAsia="MS Mincho" w:hAnsi="Times"/>
          <w:b/>
          <w:iCs/>
          <w:lang w:val="en-US" w:eastAsia="ja-JP"/>
        </w:rPr>
        <w:t xml:space="preserve">low PAPR/CM property </w:t>
      </w:r>
      <w:r>
        <w:rPr>
          <w:rFonts w:ascii="Times" w:eastAsia="MS Mincho" w:hAnsi="Times"/>
          <w:b/>
          <w:iCs/>
          <w:lang w:val="en-US" w:eastAsia="ja-JP"/>
        </w:rPr>
        <w:t xml:space="preserve">of SC-FDMA is nearly unachievable with multiple UEs multiplexing and </w:t>
      </w:r>
      <w:r w:rsidRPr="002D3C66">
        <w:rPr>
          <w:rFonts w:ascii="Times" w:eastAsia="MS Mincho" w:hAnsi="Times"/>
          <w:b/>
          <w:iCs/>
          <w:lang w:val="en-US" w:eastAsia="ja-JP"/>
        </w:rPr>
        <w:t xml:space="preserve">varied </w:t>
      </w:r>
      <w:r>
        <w:rPr>
          <w:rFonts w:ascii="Times" w:eastAsia="MS Mincho" w:hAnsi="Times"/>
          <w:b/>
          <w:iCs/>
          <w:lang w:val="en-US" w:eastAsia="ja-JP"/>
        </w:rPr>
        <w:t xml:space="preserve">numbers of allocated RBs. </w:t>
      </w:r>
    </w:p>
    <w:p w14:paraId="106EC3C9" w14:textId="77777777" w:rsidR="003845DF" w:rsidRDefault="003845DF" w:rsidP="003845DF">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Observation</w:t>
      </w:r>
      <w:r w:rsidRPr="00486DD9">
        <w:rPr>
          <w:rFonts w:ascii="Times" w:eastAsia="MS Mincho" w:hAnsi="Times"/>
          <w:b/>
          <w:iCs/>
          <w:lang w:val="en-US" w:eastAsia="ja-JP"/>
        </w:rPr>
        <w:t xml:space="preserve"> </w:t>
      </w:r>
      <w:r>
        <w:rPr>
          <w:rFonts w:ascii="Times" w:eastAsia="MS Mincho" w:hAnsi="Times"/>
          <w:b/>
          <w:iCs/>
          <w:lang w:val="en-US" w:eastAsia="ja-JP"/>
        </w:rPr>
        <w:t>2</w:t>
      </w:r>
      <w:r w:rsidRPr="00486DD9">
        <w:rPr>
          <w:rFonts w:ascii="Times" w:eastAsia="MS Mincho" w:hAnsi="Times"/>
          <w:b/>
          <w:iCs/>
          <w:lang w:val="en-US" w:eastAsia="ja-JP"/>
        </w:rPr>
        <w:t xml:space="preserve">: </w:t>
      </w:r>
      <w:r>
        <w:rPr>
          <w:rFonts w:ascii="Times" w:eastAsia="MS Mincho" w:hAnsi="Times"/>
          <w:b/>
          <w:iCs/>
          <w:lang w:val="en-US" w:eastAsia="ja-JP"/>
        </w:rPr>
        <w:t xml:space="preserve">Block-IFDMA has a better link performance and less complicated RRM than IFDMA with the cost of increased PAPR/CM. </w:t>
      </w:r>
    </w:p>
    <w:p w14:paraId="0459A228" w14:textId="77777777" w:rsidR="00EA4962" w:rsidRPr="00A31991" w:rsidRDefault="00EA4962" w:rsidP="00EA4962">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Proposal</w:t>
      </w:r>
      <w:r w:rsidRPr="00486DD9">
        <w:rPr>
          <w:rFonts w:ascii="Times" w:eastAsia="MS Mincho" w:hAnsi="Times"/>
          <w:b/>
          <w:iCs/>
          <w:lang w:val="en-US" w:eastAsia="ja-JP"/>
        </w:rPr>
        <w:t xml:space="preserve"> </w:t>
      </w:r>
      <w:r>
        <w:rPr>
          <w:rFonts w:ascii="Times" w:eastAsia="MS Mincho" w:hAnsi="Times"/>
          <w:b/>
          <w:iCs/>
          <w:lang w:val="en-US" w:eastAsia="ja-JP"/>
        </w:rPr>
        <w:t>3</w:t>
      </w:r>
      <w:r w:rsidRPr="00486DD9">
        <w:rPr>
          <w:rFonts w:ascii="Times" w:eastAsia="MS Mincho" w:hAnsi="Times"/>
          <w:b/>
          <w:iCs/>
          <w:lang w:val="en-US" w:eastAsia="ja-JP"/>
        </w:rPr>
        <w:t xml:space="preserve">: </w:t>
      </w:r>
      <w:r>
        <w:rPr>
          <w:rFonts w:ascii="Times" w:eastAsia="MS Mincho" w:hAnsi="Times"/>
          <w:b/>
          <w:iCs/>
          <w:lang w:val="en-US" w:eastAsia="ja-JP"/>
        </w:rPr>
        <w:t xml:space="preserve">A certain number of RBs can be allocated for subcarrier mapping to support IFDMA while all others RBs can be used in the existing way to support Block-IFDMA. </w:t>
      </w:r>
    </w:p>
    <w:p w14:paraId="7DAE8B7B" w14:textId="4A594A7F" w:rsidR="00EA4962" w:rsidRPr="00D05125" w:rsidRDefault="00EA4962" w:rsidP="00EA4962">
      <w:pPr>
        <w:pStyle w:val="LGTdoc"/>
        <w:spacing w:afterLines="100" w:after="240" w:line="240" w:lineRule="auto"/>
        <w:rPr>
          <w:rFonts w:ascii="Times" w:eastAsia="MS Mincho" w:hAnsi="Times"/>
          <w:b/>
          <w:iCs/>
          <w:lang w:val="en-US" w:eastAsia="ja-JP"/>
        </w:rPr>
      </w:pPr>
      <w:r>
        <w:rPr>
          <w:rFonts w:ascii="Times" w:eastAsia="MS Mincho" w:hAnsi="Times"/>
          <w:b/>
          <w:iCs/>
          <w:lang w:val="en-US" w:eastAsia="ja-JP"/>
        </w:rPr>
        <w:t>Proposal</w:t>
      </w:r>
      <w:r w:rsidRPr="00486DD9">
        <w:rPr>
          <w:rFonts w:ascii="Times" w:eastAsia="MS Mincho" w:hAnsi="Times"/>
          <w:b/>
          <w:iCs/>
          <w:lang w:val="en-US" w:eastAsia="ja-JP"/>
        </w:rPr>
        <w:t xml:space="preserve"> </w:t>
      </w:r>
      <w:r>
        <w:rPr>
          <w:rFonts w:ascii="Times" w:eastAsia="MS Mincho" w:hAnsi="Times"/>
          <w:b/>
          <w:iCs/>
          <w:lang w:val="en-US" w:eastAsia="ja-JP"/>
        </w:rPr>
        <w:t>4</w:t>
      </w:r>
      <w:r w:rsidRPr="00486DD9">
        <w:rPr>
          <w:rFonts w:ascii="Times" w:eastAsia="MS Mincho" w:hAnsi="Times"/>
          <w:b/>
          <w:iCs/>
          <w:lang w:val="en-US" w:eastAsia="ja-JP"/>
        </w:rPr>
        <w:t xml:space="preserve">: </w:t>
      </w:r>
      <w:r>
        <w:rPr>
          <w:rFonts w:ascii="Times" w:eastAsia="MS Mincho" w:hAnsi="Times"/>
          <w:b/>
          <w:iCs/>
          <w:lang w:val="en-US" w:eastAsia="ja-JP"/>
        </w:rPr>
        <w:t xml:space="preserve">it is recommended to study the suitable configurations for IFDMA and Block-IFDMA. </w:t>
      </w:r>
    </w:p>
    <w:p w14:paraId="2C29DB4E" w14:textId="77777777" w:rsidR="00D77964" w:rsidRDefault="00D77964">
      <w:pPr>
        <w:overflowPunct/>
        <w:autoSpaceDE/>
        <w:autoSpaceDN/>
        <w:adjustRightInd/>
        <w:spacing w:after="0"/>
        <w:textAlignment w:val="auto"/>
        <w:rPr>
          <w:rFonts w:ascii="Arial" w:hAnsi="Arial"/>
          <w:sz w:val="36"/>
        </w:rPr>
      </w:pPr>
      <w:r>
        <w:br w:type="page"/>
      </w:r>
    </w:p>
    <w:p w14:paraId="5CCF0F48" w14:textId="77777777" w:rsidR="0034111C" w:rsidRDefault="0034111C">
      <w:pPr>
        <w:pStyle w:val="Heading1"/>
      </w:pPr>
      <w:r w:rsidRPr="00C72E18">
        <w:lastRenderedPageBreak/>
        <w:t>References</w:t>
      </w:r>
      <w:r w:rsidR="00A2459D" w:rsidRPr="00C72E18">
        <w:t xml:space="preserve"> </w:t>
      </w:r>
    </w:p>
    <w:p w14:paraId="5401F9F7" w14:textId="1DF3F1B3" w:rsidR="00855FEC" w:rsidRPr="00855FEC" w:rsidRDefault="00855FEC" w:rsidP="00855FEC">
      <w:pPr>
        <w:pStyle w:val="BodyText"/>
        <w:numPr>
          <w:ilvl w:val="0"/>
          <w:numId w:val="1"/>
        </w:numPr>
        <w:rPr>
          <w:sz w:val="18"/>
          <w:lang w:val="en-US"/>
        </w:rPr>
      </w:pPr>
      <w:bookmarkStart w:id="8" w:name="_Ref441007864"/>
      <w:r w:rsidRPr="00B94FD3">
        <w:rPr>
          <w:sz w:val="18"/>
          <w:lang w:val="en-US"/>
        </w:rPr>
        <w:t>RP-1522</w:t>
      </w:r>
      <w:r>
        <w:rPr>
          <w:sz w:val="18"/>
          <w:lang w:val="en-US"/>
        </w:rPr>
        <w:t xml:space="preserve">72 - </w:t>
      </w:r>
      <w:r w:rsidRPr="006E6852">
        <w:rPr>
          <w:sz w:val="18"/>
          <w:lang w:val="en-US"/>
        </w:rPr>
        <w:t>New Work Item on enhanced LAA for LTE</w:t>
      </w:r>
      <w:bookmarkEnd w:id="8"/>
    </w:p>
    <w:p w14:paraId="0E8A3618" w14:textId="77777777" w:rsidR="00E8003C" w:rsidRPr="00E8003C" w:rsidRDefault="00E8003C" w:rsidP="00E8003C">
      <w:pPr>
        <w:pStyle w:val="BodyText"/>
        <w:numPr>
          <w:ilvl w:val="0"/>
          <w:numId w:val="1"/>
        </w:numPr>
      </w:pPr>
      <w:bookmarkStart w:id="9" w:name="_Ref442454056"/>
      <w:r>
        <w:t>3GPP TR 36.889 V13.0.0, “</w:t>
      </w:r>
      <w:r>
        <w:rPr>
          <w:rFonts w:eastAsia="MS Mincho"/>
        </w:rPr>
        <w:t>Study on Licensed-Assisted Access to Unlicensed Spectrum</w:t>
      </w:r>
      <w:r>
        <w:t>”</w:t>
      </w:r>
      <w:bookmarkEnd w:id="9"/>
    </w:p>
    <w:p w14:paraId="6749F0A3" w14:textId="77777777" w:rsidR="000307E1" w:rsidRDefault="00D02769" w:rsidP="00921EF0">
      <w:pPr>
        <w:pStyle w:val="BodyText"/>
        <w:numPr>
          <w:ilvl w:val="0"/>
          <w:numId w:val="1"/>
        </w:numPr>
        <w:rPr>
          <w:sz w:val="18"/>
          <w:lang w:val="en-US"/>
        </w:rPr>
      </w:pPr>
      <w:bookmarkStart w:id="10" w:name="_Ref441492590"/>
      <w:r>
        <w:rPr>
          <w:sz w:val="18"/>
          <w:lang w:val="en-US"/>
        </w:rPr>
        <w:t>ETSI EN301 893 V1.7.2, “</w:t>
      </w:r>
      <w:r w:rsidRPr="00D14350">
        <w:rPr>
          <w:sz w:val="18"/>
          <w:lang w:val="en-US"/>
        </w:rPr>
        <w:t>Broadband Radio Access Networks (BRAN); 5 GHz high performance RLAN; Harmonized EN covering the essential requirements of article 3.2 of the R&amp;TTE Directive</w:t>
      </w:r>
      <w:r>
        <w:rPr>
          <w:sz w:val="18"/>
          <w:lang w:val="en-US"/>
        </w:rPr>
        <w:t>”</w:t>
      </w:r>
      <w:bookmarkEnd w:id="10"/>
    </w:p>
    <w:p w14:paraId="1AA186B7" w14:textId="77777777" w:rsidR="00D02769" w:rsidRDefault="00D14350" w:rsidP="00921EF0">
      <w:pPr>
        <w:pStyle w:val="BodyText"/>
        <w:numPr>
          <w:ilvl w:val="0"/>
          <w:numId w:val="1"/>
        </w:numPr>
        <w:rPr>
          <w:sz w:val="18"/>
          <w:lang w:val="en-US"/>
        </w:rPr>
      </w:pPr>
      <w:bookmarkStart w:id="11" w:name="_Ref441496355"/>
      <w:r w:rsidRPr="00D14350">
        <w:rPr>
          <w:sz w:val="18"/>
          <w:lang w:val="en-US"/>
        </w:rPr>
        <w:t>R1-151841</w:t>
      </w:r>
      <w:r>
        <w:rPr>
          <w:sz w:val="18"/>
          <w:lang w:val="en-US"/>
        </w:rPr>
        <w:t>, “</w:t>
      </w:r>
      <w:r w:rsidRPr="00D14350">
        <w:rPr>
          <w:sz w:val="18"/>
          <w:lang w:val="en-US"/>
        </w:rPr>
        <w:t>On the PHY options for LAA UL operation</w:t>
      </w:r>
      <w:r>
        <w:rPr>
          <w:sz w:val="18"/>
          <w:lang w:val="en-US"/>
        </w:rPr>
        <w:t>”, Nokia networks, RAN1#80bis</w:t>
      </w:r>
      <w:bookmarkEnd w:id="11"/>
    </w:p>
    <w:p w14:paraId="41B9EABB" w14:textId="77777777" w:rsidR="00390B9C" w:rsidRDefault="00390B9C" w:rsidP="00921EF0">
      <w:pPr>
        <w:pStyle w:val="BodyText"/>
        <w:numPr>
          <w:ilvl w:val="0"/>
          <w:numId w:val="1"/>
        </w:numPr>
        <w:rPr>
          <w:sz w:val="18"/>
          <w:lang w:val="en-US"/>
        </w:rPr>
      </w:pPr>
      <w:bookmarkStart w:id="12" w:name="_Ref441674948"/>
      <w:r>
        <w:rPr>
          <w:sz w:val="18"/>
          <w:lang w:val="en-US"/>
        </w:rPr>
        <w:t>R1-151407, “</w:t>
      </w:r>
      <w:r w:rsidRPr="00390B9C">
        <w:rPr>
          <w:sz w:val="18"/>
          <w:lang w:val="en-US"/>
        </w:rPr>
        <w:t>Uplink Waveform for LAA</w:t>
      </w:r>
      <w:r>
        <w:rPr>
          <w:sz w:val="18"/>
          <w:lang w:val="en-US"/>
        </w:rPr>
        <w:t>”, Qualcomm Incorporated, RAN1#80bis</w:t>
      </w:r>
      <w:bookmarkEnd w:id="12"/>
    </w:p>
    <w:p w14:paraId="146ED005" w14:textId="77777777" w:rsidR="001F53DD" w:rsidRDefault="001F53DD" w:rsidP="001F53DD">
      <w:pPr>
        <w:pStyle w:val="BodyText"/>
        <w:numPr>
          <w:ilvl w:val="0"/>
          <w:numId w:val="1"/>
        </w:numPr>
        <w:rPr>
          <w:sz w:val="18"/>
          <w:lang w:val="en-US"/>
        </w:rPr>
      </w:pPr>
      <w:bookmarkStart w:id="13" w:name="_Ref441741784"/>
      <w:bookmarkStart w:id="14" w:name="_Ref441597014"/>
      <w:r>
        <w:rPr>
          <w:sz w:val="18"/>
          <w:lang w:val="en-US"/>
        </w:rPr>
        <w:t>R1-157397, “</w:t>
      </w:r>
      <w:r w:rsidRPr="00077DA4">
        <w:rPr>
          <w:sz w:val="18"/>
          <w:lang w:val="en-US"/>
        </w:rPr>
        <w:t>NB-</w:t>
      </w:r>
      <w:proofErr w:type="spellStart"/>
      <w:r w:rsidRPr="00077DA4">
        <w:rPr>
          <w:sz w:val="18"/>
          <w:lang w:val="en-US"/>
        </w:rPr>
        <w:t>IoT</w:t>
      </w:r>
      <w:proofErr w:type="spellEnd"/>
      <w:r w:rsidRPr="00077DA4">
        <w:rPr>
          <w:sz w:val="18"/>
          <w:lang w:val="en-US"/>
        </w:rPr>
        <w:t xml:space="preserve"> – SC-FDMA UL spectrum characteristics, PAPR, and relative cubic metric</w:t>
      </w:r>
      <w:r>
        <w:rPr>
          <w:sz w:val="18"/>
          <w:lang w:val="en-US"/>
        </w:rPr>
        <w:t>”, Ericsson, RAN1#83</w:t>
      </w:r>
      <w:bookmarkEnd w:id="13"/>
    </w:p>
    <w:p w14:paraId="7A2EF940" w14:textId="77777777" w:rsidR="00077DA4" w:rsidRPr="00411BDC" w:rsidRDefault="0086342A" w:rsidP="00411BDC">
      <w:pPr>
        <w:pStyle w:val="BodyText"/>
        <w:numPr>
          <w:ilvl w:val="0"/>
          <w:numId w:val="1"/>
        </w:numPr>
        <w:rPr>
          <w:sz w:val="18"/>
          <w:lang w:val="en-US"/>
        </w:rPr>
      </w:pPr>
      <w:bookmarkStart w:id="15" w:name="_Ref441741771"/>
      <w:r w:rsidRPr="00411BDC">
        <w:rPr>
          <w:sz w:val="18"/>
          <w:lang w:val="en-US"/>
        </w:rPr>
        <w:t>R1-152815, “On UL multiplexing in the LAA scenario”, Nokia networks, RAN1#81</w:t>
      </w:r>
      <w:bookmarkEnd w:id="14"/>
      <w:bookmarkEnd w:id="15"/>
    </w:p>
    <w:sectPr w:rsidR="00077DA4" w:rsidRPr="00411BDC" w:rsidSect="000131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3A3BC" w15:done="0"/>
  <w15:commentEx w15:paraId="0D28F2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BCE09" w14:textId="77777777" w:rsidR="009B3AE9" w:rsidRDefault="009B3AE9">
      <w:r>
        <w:separator/>
      </w:r>
    </w:p>
  </w:endnote>
  <w:endnote w:type="continuationSeparator" w:id="0">
    <w:p w14:paraId="268A6E17" w14:textId="77777777" w:rsidR="009B3AE9" w:rsidRDefault="009B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76AA1" w14:textId="77777777" w:rsidR="009B3AE9" w:rsidRDefault="009B3AE9">
      <w:r>
        <w:separator/>
      </w:r>
    </w:p>
  </w:footnote>
  <w:footnote w:type="continuationSeparator" w:id="0">
    <w:p w14:paraId="604119F3" w14:textId="77777777" w:rsidR="009B3AE9" w:rsidRDefault="009B3A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65D9"/>
    <w:multiLevelType w:val="hybridMultilevel"/>
    <w:tmpl w:val="C3BA4F2C"/>
    <w:lvl w:ilvl="0" w:tplc="B93CA4EE">
      <w:start w:val="2"/>
      <w:numFmt w:val="bullet"/>
      <w:lvlText w:val="-"/>
      <w:lvlJc w:val="left"/>
      <w:pPr>
        <w:ind w:left="720" w:hanging="360"/>
      </w:pPr>
      <w:rPr>
        <w:rFonts w:ascii="Times New Roman" w:eastAsia="MS Mincho"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A46571"/>
    <w:multiLevelType w:val="hybridMultilevel"/>
    <w:tmpl w:val="F6909CD2"/>
    <w:lvl w:ilvl="0" w:tplc="E8B2868C">
      <w:start w:val="1"/>
      <w:numFmt w:val="bullet"/>
      <w:lvlText w:val="-"/>
      <w:lvlJc w:val="left"/>
      <w:pPr>
        <w:ind w:left="720" w:hanging="360"/>
      </w:pPr>
      <w:rPr>
        <w:rFonts w:ascii="Arial Narrow" w:eastAsia="KaiTi_GB2312" w:hAnsi="Arial Narrow"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575784"/>
    <w:multiLevelType w:val="hybridMultilevel"/>
    <w:tmpl w:val="54B6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506327"/>
    <w:multiLevelType w:val="hybridMultilevel"/>
    <w:tmpl w:val="2E8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9D39EC"/>
    <w:multiLevelType w:val="hybridMultilevel"/>
    <w:tmpl w:val="9D4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BD0620"/>
    <w:multiLevelType w:val="hybridMultilevel"/>
    <w:tmpl w:val="E29C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CD2CC1"/>
    <w:multiLevelType w:val="hybridMultilevel"/>
    <w:tmpl w:val="342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8FB2EE2"/>
    <w:multiLevelType w:val="hybridMultilevel"/>
    <w:tmpl w:val="FA3C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B86657"/>
    <w:multiLevelType w:val="hybridMultilevel"/>
    <w:tmpl w:val="F37A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13">
    <w:nsid w:val="4A0B5D86"/>
    <w:multiLevelType w:val="hybridMultilevel"/>
    <w:tmpl w:val="9EEC6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22543E"/>
    <w:multiLevelType w:val="hybridMultilevel"/>
    <w:tmpl w:val="4A843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A261B7"/>
    <w:multiLevelType w:val="hybridMultilevel"/>
    <w:tmpl w:val="C722FFEA"/>
    <w:lvl w:ilvl="0" w:tplc="38C09078">
      <w:start w:val="1"/>
      <w:numFmt w:val="bullet"/>
      <w:lvlText w:val="•"/>
      <w:lvlJc w:val="left"/>
      <w:pPr>
        <w:tabs>
          <w:tab w:val="num" w:pos="720"/>
        </w:tabs>
        <w:ind w:left="720" w:hanging="360"/>
      </w:pPr>
      <w:rPr>
        <w:rFonts w:ascii="Arial" w:hAnsi="Arial" w:hint="default"/>
      </w:rPr>
    </w:lvl>
    <w:lvl w:ilvl="1" w:tplc="C540B262">
      <w:start w:val="850"/>
      <w:numFmt w:val="bullet"/>
      <w:lvlText w:val="–"/>
      <w:lvlJc w:val="left"/>
      <w:pPr>
        <w:tabs>
          <w:tab w:val="num" w:pos="1440"/>
        </w:tabs>
        <w:ind w:left="1440" w:hanging="360"/>
      </w:pPr>
      <w:rPr>
        <w:rFonts w:ascii="Arial" w:hAnsi="Arial" w:hint="default"/>
      </w:rPr>
    </w:lvl>
    <w:lvl w:ilvl="2" w:tplc="0F8258A8" w:tentative="1">
      <w:start w:val="1"/>
      <w:numFmt w:val="bullet"/>
      <w:lvlText w:val="•"/>
      <w:lvlJc w:val="left"/>
      <w:pPr>
        <w:tabs>
          <w:tab w:val="num" w:pos="2160"/>
        </w:tabs>
        <w:ind w:left="2160" w:hanging="360"/>
      </w:pPr>
      <w:rPr>
        <w:rFonts w:ascii="Arial" w:hAnsi="Arial" w:hint="default"/>
      </w:rPr>
    </w:lvl>
    <w:lvl w:ilvl="3" w:tplc="BB460128" w:tentative="1">
      <w:start w:val="1"/>
      <w:numFmt w:val="bullet"/>
      <w:lvlText w:val="•"/>
      <w:lvlJc w:val="left"/>
      <w:pPr>
        <w:tabs>
          <w:tab w:val="num" w:pos="2880"/>
        </w:tabs>
        <w:ind w:left="2880" w:hanging="360"/>
      </w:pPr>
      <w:rPr>
        <w:rFonts w:ascii="Arial" w:hAnsi="Arial" w:hint="default"/>
      </w:rPr>
    </w:lvl>
    <w:lvl w:ilvl="4" w:tplc="B8D2BE14" w:tentative="1">
      <w:start w:val="1"/>
      <w:numFmt w:val="bullet"/>
      <w:lvlText w:val="•"/>
      <w:lvlJc w:val="left"/>
      <w:pPr>
        <w:tabs>
          <w:tab w:val="num" w:pos="3600"/>
        </w:tabs>
        <w:ind w:left="3600" w:hanging="360"/>
      </w:pPr>
      <w:rPr>
        <w:rFonts w:ascii="Arial" w:hAnsi="Arial" w:hint="default"/>
      </w:rPr>
    </w:lvl>
    <w:lvl w:ilvl="5" w:tplc="B9601532" w:tentative="1">
      <w:start w:val="1"/>
      <w:numFmt w:val="bullet"/>
      <w:lvlText w:val="•"/>
      <w:lvlJc w:val="left"/>
      <w:pPr>
        <w:tabs>
          <w:tab w:val="num" w:pos="4320"/>
        </w:tabs>
        <w:ind w:left="4320" w:hanging="360"/>
      </w:pPr>
      <w:rPr>
        <w:rFonts w:ascii="Arial" w:hAnsi="Arial" w:hint="default"/>
      </w:rPr>
    </w:lvl>
    <w:lvl w:ilvl="6" w:tplc="9CC82414" w:tentative="1">
      <w:start w:val="1"/>
      <w:numFmt w:val="bullet"/>
      <w:lvlText w:val="•"/>
      <w:lvlJc w:val="left"/>
      <w:pPr>
        <w:tabs>
          <w:tab w:val="num" w:pos="5040"/>
        </w:tabs>
        <w:ind w:left="5040" w:hanging="360"/>
      </w:pPr>
      <w:rPr>
        <w:rFonts w:ascii="Arial" w:hAnsi="Arial" w:hint="default"/>
      </w:rPr>
    </w:lvl>
    <w:lvl w:ilvl="7" w:tplc="6C103724" w:tentative="1">
      <w:start w:val="1"/>
      <w:numFmt w:val="bullet"/>
      <w:lvlText w:val="•"/>
      <w:lvlJc w:val="left"/>
      <w:pPr>
        <w:tabs>
          <w:tab w:val="num" w:pos="5760"/>
        </w:tabs>
        <w:ind w:left="5760" w:hanging="360"/>
      </w:pPr>
      <w:rPr>
        <w:rFonts w:ascii="Arial" w:hAnsi="Arial" w:hint="default"/>
      </w:rPr>
    </w:lvl>
    <w:lvl w:ilvl="8" w:tplc="AF24A2BC" w:tentative="1">
      <w:start w:val="1"/>
      <w:numFmt w:val="bullet"/>
      <w:lvlText w:val="•"/>
      <w:lvlJc w:val="left"/>
      <w:pPr>
        <w:tabs>
          <w:tab w:val="num" w:pos="6480"/>
        </w:tabs>
        <w:ind w:left="6480" w:hanging="360"/>
      </w:pPr>
      <w:rPr>
        <w:rFonts w:ascii="Arial" w:hAnsi="Arial" w:hint="default"/>
      </w:rPr>
    </w:lvl>
  </w:abstractNum>
  <w:abstractNum w:abstractNumId="16">
    <w:nsid w:val="641C55F0"/>
    <w:multiLevelType w:val="hybridMultilevel"/>
    <w:tmpl w:val="51AEF156"/>
    <w:lvl w:ilvl="0" w:tplc="00AAC7BE">
      <w:start w:val="1"/>
      <w:numFmt w:val="bullet"/>
      <w:lvlText w:val="–"/>
      <w:lvlJc w:val="left"/>
      <w:pPr>
        <w:tabs>
          <w:tab w:val="num" w:pos="720"/>
        </w:tabs>
        <w:ind w:left="720" w:hanging="360"/>
      </w:pPr>
      <w:rPr>
        <w:rFonts w:ascii="Arial" w:hAnsi="Arial" w:hint="default"/>
      </w:rPr>
    </w:lvl>
    <w:lvl w:ilvl="1" w:tplc="746828FC">
      <w:start w:val="1"/>
      <w:numFmt w:val="bullet"/>
      <w:lvlText w:val="–"/>
      <w:lvlJc w:val="left"/>
      <w:pPr>
        <w:tabs>
          <w:tab w:val="num" w:pos="1440"/>
        </w:tabs>
        <w:ind w:left="1440" w:hanging="360"/>
      </w:pPr>
      <w:rPr>
        <w:rFonts w:ascii="Arial" w:hAnsi="Arial" w:hint="default"/>
      </w:rPr>
    </w:lvl>
    <w:lvl w:ilvl="2" w:tplc="CCE2AC86" w:tentative="1">
      <w:start w:val="1"/>
      <w:numFmt w:val="bullet"/>
      <w:lvlText w:val="–"/>
      <w:lvlJc w:val="left"/>
      <w:pPr>
        <w:tabs>
          <w:tab w:val="num" w:pos="2160"/>
        </w:tabs>
        <w:ind w:left="2160" w:hanging="360"/>
      </w:pPr>
      <w:rPr>
        <w:rFonts w:ascii="Arial" w:hAnsi="Arial" w:hint="default"/>
      </w:rPr>
    </w:lvl>
    <w:lvl w:ilvl="3" w:tplc="1BA61A5C" w:tentative="1">
      <w:start w:val="1"/>
      <w:numFmt w:val="bullet"/>
      <w:lvlText w:val="–"/>
      <w:lvlJc w:val="left"/>
      <w:pPr>
        <w:tabs>
          <w:tab w:val="num" w:pos="2880"/>
        </w:tabs>
        <w:ind w:left="2880" w:hanging="360"/>
      </w:pPr>
      <w:rPr>
        <w:rFonts w:ascii="Arial" w:hAnsi="Arial" w:hint="default"/>
      </w:rPr>
    </w:lvl>
    <w:lvl w:ilvl="4" w:tplc="894467D4" w:tentative="1">
      <w:start w:val="1"/>
      <w:numFmt w:val="bullet"/>
      <w:lvlText w:val="–"/>
      <w:lvlJc w:val="left"/>
      <w:pPr>
        <w:tabs>
          <w:tab w:val="num" w:pos="3600"/>
        </w:tabs>
        <w:ind w:left="3600" w:hanging="360"/>
      </w:pPr>
      <w:rPr>
        <w:rFonts w:ascii="Arial" w:hAnsi="Arial" w:hint="default"/>
      </w:rPr>
    </w:lvl>
    <w:lvl w:ilvl="5" w:tplc="B99058AE" w:tentative="1">
      <w:start w:val="1"/>
      <w:numFmt w:val="bullet"/>
      <w:lvlText w:val="–"/>
      <w:lvlJc w:val="left"/>
      <w:pPr>
        <w:tabs>
          <w:tab w:val="num" w:pos="4320"/>
        </w:tabs>
        <w:ind w:left="4320" w:hanging="360"/>
      </w:pPr>
      <w:rPr>
        <w:rFonts w:ascii="Arial" w:hAnsi="Arial" w:hint="default"/>
      </w:rPr>
    </w:lvl>
    <w:lvl w:ilvl="6" w:tplc="97844860" w:tentative="1">
      <w:start w:val="1"/>
      <w:numFmt w:val="bullet"/>
      <w:lvlText w:val="–"/>
      <w:lvlJc w:val="left"/>
      <w:pPr>
        <w:tabs>
          <w:tab w:val="num" w:pos="5040"/>
        </w:tabs>
        <w:ind w:left="5040" w:hanging="360"/>
      </w:pPr>
      <w:rPr>
        <w:rFonts w:ascii="Arial" w:hAnsi="Arial" w:hint="default"/>
      </w:rPr>
    </w:lvl>
    <w:lvl w:ilvl="7" w:tplc="1576BFE4" w:tentative="1">
      <w:start w:val="1"/>
      <w:numFmt w:val="bullet"/>
      <w:lvlText w:val="–"/>
      <w:lvlJc w:val="left"/>
      <w:pPr>
        <w:tabs>
          <w:tab w:val="num" w:pos="5760"/>
        </w:tabs>
        <w:ind w:left="5760" w:hanging="360"/>
      </w:pPr>
      <w:rPr>
        <w:rFonts w:ascii="Arial" w:hAnsi="Arial" w:hint="default"/>
      </w:rPr>
    </w:lvl>
    <w:lvl w:ilvl="8" w:tplc="FF1C6B56" w:tentative="1">
      <w:start w:val="1"/>
      <w:numFmt w:val="bullet"/>
      <w:lvlText w:val="–"/>
      <w:lvlJc w:val="left"/>
      <w:pPr>
        <w:tabs>
          <w:tab w:val="num" w:pos="6480"/>
        </w:tabs>
        <w:ind w:left="6480" w:hanging="360"/>
      </w:pPr>
      <w:rPr>
        <w:rFonts w:ascii="Arial" w:hAnsi="Arial" w:hint="default"/>
      </w:rPr>
    </w:lvl>
  </w:abstractNum>
  <w:abstractNum w:abstractNumId="17">
    <w:nsid w:val="66312C84"/>
    <w:multiLevelType w:val="hybridMultilevel"/>
    <w:tmpl w:val="FCBA0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5529BE"/>
    <w:multiLevelType w:val="hybridMultilevel"/>
    <w:tmpl w:val="2C62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FD1F1B"/>
    <w:multiLevelType w:val="hybridMultilevel"/>
    <w:tmpl w:val="81C4C206"/>
    <w:lvl w:ilvl="0" w:tplc="0F965E8C">
      <w:start w:val="2"/>
      <w:numFmt w:val="bullet"/>
      <w:lvlText w:val=""/>
      <w:lvlJc w:val="left"/>
      <w:pPr>
        <w:ind w:left="720" w:hanging="360"/>
      </w:pPr>
      <w:rPr>
        <w:rFonts w:ascii="Wingdings" w:eastAsia="MS Mincho"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0"/>
  </w:num>
  <w:num w:numId="4">
    <w:abstractNumId w:val="13"/>
  </w:num>
  <w:num w:numId="5">
    <w:abstractNumId w:val="12"/>
  </w:num>
  <w:num w:numId="6">
    <w:abstractNumId w:val="18"/>
  </w:num>
  <w:num w:numId="7">
    <w:abstractNumId w:val="8"/>
  </w:num>
  <w:num w:numId="8">
    <w:abstractNumId w:val="0"/>
  </w:num>
  <w:num w:numId="9">
    <w:abstractNumId w:val="19"/>
  </w:num>
  <w:num w:numId="10">
    <w:abstractNumId w:val="11"/>
  </w:num>
  <w:num w:numId="11">
    <w:abstractNumId w:val="2"/>
  </w:num>
  <w:num w:numId="12">
    <w:abstractNumId w:val="16"/>
  </w:num>
  <w:num w:numId="13">
    <w:abstractNumId w:val="15"/>
  </w:num>
  <w:num w:numId="14">
    <w:abstractNumId w:val="14"/>
  </w:num>
  <w:num w:numId="15">
    <w:abstractNumId w:val="1"/>
  </w:num>
  <w:num w:numId="16">
    <w:abstractNumId w:val="17"/>
  </w:num>
  <w:num w:numId="17">
    <w:abstractNumId w:val="4"/>
  </w:num>
  <w:num w:numId="18">
    <w:abstractNumId w:val="3"/>
  </w:num>
  <w:num w:numId="19">
    <w:abstractNumId w:val="6"/>
  </w:num>
  <w:num w:numId="20">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74C4"/>
    <w:rsid w:val="000078DC"/>
    <w:rsid w:val="000079A6"/>
    <w:rsid w:val="00007C73"/>
    <w:rsid w:val="00007EFD"/>
    <w:rsid w:val="00010F38"/>
    <w:rsid w:val="00012C4F"/>
    <w:rsid w:val="000131D1"/>
    <w:rsid w:val="000134E3"/>
    <w:rsid w:val="00013F5E"/>
    <w:rsid w:val="0001403F"/>
    <w:rsid w:val="0001487F"/>
    <w:rsid w:val="00014F35"/>
    <w:rsid w:val="0001577B"/>
    <w:rsid w:val="000166AC"/>
    <w:rsid w:val="00017528"/>
    <w:rsid w:val="00017B7F"/>
    <w:rsid w:val="00017EDA"/>
    <w:rsid w:val="00022EAE"/>
    <w:rsid w:val="00024AEF"/>
    <w:rsid w:val="00027755"/>
    <w:rsid w:val="0002792C"/>
    <w:rsid w:val="00030048"/>
    <w:rsid w:val="0003072D"/>
    <w:rsid w:val="000307E1"/>
    <w:rsid w:val="000314CD"/>
    <w:rsid w:val="0003479E"/>
    <w:rsid w:val="00034BCD"/>
    <w:rsid w:val="00037C38"/>
    <w:rsid w:val="0004132D"/>
    <w:rsid w:val="00044CFA"/>
    <w:rsid w:val="000459C7"/>
    <w:rsid w:val="00045AAC"/>
    <w:rsid w:val="00046630"/>
    <w:rsid w:val="00046C47"/>
    <w:rsid w:val="00046C80"/>
    <w:rsid w:val="00050070"/>
    <w:rsid w:val="00050112"/>
    <w:rsid w:val="000505C5"/>
    <w:rsid w:val="000511F9"/>
    <w:rsid w:val="000528A2"/>
    <w:rsid w:val="00052BBA"/>
    <w:rsid w:val="00054AC4"/>
    <w:rsid w:val="00054D9D"/>
    <w:rsid w:val="00056544"/>
    <w:rsid w:val="00060D8E"/>
    <w:rsid w:val="00063D9E"/>
    <w:rsid w:val="00064AD3"/>
    <w:rsid w:val="00065088"/>
    <w:rsid w:val="000652D3"/>
    <w:rsid w:val="000654A0"/>
    <w:rsid w:val="00075FDA"/>
    <w:rsid w:val="00076D82"/>
    <w:rsid w:val="00077DA4"/>
    <w:rsid w:val="000919F8"/>
    <w:rsid w:val="00093C49"/>
    <w:rsid w:val="000950D9"/>
    <w:rsid w:val="000956E3"/>
    <w:rsid w:val="00095A80"/>
    <w:rsid w:val="000973E1"/>
    <w:rsid w:val="000A0889"/>
    <w:rsid w:val="000A1DC9"/>
    <w:rsid w:val="000A20BA"/>
    <w:rsid w:val="000A262C"/>
    <w:rsid w:val="000A3C8D"/>
    <w:rsid w:val="000A4C46"/>
    <w:rsid w:val="000A5106"/>
    <w:rsid w:val="000A62D2"/>
    <w:rsid w:val="000A6B2E"/>
    <w:rsid w:val="000A7BC5"/>
    <w:rsid w:val="000B1006"/>
    <w:rsid w:val="000B16DB"/>
    <w:rsid w:val="000B1C5E"/>
    <w:rsid w:val="000B2A11"/>
    <w:rsid w:val="000B2A5B"/>
    <w:rsid w:val="000B3B91"/>
    <w:rsid w:val="000B45F0"/>
    <w:rsid w:val="000B5337"/>
    <w:rsid w:val="000B5F0A"/>
    <w:rsid w:val="000C0152"/>
    <w:rsid w:val="000C480E"/>
    <w:rsid w:val="000C7001"/>
    <w:rsid w:val="000C7531"/>
    <w:rsid w:val="000C76F7"/>
    <w:rsid w:val="000D0BD6"/>
    <w:rsid w:val="000D0C61"/>
    <w:rsid w:val="000D27AD"/>
    <w:rsid w:val="000D3286"/>
    <w:rsid w:val="000D4212"/>
    <w:rsid w:val="000D7D8F"/>
    <w:rsid w:val="000E071E"/>
    <w:rsid w:val="000E27AA"/>
    <w:rsid w:val="000E337A"/>
    <w:rsid w:val="000E4350"/>
    <w:rsid w:val="000E4408"/>
    <w:rsid w:val="000E4EA7"/>
    <w:rsid w:val="000E5716"/>
    <w:rsid w:val="000E7A79"/>
    <w:rsid w:val="000F15B2"/>
    <w:rsid w:val="000F37B0"/>
    <w:rsid w:val="000F4595"/>
    <w:rsid w:val="000F4CB2"/>
    <w:rsid w:val="00101C4F"/>
    <w:rsid w:val="001059CA"/>
    <w:rsid w:val="001068D2"/>
    <w:rsid w:val="001072C2"/>
    <w:rsid w:val="00114620"/>
    <w:rsid w:val="00114E6B"/>
    <w:rsid w:val="001156AA"/>
    <w:rsid w:val="00122839"/>
    <w:rsid w:val="001237AC"/>
    <w:rsid w:val="00124E12"/>
    <w:rsid w:val="0012673D"/>
    <w:rsid w:val="001269B8"/>
    <w:rsid w:val="00127099"/>
    <w:rsid w:val="001320D4"/>
    <w:rsid w:val="00132B71"/>
    <w:rsid w:val="001362C2"/>
    <w:rsid w:val="00137D78"/>
    <w:rsid w:val="00141F08"/>
    <w:rsid w:val="00144C87"/>
    <w:rsid w:val="00150175"/>
    <w:rsid w:val="001502AE"/>
    <w:rsid w:val="001502C8"/>
    <w:rsid w:val="00154D2D"/>
    <w:rsid w:val="00157390"/>
    <w:rsid w:val="00160CD6"/>
    <w:rsid w:val="00162F51"/>
    <w:rsid w:val="001640FF"/>
    <w:rsid w:val="00164FE6"/>
    <w:rsid w:val="00165033"/>
    <w:rsid w:val="00165A6A"/>
    <w:rsid w:val="001670EA"/>
    <w:rsid w:val="001674A0"/>
    <w:rsid w:val="001710C8"/>
    <w:rsid w:val="00174FFD"/>
    <w:rsid w:val="0017726A"/>
    <w:rsid w:val="00180278"/>
    <w:rsid w:val="001818A7"/>
    <w:rsid w:val="00182725"/>
    <w:rsid w:val="0018342E"/>
    <w:rsid w:val="00184982"/>
    <w:rsid w:val="001905BD"/>
    <w:rsid w:val="00192FE6"/>
    <w:rsid w:val="001938D7"/>
    <w:rsid w:val="00193986"/>
    <w:rsid w:val="00193B08"/>
    <w:rsid w:val="001942C0"/>
    <w:rsid w:val="00194570"/>
    <w:rsid w:val="00196BF4"/>
    <w:rsid w:val="001A5014"/>
    <w:rsid w:val="001A5E19"/>
    <w:rsid w:val="001B01FA"/>
    <w:rsid w:val="001B36FC"/>
    <w:rsid w:val="001B4607"/>
    <w:rsid w:val="001B5028"/>
    <w:rsid w:val="001B5852"/>
    <w:rsid w:val="001C0674"/>
    <w:rsid w:val="001C4606"/>
    <w:rsid w:val="001C6B6A"/>
    <w:rsid w:val="001C77F0"/>
    <w:rsid w:val="001D0665"/>
    <w:rsid w:val="001D14F4"/>
    <w:rsid w:val="001D7CA4"/>
    <w:rsid w:val="001D7E58"/>
    <w:rsid w:val="001E4D4F"/>
    <w:rsid w:val="001E74BA"/>
    <w:rsid w:val="001F01FB"/>
    <w:rsid w:val="001F0658"/>
    <w:rsid w:val="001F0D4D"/>
    <w:rsid w:val="001F0E92"/>
    <w:rsid w:val="001F23BD"/>
    <w:rsid w:val="001F301C"/>
    <w:rsid w:val="001F41D6"/>
    <w:rsid w:val="001F5019"/>
    <w:rsid w:val="001F53DD"/>
    <w:rsid w:val="001F5DCF"/>
    <w:rsid w:val="001F67AA"/>
    <w:rsid w:val="001F67DC"/>
    <w:rsid w:val="001F7599"/>
    <w:rsid w:val="001F79B8"/>
    <w:rsid w:val="00200162"/>
    <w:rsid w:val="002010B6"/>
    <w:rsid w:val="00204B3A"/>
    <w:rsid w:val="00210309"/>
    <w:rsid w:val="00212FB8"/>
    <w:rsid w:val="00213709"/>
    <w:rsid w:val="002149AF"/>
    <w:rsid w:val="002215E0"/>
    <w:rsid w:val="00221EC5"/>
    <w:rsid w:val="00222347"/>
    <w:rsid w:val="00222A7A"/>
    <w:rsid w:val="00224A2C"/>
    <w:rsid w:val="0022687C"/>
    <w:rsid w:val="002306F8"/>
    <w:rsid w:val="002312F4"/>
    <w:rsid w:val="002313A2"/>
    <w:rsid w:val="00231FC7"/>
    <w:rsid w:val="00232930"/>
    <w:rsid w:val="00232A95"/>
    <w:rsid w:val="00232DD9"/>
    <w:rsid w:val="00233403"/>
    <w:rsid w:val="00233440"/>
    <w:rsid w:val="0023544A"/>
    <w:rsid w:val="00236450"/>
    <w:rsid w:val="0023765A"/>
    <w:rsid w:val="002412CA"/>
    <w:rsid w:val="00241311"/>
    <w:rsid w:val="00242E22"/>
    <w:rsid w:val="0024336B"/>
    <w:rsid w:val="0024424F"/>
    <w:rsid w:val="00244D28"/>
    <w:rsid w:val="00246A76"/>
    <w:rsid w:val="002477DF"/>
    <w:rsid w:val="0024787E"/>
    <w:rsid w:val="00252B91"/>
    <w:rsid w:val="00252C17"/>
    <w:rsid w:val="0025307F"/>
    <w:rsid w:val="002551BD"/>
    <w:rsid w:val="00262566"/>
    <w:rsid w:val="00262661"/>
    <w:rsid w:val="002632DF"/>
    <w:rsid w:val="00263FCC"/>
    <w:rsid w:val="002640BA"/>
    <w:rsid w:val="00264CF2"/>
    <w:rsid w:val="00267587"/>
    <w:rsid w:val="00271589"/>
    <w:rsid w:val="00272B61"/>
    <w:rsid w:val="002734C6"/>
    <w:rsid w:val="00273811"/>
    <w:rsid w:val="002763E9"/>
    <w:rsid w:val="00276ADA"/>
    <w:rsid w:val="00281A43"/>
    <w:rsid w:val="002835EA"/>
    <w:rsid w:val="00284DF4"/>
    <w:rsid w:val="00284E32"/>
    <w:rsid w:val="00285510"/>
    <w:rsid w:val="0028616D"/>
    <w:rsid w:val="00286965"/>
    <w:rsid w:val="0028723B"/>
    <w:rsid w:val="00290DED"/>
    <w:rsid w:val="0029136E"/>
    <w:rsid w:val="00292399"/>
    <w:rsid w:val="00294445"/>
    <w:rsid w:val="00294B4D"/>
    <w:rsid w:val="002A1062"/>
    <w:rsid w:val="002A352A"/>
    <w:rsid w:val="002A42AD"/>
    <w:rsid w:val="002A5683"/>
    <w:rsid w:val="002A5ED4"/>
    <w:rsid w:val="002B132E"/>
    <w:rsid w:val="002B2813"/>
    <w:rsid w:val="002B2D29"/>
    <w:rsid w:val="002B342A"/>
    <w:rsid w:val="002B57DA"/>
    <w:rsid w:val="002B605E"/>
    <w:rsid w:val="002C2B9D"/>
    <w:rsid w:val="002C6034"/>
    <w:rsid w:val="002C635B"/>
    <w:rsid w:val="002C6CD2"/>
    <w:rsid w:val="002C715D"/>
    <w:rsid w:val="002C77FA"/>
    <w:rsid w:val="002D0495"/>
    <w:rsid w:val="002D1A32"/>
    <w:rsid w:val="002D365F"/>
    <w:rsid w:val="002D3C66"/>
    <w:rsid w:val="002D4542"/>
    <w:rsid w:val="002D4E19"/>
    <w:rsid w:val="002D7C86"/>
    <w:rsid w:val="002E0692"/>
    <w:rsid w:val="002E07B1"/>
    <w:rsid w:val="002E1D74"/>
    <w:rsid w:val="002E2943"/>
    <w:rsid w:val="002E2CF1"/>
    <w:rsid w:val="002E34AF"/>
    <w:rsid w:val="002E62D2"/>
    <w:rsid w:val="002E7055"/>
    <w:rsid w:val="002F2D8F"/>
    <w:rsid w:val="002F72DA"/>
    <w:rsid w:val="002F76B1"/>
    <w:rsid w:val="002F7D66"/>
    <w:rsid w:val="002F7DBE"/>
    <w:rsid w:val="0030090B"/>
    <w:rsid w:val="00304210"/>
    <w:rsid w:val="003048D7"/>
    <w:rsid w:val="00304AD2"/>
    <w:rsid w:val="003062E6"/>
    <w:rsid w:val="003068B6"/>
    <w:rsid w:val="003071F6"/>
    <w:rsid w:val="0031393C"/>
    <w:rsid w:val="00313CB0"/>
    <w:rsid w:val="00313F96"/>
    <w:rsid w:val="003147C1"/>
    <w:rsid w:val="003150CE"/>
    <w:rsid w:val="00315AAB"/>
    <w:rsid w:val="003175E1"/>
    <w:rsid w:val="00320299"/>
    <w:rsid w:val="00321154"/>
    <w:rsid w:val="003211B0"/>
    <w:rsid w:val="003224E7"/>
    <w:rsid w:val="00325D7A"/>
    <w:rsid w:val="00327305"/>
    <w:rsid w:val="00330187"/>
    <w:rsid w:val="00330DDE"/>
    <w:rsid w:val="00331C77"/>
    <w:rsid w:val="00331F96"/>
    <w:rsid w:val="00335EA8"/>
    <w:rsid w:val="003363DD"/>
    <w:rsid w:val="00340795"/>
    <w:rsid w:val="0034111C"/>
    <w:rsid w:val="003412F9"/>
    <w:rsid w:val="0034217F"/>
    <w:rsid w:val="00343729"/>
    <w:rsid w:val="00345405"/>
    <w:rsid w:val="00346FED"/>
    <w:rsid w:val="00352D21"/>
    <w:rsid w:val="00357B9C"/>
    <w:rsid w:val="00361412"/>
    <w:rsid w:val="003615CA"/>
    <w:rsid w:val="003642A6"/>
    <w:rsid w:val="00370B63"/>
    <w:rsid w:val="00370FCC"/>
    <w:rsid w:val="003711AF"/>
    <w:rsid w:val="00371FD8"/>
    <w:rsid w:val="00374848"/>
    <w:rsid w:val="00375794"/>
    <w:rsid w:val="00375D09"/>
    <w:rsid w:val="00377117"/>
    <w:rsid w:val="0037751C"/>
    <w:rsid w:val="00380F3F"/>
    <w:rsid w:val="00382232"/>
    <w:rsid w:val="00382F1A"/>
    <w:rsid w:val="00383658"/>
    <w:rsid w:val="0038412E"/>
    <w:rsid w:val="003845DF"/>
    <w:rsid w:val="00386CD4"/>
    <w:rsid w:val="00390B9C"/>
    <w:rsid w:val="003917B0"/>
    <w:rsid w:val="00393E44"/>
    <w:rsid w:val="003950FE"/>
    <w:rsid w:val="00397ACA"/>
    <w:rsid w:val="003A2EFA"/>
    <w:rsid w:val="003A399E"/>
    <w:rsid w:val="003A3FAC"/>
    <w:rsid w:val="003A597F"/>
    <w:rsid w:val="003A71A8"/>
    <w:rsid w:val="003B00CA"/>
    <w:rsid w:val="003B030B"/>
    <w:rsid w:val="003B0432"/>
    <w:rsid w:val="003B178D"/>
    <w:rsid w:val="003B1B90"/>
    <w:rsid w:val="003B2E9B"/>
    <w:rsid w:val="003B2F8D"/>
    <w:rsid w:val="003B4A5E"/>
    <w:rsid w:val="003B4FAA"/>
    <w:rsid w:val="003B547A"/>
    <w:rsid w:val="003B5F20"/>
    <w:rsid w:val="003B75B9"/>
    <w:rsid w:val="003C1A18"/>
    <w:rsid w:val="003C325B"/>
    <w:rsid w:val="003C46F8"/>
    <w:rsid w:val="003C5C41"/>
    <w:rsid w:val="003C7CE6"/>
    <w:rsid w:val="003D0F5B"/>
    <w:rsid w:val="003D2938"/>
    <w:rsid w:val="003D3FBA"/>
    <w:rsid w:val="003D402B"/>
    <w:rsid w:val="003D764F"/>
    <w:rsid w:val="003E0667"/>
    <w:rsid w:val="003E13E0"/>
    <w:rsid w:val="003E1660"/>
    <w:rsid w:val="003E2882"/>
    <w:rsid w:val="003E2A2D"/>
    <w:rsid w:val="003E4EB8"/>
    <w:rsid w:val="003E63B3"/>
    <w:rsid w:val="003E64A9"/>
    <w:rsid w:val="003E6D78"/>
    <w:rsid w:val="003E7905"/>
    <w:rsid w:val="003F0336"/>
    <w:rsid w:val="003F1088"/>
    <w:rsid w:val="003F224F"/>
    <w:rsid w:val="003F2BB0"/>
    <w:rsid w:val="003F39C9"/>
    <w:rsid w:val="003F5547"/>
    <w:rsid w:val="003F5C40"/>
    <w:rsid w:val="003F75ED"/>
    <w:rsid w:val="004002B7"/>
    <w:rsid w:val="00400F31"/>
    <w:rsid w:val="00402582"/>
    <w:rsid w:val="00406DF9"/>
    <w:rsid w:val="004076C8"/>
    <w:rsid w:val="00411BDC"/>
    <w:rsid w:val="00414467"/>
    <w:rsid w:val="004154B1"/>
    <w:rsid w:val="004154F7"/>
    <w:rsid w:val="00416390"/>
    <w:rsid w:val="00416EDA"/>
    <w:rsid w:val="004176FF"/>
    <w:rsid w:val="00420DDB"/>
    <w:rsid w:val="00422870"/>
    <w:rsid w:val="0042398D"/>
    <w:rsid w:val="004241C5"/>
    <w:rsid w:val="00424FA7"/>
    <w:rsid w:val="00426A87"/>
    <w:rsid w:val="00427B9F"/>
    <w:rsid w:val="004309D8"/>
    <w:rsid w:val="004313D1"/>
    <w:rsid w:val="0043140A"/>
    <w:rsid w:val="00432110"/>
    <w:rsid w:val="00433DD9"/>
    <w:rsid w:val="0043658B"/>
    <w:rsid w:val="00442BCA"/>
    <w:rsid w:val="004431F0"/>
    <w:rsid w:val="00443577"/>
    <w:rsid w:val="00445FF7"/>
    <w:rsid w:val="00450219"/>
    <w:rsid w:val="00453041"/>
    <w:rsid w:val="00453341"/>
    <w:rsid w:val="00453AB2"/>
    <w:rsid w:val="00454DCA"/>
    <w:rsid w:val="004564D3"/>
    <w:rsid w:val="00456544"/>
    <w:rsid w:val="00456649"/>
    <w:rsid w:val="004567B7"/>
    <w:rsid w:val="00461210"/>
    <w:rsid w:val="00462490"/>
    <w:rsid w:val="004648E8"/>
    <w:rsid w:val="0046492A"/>
    <w:rsid w:val="00464B30"/>
    <w:rsid w:val="00464D65"/>
    <w:rsid w:val="00465299"/>
    <w:rsid w:val="00466A0F"/>
    <w:rsid w:val="00467052"/>
    <w:rsid w:val="00471863"/>
    <w:rsid w:val="00473A14"/>
    <w:rsid w:val="00481D90"/>
    <w:rsid w:val="00482D97"/>
    <w:rsid w:val="00483261"/>
    <w:rsid w:val="00484D21"/>
    <w:rsid w:val="00486DD9"/>
    <w:rsid w:val="004874E4"/>
    <w:rsid w:val="0049070D"/>
    <w:rsid w:val="00490B20"/>
    <w:rsid w:val="004924F4"/>
    <w:rsid w:val="004A0AA8"/>
    <w:rsid w:val="004A144F"/>
    <w:rsid w:val="004A1FE4"/>
    <w:rsid w:val="004A2CA9"/>
    <w:rsid w:val="004A3CB5"/>
    <w:rsid w:val="004A537D"/>
    <w:rsid w:val="004A67F0"/>
    <w:rsid w:val="004A7769"/>
    <w:rsid w:val="004B2964"/>
    <w:rsid w:val="004B2965"/>
    <w:rsid w:val="004B4224"/>
    <w:rsid w:val="004B4647"/>
    <w:rsid w:val="004B60A5"/>
    <w:rsid w:val="004B74FF"/>
    <w:rsid w:val="004B7CE4"/>
    <w:rsid w:val="004C0B73"/>
    <w:rsid w:val="004C1DDE"/>
    <w:rsid w:val="004C483D"/>
    <w:rsid w:val="004C6D55"/>
    <w:rsid w:val="004C795A"/>
    <w:rsid w:val="004C7D1A"/>
    <w:rsid w:val="004C7F93"/>
    <w:rsid w:val="004D26B8"/>
    <w:rsid w:val="004D4FC0"/>
    <w:rsid w:val="004E2892"/>
    <w:rsid w:val="004E289F"/>
    <w:rsid w:val="004E3D74"/>
    <w:rsid w:val="004F0224"/>
    <w:rsid w:val="004F0B3B"/>
    <w:rsid w:val="004F0DB4"/>
    <w:rsid w:val="004F1EBC"/>
    <w:rsid w:val="004F3848"/>
    <w:rsid w:val="004F4C36"/>
    <w:rsid w:val="004F4EA9"/>
    <w:rsid w:val="004F5154"/>
    <w:rsid w:val="004F5835"/>
    <w:rsid w:val="004F661C"/>
    <w:rsid w:val="004F6D99"/>
    <w:rsid w:val="004F7800"/>
    <w:rsid w:val="00501425"/>
    <w:rsid w:val="0050264F"/>
    <w:rsid w:val="00504311"/>
    <w:rsid w:val="0050485C"/>
    <w:rsid w:val="00511079"/>
    <w:rsid w:val="005115C4"/>
    <w:rsid w:val="00512829"/>
    <w:rsid w:val="0051328A"/>
    <w:rsid w:val="0051423C"/>
    <w:rsid w:val="00514C91"/>
    <w:rsid w:val="00516241"/>
    <w:rsid w:val="00516FD9"/>
    <w:rsid w:val="005214D8"/>
    <w:rsid w:val="005243E0"/>
    <w:rsid w:val="00525C9F"/>
    <w:rsid w:val="005260BE"/>
    <w:rsid w:val="005265A3"/>
    <w:rsid w:val="00526783"/>
    <w:rsid w:val="00527BFC"/>
    <w:rsid w:val="00527FB1"/>
    <w:rsid w:val="0053162F"/>
    <w:rsid w:val="0053281C"/>
    <w:rsid w:val="0053293C"/>
    <w:rsid w:val="005340C9"/>
    <w:rsid w:val="00535E8F"/>
    <w:rsid w:val="00543707"/>
    <w:rsid w:val="00543EA1"/>
    <w:rsid w:val="00543EBB"/>
    <w:rsid w:val="00544213"/>
    <w:rsid w:val="00545B4E"/>
    <w:rsid w:val="00547E0E"/>
    <w:rsid w:val="0055182D"/>
    <w:rsid w:val="005532A2"/>
    <w:rsid w:val="00553A84"/>
    <w:rsid w:val="00554E4B"/>
    <w:rsid w:val="00555525"/>
    <w:rsid w:val="00555F67"/>
    <w:rsid w:val="005606A4"/>
    <w:rsid w:val="005607B8"/>
    <w:rsid w:val="00560CF5"/>
    <w:rsid w:val="00564B54"/>
    <w:rsid w:val="00565869"/>
    <w:rsid w:val="00566C22"/>
    <w:rsid w:val="00567415"/>
    <w:rsid w:val="005769FB"/>
    <w:rsid w:val="00582087"/>
    <w:rsid w:val="005831DD"/>
    <w:rsid w:val="005843F5"/>
    <w:rsid w:val="00587503"/>
    <w:rsid w:val="005902BE"/>
    <w:rsid w:val="00590E8D"/>
    <w:rsid w:val="00591828"/>
    <w:rsid w:val="00591F18"/>
    <w:rsid w:val="0059331A"/>
    <w:rsid w:val="005975C4"/>
    <w:rsid w:val="005A182E"/>
    <w:rsid w:val="005A26BD"/>
    <w:rsid w:val="005A4904"/>
    <w:rsid w:val="005A4E50"/>
    <w:rsid w:val="005A515A"/>
    <w:rsid w:val="005A704D"/>
    <w:rsid w:val="005B0B8C"/>
    <w:rsid w:val="005B6DF6"/>
    <w:rsid w:val="005B7B7D"/>
    <w:rsid w:val="005C140A"/>
    <w:rsid w:val="005C1948"/>
    <w:rsid w:val="005C1D6D"/>
    <w:rsid w:val="005C263C"/>
    <w:rsid w:val="005C3112"/>
    <w:rsid w:val="005D07C5"/>
    <w:rsid w:val="005D4302"/>
    <w:rsid w:val="005D5A20"/>
    <w:rsid w:val="005D786C"/>
    <w:rsid w:val="005E0887"/>
    <w:rsid w:val="005E3073"/>
    <w:rsid w:val="005E316A"/>
    <w:rsid w:val="005F0108"/>
    <w:rsid w:val="005F21A5"/>
    <w:rsid w:val="005F28C6"/>
    <w:rsid w:val="005F3C91"/>
    <w:rsid w:val="005F6BD4"/>
    <w:rsid w:val="005F7985"/>
    <w:rsid w:val="00601439"/>
    <w:rsid w:val="00602219"/>
    <w:rsid w:val="00604367"/>
    <w:rsid w:val="0060475F"/>
    <w:rsid w:val="00614CD1"/>
    <w:rsid w:val="0062152A"/>
    <w:rsid w:val="00623583"/>
    <w:rsid w:val="00624BA1"/>
    <w:rsid w:val="00624E67"/>
    <w:rsid w:val="0062627F"/>
    <w:rsid w:val="0062661B"/>
    <w:rsid w:val="00630118"/>
    <w:rsid w:val="00632618"/>
    <w:rsid w:val="00633BF2"/>
    <w:rsid w:val="00633F67"/>
    <w:rsid w:val="0063400B"/>
    <w:rsid w:val="006345C3"/>
    <w:rsid w:val="006371C8"/>
    <w:rsid w:val="006373CD"/>
    <w:rsid w:val="00640A4C"/>
    <w:rsid w:val="0064165D"/>
    <w:rsid w:val="00643617"/>
    <w:rsid w:val="00644A21"/>
    <w:rsid w:val="00645349"/>
    <w:rsid w:val="00645B9A"/>
    <w:rsid w:val="00650CA1"/>
    <w:rsid w:val="00651854"/>
    <w:rsid w:val="00656221"/>
    <w:rsid w:val="006565D8"/>
    <w:rsid w:val="00656B96"/>
    <w:rsid w:val="006601D8"/>
    <w:rsid w:val="00662012"/>
    <w:rsid w:val="00662543"/>
    <w:rsid w:val="00663922"/>
    <w:rsid w:val="00663ACB"/>
    <w:rsid w:val="00664E8C"/>
    <w:rsid w:val="00665F7C"/>
    <w:rsid w:val="0066779E"/>
    <w:rsid w:val="0067269D"/>
    <w:rsid w:val="00674E6A"/>
    <w:rsid w:val="00676A64"/>
    <w:rsid w:val="00677925"/>
    <w:rsid w:val="00680F46"/>
    <w:rsid w:val="00682B53"/>
    <w:rsid w:val="00682F27"/>
    <w:rsid w:val="00690E2E"/>
    <w:rsid w:val="006932E7"/>
    <w:rsid w:val="00693347"/>
    <w:rsid w:val="00696D63"/>
    <w:rsid w:val="00697545"/>
    <w:rsid w:val="00697C0B"/>
    <w:rsid w:val="006A183D"/>
    <w:rsid w:val="006A3487"/>
    <w:rsid w:val="006A41AE"/>
    <w:rsid w:val="006A4856"/>
    <w:rsid w:val="006A7FE3"/>
    <w:rsid w:val="006B1545"/>
    <w:rsid w:val="006B2F4D"/>
    <w:rsid w:val="006B3682"/>
    <w:rsid w:val="006B48CB"/>
    <w:rsid w:val="006B7AD4"/>
    <w:rsid w:val="006C1A0A"/>
    <w:rsid w:val="006C529D"/>
    <w:rsid w:val="006C72F8"/>
    <w:rsid w:val="006D0E6B"/>
    <w:rsid w:val="006D272A"/>
    <w:rsid w:val="006D6596"/>
    <w:rsid w:val="006D6E8E"/>
    <w:rsid w:val="006E1158"/>
    <w:rsid w:val="006E12B1"/>
    <w:rsid w:val="006E13D1"/>
    <w:rsid w:val="006E6852"/>
    <w:rsid w:val="006E6A35"/>
    <w:rsid w:val="006E6BA3"/>
    <w:rsid w:val="006F1116"/>
    <w:rsid w:val="006F32B4"/>
    <w:rsid w:val="006F3921"/>
    <w:rsid w:val="006F3B3C"/>
    <w:rsid w:val="006F3C54"/>
    <w:rsid w:val="006F5E64"/>
    <w:rsid w:val="00700FCA"/>
    <w:rsid w:val="00702EF7"/>
    <w:rsid w:val="007042E9"/>
    <w:rsid w:val="00704E00"/>
    <w:rsid w:val="0071051D"/>
    <w:rsid w:val="0071118B"/>
    <w:rsid w:val="00711E13"/>
    <w:rsid w:val="00712EDA"/>
    <w:rsid w:val="007136D0"/>
    <w:rsid w:val="00715754"/>
    <w:rsid w:val="00716557"/>
    <w:rsid w:val="00716A9C"/>
    <w:rsid w:val="0071705B"/>
    <w:rsid w:val="0071784E"/>
    <w:rsid w:val="007201D6"/>
    <w:rsid w:val="00720505"/>
    <w:rsid w:val="007236A3"/>
    <w:rsid w:val="007239B6"/>
    <w:rsid w:val="0072517D"/>
    <w:rsid w:val="00727697"/>
    <w:rsid w:val="0073299C"/>
    <w:rsid w:val="00732B0C"/>
    <w:rsid w:val="00733893"/>
    <w:rsid w:val="00734A05"/>
    <w:rsid w:val="00735C6F"/>
    <w:rsid w:val="007441EB"/>
    <w:rsid w:val="00745F0A"/>
    <w:rsid w:val="00750987"/>
    <w:rsid w:val="007512B6"/>
    <w:rsid w:val="007513A5"/>
    <w:rsid w:val="007525FD"/>
    <w:rsid w:val="00752C37"/>
    <w:rsid w:val="00756027"/>
    <w:rsid w:val="00756832"/>
    <w:rsid w:val="007626D0"/>
    <w:rsid w:val="00765059"/>
    <w:rsid w:val="007651CA"/>
    <w:rsid w:val="00767AFF"/>
    <w:rsid w:val="007717AB"/>
    <w:rsid w:val="0077195C"/>
    <w:rsid w:val="00772569"/>
    <w:rsid w:val="00772E8C"/>
    <w:rsid w:val="007736D3"/>
    <w:rsid w:val="0077500F"/>
    <w:rsid w:val="0077548E"/>
    <w:rsid w:val="00780919"/>
    <w:rsid w:val="00780D52"/>
    <w:rsid w:val="00782084"/>
    <w:rsid w:val="007824D0"/>
    <w:rsid w:val="00784190"/>
    <w:rsid w:val="0078457B"/>
    <w:rsid w:val="00785814"/>
    <w:rsid w:val="00787051"/>
    <w:rsid w:val="0079018D"/>
    <w:rsid w:val="007971BC"/>
    <w:rsid w:val="007A003C"/>
    <w:rsid w:val="007A138F"/>
    <w:rsid w:val="007A1640"/>
    <w:rsid w:val="007A39DF"/>
    <w:rsid w:val="007A43ED"/>
    <w:rsid w:val="007A527E"/>
    <w:rsid w:val="007B0397"/>
    <w:rsid w:val="007B39EF"/>
    <w:rsid w:val="007B491A"/>
    <w:rsid w:val="007B5370"/>
    <w:rsid w:val="007B7496"/>
    <w:rsid w:val="007C041D"/>
    <w:rsid w:val="007C0802"/>
    <w:rsid w:val="007C12BE"/>
    <w:rsid w:val="007C2739"/>
    <w:rsid w:val="007C3ECA"/>
    <w:rsid w:val="007C4111"/>
    <w:rsid w:val="007C45C3"/>
    <w:rsid w:val="007C4B0F"/>
    <w:rsid w:val="007C69B8"/>
    <w:rsid w:val="007C6E99"/>
    <w:rsid w:val="007D0C44"/>
    <w:rsid w:val="007D1404"/>
    <w:rsid w:val="007D1972"/>
    <w:rsid w:val="007E20EF"/>
    <w:rsid w:val="007E79C5"/>
    <w:rsid w:val="007E7C83"/>
    <w:rsid w:val="007F000B"/>
    <w:rsid w:val="007F4740"/>
    <w:rsid w:val="007F776B"/>
    <w:rsid w:val="008006C6"/>
    <w:rsid w:val="00800BD8"/>
    <w:rsid w:val="0080153E"/>
    <w:rsid w:val="00802212"/>
    <w:rsid w:val="0081151E"/>
    <w:rsid w:val="008119ED"/>
    <w:rsid w:val="00812498"/>
    <w:rsid w:val="00812C61"/>
    <w:rsid w:val="0081336E"/>
    <w:rsid w:val="00813928"/>
    <w:rsid w:val="00816622"/>
    <w:rsid w:val="00820D97"/>
    <w:rsid w:val="00821698"/>
    <w:rsid w:val="0082207F"/>
    <w:rsid w:val="008221FE"/>
    <w:rsid w:val="00822BF5"/>
    <w:rsid w:val="00826C7B"/>
    <w:rsid w:val="00826DD9"/>
    <w:rsid w:val="008275B0"/>
    <w:rsid w:val="008278B6"/>
    <w:rsid w:val="00830227"/>
    <w:rsid w:val="00834358"/>
    <w:rsid w:val="00835478"/>
    <w:rsid w:val="00835D55"/>
    <w:rsid w:val="008456FB"/>
    <w:rsid w:val="00846292"/>
    <w:rsid w:val="008506E1"/>
    <w:rsid w:val="008523C5"/>
    <w:rsid w:val="00854553"/>
    <w:rsid w:val="00855FEC"/>
    <w:rsid w:val="00860874"/>
    <w:rsid w:val="00862720"/>
    <w:rsid w:val="008628C8"/>
    <w:rsid w:val="00862B2A"/>
    <w:rsid w:val="008630B9"/>
    <w:rsid w:val="0086342A"/>
    <w:rsid w:val="00863F37"/>
    <w:rsid w:val="0086406B"/>
    <w:rsid w:val="00864B99"/>
    <w:rsid w:val="00867651"/>
    <w:rsid w:val="00871702"/>
    <w:rsid w:val="008743F3"/>
    <w:rsid w:val="0087444A"/>
    <w:rsid w:val="00875139"/>
    <w:rsid w:val="00875410"/>
    <w:rsid w:val="00885091"/>
    <w:rsid w:val="008850BA"/>
    <w:rsid w:val="00885876"/>
    <w:rsid w:val="00885A5E"/>
    <w:rsid w:val="00886185"/>
    <w:rsid w:val="00887395"/>
    <w:rsid w:val="008908E5"/>
    <w:rsid w:val="00894E32"/>
    <w:rsid w:val="00894FDC"/>
    <w:rsid w:val="008A16F9"/>
    <w:rsid w:val="008A1D3E"/>
    <w:rsid w:val="008A38BD"/>
    <w:rsid w:val="008A4E39"/>
    <w:rsid w:val="008A6D62"/>
    <w:rsid w:val="008B3B51"/>
    <w:rsid w:val="008B3FC4"/>
    <w:rsid w:val="008B4057"/>
    <w:rsid w:val="008B5290"/>
    <w:rsid w:val="008B5F46"/>
    <w:rsid w:val="008B615B"/>
    <w:rsid w:val="008C2CFD"/>
    <w:rsid w:val="008D2D34"/>
    <w:rsid w:val="008D4B58"/>
    <w:rsid w:val="008D4D51"/>
    <w:rsid w:val="008D4F57"/>
    <w:rsid w:val="008D6C2A"/>
    <w:rsid w:val="008E0F52"/>
    <w:rsid w:val="008E34BE"/>
    <w:rsid w:val="008E5E51"/>
    <w:rsid w:val="008E781A"/>
    <w:rsid w:val="008F3851"/>
    <w:rsid w:val="008F47C6"/>
    <w:rsid w:val="00905692"/>
    <w:rsid w:val="00905C47"/>
    <w:rsid w:val="009060FA"/>
    <w:rsid w:val="00906379"/>
    <w:rsid w:val="0090712D"/>
    <w:rsid w:val="009118BB"/>
    <w:rsid w:val="00914C14"/>
    <w:rsid w:val="00915B81"/>
    <w:rsid w:val="009160DF"/>
    <w:rsid w:val="009162C7"/>
    <w:rsid w:val="009213BD"/>
    <w:rsid w:val="00921EF0"/>
    <w:rsid w:val="00921FA3"/>
    <w:rsid w:val="00922D98"/>
    <w:rsid w:val="0092599B"/>
    <w:rsid w:val="00925BE6"/>
    <w:rsid w:val="00926F61"/>
    <w:rsid w:val="00931B23"/>
    <w:rsid w:val="009330E9"/>
    <w:rsid w:val="00940D39"/>
    <w:rsid w:val="009411FB"/>
    <w:rsid w:val="009414A9"/>
    <w:rsid w:val="009421AD"/>
    <w:rsid w:val="0094221C"/>
    <w:rsid w:val="0094409C"/>
    <w:rsid w:val="0095285B"/>
    <w:rsid w:val="00953FE9"/>
    <w:rsid w:val="009567E6"/>
    <w:rsid w:val="0095694B"/>
    <w:rsid w:val="00957132"/>
    <w:rsid w:val="009578EB"/>
    <w:rsid w:val="00962583"/>
    <w:rsid w:val="009633BB"/>
    <w:rsid w:val="0096485F"/>
    <w:rsid w:val="00964A9F"/>
    <w:rsid w:val="00967C30"/>
    <w:rsid w:val="009731D6"/>
    <w:rsid w:val="009744CE"/>
    <w:rsid w:val="00976870"/>
    <w:rsid w:val="00976F04"/>
    <w:rsid w:val="009777F4"/>
    <w:rsid w:val="00980A10"/>
    <w:rsid w:val="00981130"/>
    <w:rsid w:val="00985DFB"/>
    <w:rsid w:val="00985EF7"/>
    <w:rsid w:val="00986CF9"/>
    <w:rsid w:val="00987015"/>
    <w:rsid w:val="009871DB"/>
    <w:rsid w:val="0099017E"/>
    <w:rsid w:val="00990C0E"/>
    <w:rsid w:val="00991093"/>
    <w:rsid w:val="00993E31"/>
    <w:rsid w:val="00996306"/>
    <w:rsid w:val="00996744"/>
    <w:rsid w:val="00997CF4"/>
    <w:rsid w:val="009A0832"/>
    <w:rsid w:val="009A1260"/>
    <w:rsid w:val="009A21A6"/>
    <w:rsid w:val="009A6919"/>
    <w:rsid w:val="009A7554"/>
    <w:rsid w:val="009B0843"/>
    <w:rsid w:val="009B0E54"/>
    <w:rsid w:val="009B3AE9"/>
    <w:rsid w:val="009B567A"/>
    <w:rsid w:val="009B7A5B"/>
    <w:rsid w:val="009C0ED0"/>
    <w:rsid w:val="009C126A"/>
    <w:rsid w:val="009C12D0"/>
    <w:rsid w:val="009C1D4C"/>
    <w:rsid w:val="009C2DD2"/>
    <w:rsid w:val="009C441F"/>
    <w:rsid w:val="009C483B"/>
    <w:rsid w:val="009C4A07"/>
    <w:rsid w:val="009C51D5"/>
    <w:rsid w:val="009C70DB"/>
    <w:rsid w:val="009D19BC"/>
    <w:rsid w:val="009D2348"/>
    <w:rsid w:val="009D3A5F"/>
    <w:rsid w:val="009D4017"/>
    <w:rsid w:val="009D412D"/>
    <w:rsid w:val="009D485E"/>
    <w:rsid w:val="009D5C32"/>
    <w:rsid w:val="009D6472"/>
    <w:rsid w:val="009E2DE6"/>
    <w:rsid w:val="009E5AF5"/>
    <w:rsid w:val="009E5EB5"/>
    <w:rsid w:val="009E6416"/>
    <w:rsid w:val="009E74F0"/>
    <w:rsid w:val="009E7531"/>
    <w:rsid w:val="009F467C"/>
    <w:rsid w:val="009F4A24"/>
    <w:rsid w:val="009F7867"/>
    <w:rsid w:val="009F7D66"/>
    <w:rsid w:val="00A00BD2"/>
    <w:rsid w:val="00A00E56"/>
    <w:rsid w:val="00A03978"/>
    <w:rsid w:val="00A0413C"/>
    <w:rsid w:val="00A10CF3"/>
    <w:rsid w:val="00A12798"/>
    <w:rsid w:val="00A12D61"/>
    <w:rsid w:val="00A143D8"/>
    <w:rsid w:val="00A14827"/>
    <w:rsid w:val="00A15DEE"/>
    <w:rsid w:val="00A167B5"/>
    <w:rsid w:val="00A16DBE"/>
    <w:rsid w:val="00A20A39"/>
    <w:rsid w:val="00A238BD"/>
    <w:rsid w:val="00A242AC"/>
    <w:rsid w:val="00A2459D"/>
    <w:rsid w:val="00A25F05"/>
    <w:rsid w:val="00A26426"/>
    <w:rsid w:val="00A271E1"/>
    <w:rsid w:val="00A311AE"/>
    <w:rsid w:val="00A312A6"/>
    <w:rsid w:val="00A3130E"/>
    <w:rsid w:val="00A31991"/>
    <w:rsid w:val="00A32E8B"/>
    <w:rsid w:val="00A35B02"/>
    <w:rsid w:val="00A3776A"/>
    <w:rsid w:val="00A40FEB"/>
    <w:rsid w:val="00A41D29"/>
    <w:rsid w:val="00A42AC1"/>
    <w:rsid w:val="00A42D07"/>
    <w:rsid w:val="00A43625"/>
    <w:rsid w:val="00A45468"/>
    <w:rsid w:val="00A47508"/>
    <w:rsid w:val="00A475B1"/>
    <w:rsid w:val="00A50A48"/>
    <w:rsid w:val="00A51172"/>
    <w:rsid w:val="00A51573"/>
    <w:rsid w:val="00A51A5E"/>
    <w:rsid w:val="00A527B9"/>
    <w:rsid w:val="00A5765D"/>
    <w:rsid w:val="00A60B83"/>
    <w:rsid w:val="00A62299"/>
    <w:rsid w:val="00A7143C"/>
    <w:rsid w:val="00A74692"/>
    <w:rsid w:val="00A75305"/>
    <w:rsid w:val="00A7618B"/>
    <w:rsid w:val="00A7640B"/>
    <w:rsid w:val="00A7778B"/>
    <w:rsid w:val="00A803BC"/>
    <w:rsid w:val="00A80969"/>
    <w:rsid w:val="00A83DD6"/>
    <w:rsid w:val="00A86EA7"/>
    <w:rsid w:val="00A87F80"/>
    <w:rsid w:val="00A906FD"/>
    <w:rsid w:val="00A92776"/>
    <w:rsid w:val="00A93181"/>
    <w:rsid w:val="00A938E6"/>
    <w:rsid w:val="00A95BD5"/>
    <w:rsid w:val="00A96F78"/>
    <w:rsid w:val="00AA1153"/>
    <w:rsid w:val="00AA18F5"/>
    <w:rsid w:val="00AA25A9"/>
    <w:rsid w:val="00AA26D9"/>
    <w:rsid w:val="00AA51AD"/>
    <w:rsid w:val="00AA591E"/>
    <w:rsid w:val="00AB0A32"/>
    <w:rsid w:val="00AB0E56"/>
    <w:rsid w:val="00AB1BB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9FF"/>
    <w:rsid w:val="00AD702B"/>
    <w:rsid w:val="00AD72E6"/>
    <w:rsid w:val="00AE6C44"/>
    <w:rsid w:val="00AF0760"/>
    <w:rsid w:val="00AF1051"/>
    <w:rsid w:val="00AF2D54"/>
    <w:rsid w:val="00AF3F7B"/>
    <w:rsid w:val="00AF4F1B"/>
    <w:rsid w:val="00AF7D92"/>
    <w:rsid w:val="00B00AA4"/>
    <w:rsid w:val="00B011CC"/>
    <w:rsid w:val="00B04F3D"/>
    <w:rsid w:val="00B05BB6"/>
    <w:rsid w:val="00B06B9F"/>
    <w:rsid w:val="00B06DD9"/>
    <w:rsid w:val="00B11775"/>
    <w:rsid w:val="00B1302D"/>
    <w:rsid w:val="00B1513F"/>
    <w:rsid w:val="00B16176"/>
    <w:rsid w:val="00B20725"/>
    <w:rsid w:val="00B230F7"/>
    <w:rsid w:val="00B2628E"/>
    <w:rsid w:val="00B266B0"/>
    <w:rsid w:val="00B27921"/>
    <w:rsid w:val="00B3000E"/>
    <w:rsid w:val="00B326A8"/>
    <w:rsid w:val="00B33063"/>
    <w:rsid w:val="00B3377E"/>
    <w:rsid w:val="00B33B33"/>
    <w:rsid w:val="00B340EF"/>
    <w:rsid w:val="00B3670C"/>
    <w:rsid w:val="00B40A96"/>
    <w:rsid w:val="00B43A16"/>
    <w:rsid w:val="00B44A81"/>
    <w:rsid w:val="00B46A75"/>
    <w:rsid w:val="00B500CD"/>
    <w:rsid w:val="00B506AE"/>
    <w:rsid w:val="00B5239C"/>
    <w:rsid w:val="00B53893"/>
    <w:rsid w:val="00B55428"/>
    <w:rsid w:val="00B63337"/>
    <w:rsid w:val="00B6369F"/>
    <w:rsid w:val="00B6591B"/>
    <w:rsid w:val="00B724DB"/>
    <w:rsid w:val="00B7267A"/>
    <w:rsid w:val="00B726FF"/>
    <w:rsid w:val="00B72AA4"/>
    <w:rsid w:val="00B77880"/>
    <w:rsid w:val="00B80D90"/>
    <w:rsid w:val="00B81CED"/>
    <w:rsid w:val="00B82613"/>
    <w:rsid w:val="00B8375F"/>
    <w:rsid w:val="00B85522"/>
    <w:rsid w:val="00B90DAD"/>
    <w:rsid w:val="00B90E2A"/>
    <w:rsid w:val="00B90F2A"/>
    <w:rsid w:val="00B91167"/>
    <w:rsid w:val="00B9198D"/>
    <w:rsid w:val="00B93008"/>
    <w:rsid w:val="00B93D12"/>
    <w:rsid w:val="00B9406D"/>
    <w:rsid w:val="00B94BA7"/>
    <w:rsid w:val="00B94E0E"/>
    <w:rsid w:val="00B97CA3"/>
    <w:rsid w:val="00BA25CC"/>
    <w:rsid w:val="00BA3406"/>
    <w:rsid w:val="00BA3612"/>
    <w:rsid w:val="00BB1946"/>
    <w:rsid w:val="00BB3E2B"/>
    <w:rsid w:val="00BB4567"/>
    <w:rsid w:val="00BC07D4"/>
    <w:rsid w:val="00BC0A5D"/>
    <w:rsid w:val="00BC32BC"/>
    <w:rsid w:val="00BC32E7"/>
    <w:rsid w:val="00BC6881"/>
    <w:rsid w:val="00BD3E68"/>
    <w:rsid w:val="00BD598A"/>
    <w:rsid w:val="00BD75B4"/>
    <w:rsid w:val="00BD7D14"/>
    <w:rsid w:val="00BE02B4"/>
    <w:rsid w:val="00BE513B"/>
    <w:rsid w:val="00BE631E"/>
    <w:rsid w:val="00BF0CCF"/>
    <w:rsid w:val="00BF0FC5"/>
    <w:rsid w:val="00BF10BC"/>
    <w:rsid w:val="00BF3669"/>
    <w:rsid w:val="00BF3DA3"/>
    <w:rsid w:val="00BF621E"/>
    <w:rsid w:val="00C12E39"/>
    <w:rsid w:val="00C14164"/>
    <w:rsid w:val="00C15521"/>
    <w:rsid w:val="00C15D8E"/>
    <w:rsid w:val="00C16808"/>
    <w:rsid w:val="00C1708A"/>
    <w:rsid w:val="00C21EB3"/>
    <w:rsid w:val="00C25E2C"/>
    <w:rsid w:val="00C26546"/>
    <w:rsid w:val="00C33359"/>
    <w:rsid w:val="00C348D6"/>
    <w:rsid w:val="00C34A63"/>
    <w:rsid w:val="00C36E34"/>
    <w:rsid w:val="00C37CB3"/>
    <w:rsid w:val="00C40CEF"/>
    <w:rsid w:val="00C42689"/>
    <w:rsid w:val="00C42988"/>
    <w:rsid w:val="00C42F4E"/>
    <w:rsid w:val="00C43FF0"/>
    <w:rsid w:val="00C46B7E"/>
    <w:rsid w:val="00C46EAB"/>
    <w:rsid w:val="00C50E1B"/>
    <w:rsid w:val="00C522D6"/>
    <w:rsid w:val="00C545C5"/>
    <w:rsid w:val="00C60827"/>
    <w:rsid w:val="00C6120D"/>
    <w:rsid w:val="00C61D4B"/>
    <w:rsid w:val="00C6528C"/>
    <w:rsid w:val="00C661E8"/>
    <w:rsid w:val="00C70084"/>
    <w:rsid w:val="00C705B2"/>
    <w:rsid w:val="00C7235B"/>
    <w:rsid w:val="00C72E18"/>
    <w:rsid w:val="00C72EB7"/>
    <w:rsid w:val="00C76F1D"/>
    <w:rsid w:val="00C77D26"/>
    <w:rsid w:val="00C84D39"/>
    <w:rsid w:val="00C85D76"/>
    <w:rsid w:val="00C90C8E"/>
    <w:rsid w:val="00C92819"/>
    <w:rsid w:val="00C93462"/>
    <w:rsid w:val="00C93ADF"/>
    <w:rsid w:val="00C96F79"/>
    <w:rsid w:val="00CA0445"/>
    <w:rsid w:val="00CA29EC"/>
    <w:rsid w:val="00CA391D"/>
    <w:rsid w:val="00CA3ACD"/>
    <w:rsid w:val="00CB052E"/>
    <w:rsid w:val="00CB09DA"/>
    <w:rsid w:val="00CB0C27"/>
    <w:rsid w:val="00CB1DE8"/>
    <w:rsid w:val="00CB1E3B"/>
    <w:rsid w:val="00CB1F1D"/>
    <w:rsid w:val="00CB6CA4"/>
    <w:rsid w:val="00CB71F8"/>
    <w:rsid w:val="00CC0F92"/>
    <w:rsid w:val="00CC1FFF"/>
    <w:rsid w:val="00CC26DB"/>
    <w:rsid w:val="00CC32FF"/>
    <w:rsid w:val="00CC3DAA"/>
    <w:rsid w:val="00CC3EF0"/>
    <w:rsid w:val="00CC4C2C"/>
    <w:rsid w:val="00CC5057"/>
    <w:rsid w:val="00CC75BA"/>
    <w:rsid w:val="00CD121E"/>
    <w:rsid w:val="00CD3ED8"/>
    <w:rsid w:val="00CD4A88"/>
    <w:rsid w:val="00CD7155"/>
    <w:rsid w:val="00CD761D"/>
    <w:rsid w:val="00CD76B5"/>
    <w:rsid w:val="00CE1D34"/>
    <w:rsid w:val="00CE323B"/>
    <w:rsid w:val="00CF2483"/>
    <w:rsid w:val="00CF24E2"/>
    <w:rsid w:val="00CF4ABD"/>
    <w:rsid w:val="00CF5D28"/>
    <w:rsid w:val="00D001F9"/>
    <w:rsid w:val="00D00BB7"/>
    <w:rsid w:val="00D01EAD"/>
    <w:rsid w:val="00D02769"/>
    <w:rsid w:val="00D030DA"/>
    <w:rsid w:val="00D050BA"/>
    <w:rsid w:val="00D05125"/>
    <w:rsid w:val="00D064E8"/>
    <w:rsid w:val="00D065CD"/>
    <w:rsid w:val="00D06719"/>
    <w:rsid w:val="00D12325"/>
    <w:rsid w:val="00D14350"/>
    <w:rsid w:val="00D14487"/>
    <w:rsid w:val="00D14490"/>
    <w:rsid w:val="00D15221"/>
    <w:rsid w:val="00D15E7E"/>
    <w:rsid w:val="00D169AE"/>
    <w:rsid w:val="00D2279F"/>
    <w:rsid w:val="00D22882"/>
    <w:rsid w:val="00D22AF1"/>
    <w:rsid w:val="00D22E93"/>
    <w:rsid w:val="00D24461"/>
    <w:rsid w:val="00D24D73"/>
    <w:rsid w:val="00D26670"/>
    <w:rsid w:val="00D270BE"/>
    <w:rsid w:val="00D27B8B"/>
    <w:rsid w:val="00D31074"/>
    <w:rsid w:val="00D3232B"/>
    <w:rsid w:val="00D324A4"/>
    <w:rsid w:val="00D35198"/>
    <w:rsid w:val="00D42240"/>
    <w:rsid w:val="00D427C3"/>
    <w:rsid w:val="00D443D4"/>
    <w:rsid w:val="00D44932"/>
    <w:rsid w:val="00D4603B"/>
    <w:rsid w:val="00D46F11"/>
    <w:rsid w:val="00D47C16"/>
    <w:rsid w:val="00D502AF"/>
    <w:rsid w:val="00D50764"/>
    <w:rsid w:val="00D50C12"/>
    <w:rsid w:val="00D53830"/>
    <w:rsid w:val="00D55889"/>
    <w:rsid w:val="00D63014"/>
    <w:rsid w:val="00D638C9"/>
    <w:rsid w:val="00D64426"/>
    <w:rsid w:val="00D64674"/>
    <w:rsid w:val="00D7021B"/>
    <w:rsid w:val="00D72247"/>
    <w:rsid w:val="00D73077"/>
    <w:rsid w:val="00D73C57"/>
    <w:rsid w:val="00D75546"/>
    <w:rsid w:val="00D758B3"/>
    <w:rsid w:val="00D77964"/>
    <w:rsid w:val="00D81F10"/>
    <w:rsid w:val="00D8382E"/>
    <w:rsid w:val="00D84A25"/>
    <w:rsid w:val="00D855F1"/>
    <w:rsid w:val="00D874DF"/>
    <w:rsid w:val="00D87C1C"/>
    <w:rsid w:val="00D930E1"/>
    <w:rsid w:val="00D9415C"/>
    <w:rsid w:val="00D94D87"/>
    <w:rsid w:val="00D962DC"/>
    <w:rsid w:val="00DA0240"/>
    <w:rsid w:val="00DA180C"/>
    <w:rsid w:val="00DA451D"/>
    <w:rsid w:val="00DA6452"/>
    <w:rsid w:val="00DA7E75"/>
    <w:rsid w:val="00DB0AB8"/>
    <w:rsid w:val="00DB0D2A"/>
    <w:rsid w:val="00DB39D4"/>
    <w:rsid w:val="00DB3A47"/>
    <w:rsid w:val="00DB41F4"/>
    <w:rsid w:val="00DB45A7"/>
    <w:rsid w:val="00DB4E06"/>
    <w:rsid w:val="00DC7AA4"/>
    <w:rsid w:val="00DD1C4B"/>
    <w:rsid w:val="00DD229E"/>
    <w:rsid w:val="00DD3B5E"/>
    <w:rsid w:val="00DD55E0"/>
    <w:rsid w:val="00DE1904"/>
    <w:rsid w:val="00DE3DBB"/>
    <w:rsid w:val="00DE541C"/>
    <w:rsid w:val="00DE737B"/>
    <w:rsid w:val="00DF2333"/>
    <w:rsid w:val="00DF775F"/>
    <w:rsid w:val="00E0008B"/>
    <w:rsid w:val="00E014E2"/>
    <w:rsid w:val="00E0576C"/>
    <w:rsid w:val="00E073F0"/>
    <w:rsid w:val="00E10761"/>
    <w:rsid w:val="00E11EEB"/>
    <w:rsid w:val="00E164F9"/>
    <w:rsid w:val="00E26CF9"/>
    <w:rsid w:val="00E3085E"/>
    <w:rsid w:val="00E31799"/>
    <w:rsid w:val="00E319DB"/>
    <w:rsid w:val="00E33D74"/>
    <w:rsid w:val="00E34F76"/>
    <w:rsid w:val="00E3595F"/>
    <w:rsid w:val="00E41A27"/>
    <w:rsid w:val="00E53A01"/>
    <w:rsid w:val="00E567C9"/>
    <w:rsid w:val="00E604C4"/>
    <w:rsid w:val="00E61300"/>
    <w:rsid w:val="00E635B9"/>
    <w:rsid w:val="00E658A2"/>
    <w:rsid w:val="00E7013A"/>
    <w:rsid w:val="00E7422C"/>
    <w:rsid w:val="00E74F5D"/>
    <w:rsid w:val="00E75F45"/>
    <w:rsid w:val="00E76034"/>
    <w:rsid w:val="00E8003C"/>
    <w:rsid w:val="00E817E0"/>
    <w:rsid w:val="00E82EE4"/>
    <w:rsid w:val="00E831E7"/>
    <w:rsid w:val="00E843B5"/>
    <w:rsid w:val="00E85307"/>
    <w:rsid w:val="00E90A24"/>
    <w:rsid w:val="00E90A3E"/>
    <w:rsid w:val="00E90C34"/>
    <w:rsid w:val="00E919CE"/>
    <w:rsid w:val="00E946A6"/>
    <w:rsid w:val="00E947E4"/>
    <w:rsid w:val="00E96FE6"/>
    <w:rsid w:val="00E9754B"/>
    <w:rsid w:val="00EA1D43"/>
    <w:rsid w:val="00EA2522"/>
    <w:rsid w:val="00EA4962"/>
    <w:rsid w:val="00EA4EC9"/>
    <w:rsid w:val="00EA535C"/>
    <w:rsid w:val="00EB1D47"/>
    <w:rsid w:val="00EB279B"/>
    <w:rsid w:val="00EB2ABB"/>
    <w:rsid w:val="00EB3586"/>
    <w:rsid w:val="00EB5D88"/>
    <w:rsid w:val="00EB6B58"/>
    <w:rsid w:val="00EC14B0"/>
    <w:rsid w:val="00EC1F78"/>
    <w:rsid w:val="00EC249E"/>
    <w:rsid w:val="00EC651E"/>
    <w:rsid w:val="00EC692E"/>
    <w:rsid w:val="00EC745E"/>
    <w:rsid w:val="00ED27C3"/>
    <w:rsid w:val="00ED3775"/>
    <w:rsid w:val="00ED4A6D"/>
    <w:rsid w:val="00ED7918"/>
    <w:rsid w:val="00EE085E"/>
    <w:rsid w:val="00EE22B6"/>
    <w:rsid w:val="00EE35D1"/>
    <w:rsid w:val="00EE3663"/>
    <w:rsid w:val="00EE5384"/>
    <w:rsid w:val="00EE5F66"/>
    <w:rsid w:val="00EE76A9"/>
    <w:rsid w:val="00EE799E"/>
    <w:rsid w:val="00EE7CA8"/>
    <w:rsid w:val="00EE7FA7"/>
    <w:rsid w:val="00EF1093"/>
    <w:rsid w:val="00EF21C3"/>
    <w:rsid w:val="00EF4363"/>
    <w:rsid w:val="00EF5595"/>
    <w:rsid w:val="00F00CD1"/>
    <w:rsid w:val="00F0241C"/>
    <w:rsid w:val="00F03928"/>
    <w:rsid w:val="00F03E1D"/>
    <w:rsid w:val="00F07F93"/>
    <w:rsid w:val="00F12351"/>
    <w:rsid w:val="00F16739"/>
    <w:rsid w:val="00F20194"/>
    <w:rsid w:val="00F20425"/>
    <w:rsid w:val="00F2052B"/>
    <w:rsid w:val="00F2260F"/>
    <w:rsid w:val="00F23013"/>
    <w:rsid w:val="00F242AD"/>
    <w:rsid w:val="00F242FE"/>
    <w:rsid w:val="00F247F2"/>
    <w:rsid w:val="00F25BF9"/>
    <w:rsid w:val="00F26273"/>
    <w:rsid w:val="00F40C60"/>
    <w:rsid w:val="00F4275C"/>
    <w:rsid w:val="00F46DBB"/>
    <w:rsid w:val="00F476F0"/>
    <w:rsid w:val="00F516F9"/>
    <w:rsid w:val="00F51F43"/>
    <w:rsid w:val="00F5277A"/>
    <w:rsid w:val="00F532E8"/>
    <w:rsid w:val="00F537FF"/>
    <w:rsid w:val="00F563E4"/>
    <w:rsid w:val="00F60089"/>
    <w:rsid w:val="00F6111C"/>
    <w:rsid w:val="00F61429"/>
    <w:rsid w:val="00F614C0"/>
    <w:rsid w:val="00F61647"/>
    <w:rsid w:val="00F61917"/>
    <w:rsid w:val="00F64AA4"/>
    <w:rsid w:val="00F657CF"/>
    <w:rsid w:val="00F70FA2"/>
    <w:rsid w:val="00F713A3"/>
    <w:rsid w:val="00F71A8F"/>
    <w:rsid w:val="00F80703"/>
    <w:rsid w:val="00F80948"/>
    <w:rsid w:val="00F81387"/>
    <w:rsid w:val="00F8449B"/>
    <w:rsid w:val="00F85691"/>
    <w:rsid w:val="00F87094"/>
    <w:rsid w:val="00F87AB3"/>
    <w:rsid w:val="00F913DC"/>
    <w:rsid w:val="00F91DDA"/>
    <w:rsid w:val="00F93A37"/>
    <w:rsid w:val="00F93A98"/>
    <w:rsid w:val="00F94182"/>
    <w:rsid w:val="00F95F1F"/>
    <w:rsid w:val="00FA1A5B"/>
    <w:rsid w:val="00FA3F99"/>
    <w:rsid w:val="00FA54ED"/>
    <w:rsid w:val="00FA6E7F"/>
    <w:rsid w:val="00FA7114"/>
    <w:rsid w:val="00FA73B4"/>
    <w:rsid w:val="00FA73ED"/>
    <w:rsid w:val="00FB2379"/>
    <w:rsid w:val="00FB4B8A"/>
    <w:rsid w:val="00FB680E"/>
    <w:rsid w:val="00FB7F03"/>
    <w:rsid w:val="00FC0065"/>
    <w:rsid w:val="00FC3215"/>
    <w:rsid w:val="00FC323B"/>
    <w:rsid w:val="00FC3AEE"/>
    <w:rsid w:val="00FD33FC"/>
    <w:rsid w:val="00FD3730"/>
    <w:rsid w:val="00FD3B08"/>
    <w:rsid w:val="00FD4806"/>
    <w:rsid w:val="00FD534E"/>
    <w:rsid w:val="00FD546F"/>
    <w:rsid w:val="00FD5CBB"/>
    <w:rsid w:val="00FD6B74"/>
    <w:rsid w:val="00FD79C7"/>
    <w:rsid w:val="00FE002E"/>
    <w:rsid w:val="00FE1387"/>
    <w:rsid w:val="00FE234E"/>
    <w:rsid w:val="00FE2398"/>
    <w:rsid w:val="00FE515A"/>
    <w:rsid w:val="00FE5624"/>
    <w:rsid w:val="00FE5D29"/>
    <w:rsid w:val="00FE5FBF"/>
    <w:rsid w:val="00FE6C25"/>
    <w:rsid w:val="00FF0964"/>
    <w:rsid w:val="00FF16F2"/>
    <w:rsid w:val="00FF2B42"/>
    <w:rsid w:val="00FF307A"/>
    <w:rsid w:val="00FF3B7F"/>
    <w:rsid w:val="00FF6A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0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2007203647">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82342-5BEA-4AF3-AF2C-7A137D84E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7</Pages>
  <Words>2353</Words>
  <Characters>13417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gliu@sequans.com</dc:creator>
  <cp:lastModifiedBy>Guang Liu</cp:lastModifiedBy>
  <cp:revision>2</cp:revision>
  <cp:lastPrinted>2015-04-01T08:45:00Z</cp:lastPrinted>
  <dcterms:created xsi:type="dcterms:W3CDTF">2016-02-05T16:52:00Z</dcterms:created>
  <dcterms:modified xsi:type="dcterms:W3CDTF">2016-02-05T16:52:00Z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