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8A0B7A" w:rsidRDefault="00EA20D5" w:rsidP="008A0B7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9592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8A0B7A">
        <w:rPr>
          <w:b/>
          <w:kern w:val="2"/>
          <w:lang w:eastAsia="zh-CN"/>
        </w:rPr>
        <w:t xml:space="preserve">3GPP </w:t>
      </w:r>
      <w:r w:rsidR="009C0564" w:rsidRPr="008A0B7A">
        <w:rPr>
          <w:b/>
          <w:kern w:val="2"/>
          <w:lang w:eastAsia="zh-CN"/>
        </w:rPr>
        <w:t xml:space="preserve">TSG RAN </w:t>
      </w:r>
      <w:r w:rsidR="001A2C89" w:rsidRPr="008A0B7A">
        <w:rPr>
          <w:b/>
          <w:kern w:val="2"/>
          <w:lang w:eastAsia="zh-CN"/>
        </w:rPr>
        <w:t>WG</w:t>
      </w:r>
      <w:r w:rsidR="00FF2E73" w:rsidRPr="008A0B7A">
        <w:rPr>
          <w:b/>
          <w:kern w:val="2"/>
          <w:lang w:eastAsia="zh-CN"/>
        </w:rPr>
        <w:t>1</w:t>
      </w:r>
      <w:r w:rsidR="00A34D62" w:rsidRPr="008A0B7A">
        <w:rPr>
          <w:b/>
          <w:kern w:val="2"/>
          <w:lang w:eastAsia="zh-CN"/>
        </w:rPr>
        <w:t xml:space="preserve"> </w:t>
      </w:r>
      <w:r w:rsidR="00E04BC7" w:rsidRPr="008A0B7A">
        <w:rPr>
          <w:b/>
          <w:kern w:val="2"/>
          <w:lang w:eastAsia="zh-CN"/>
        </w:rPr>
        <w:t xml:space="preserve">Meeting </w:t>
      </w:r>
      <w:r w:rsidR="001F7121" w:rsidRPr="008A0B7A">
        <w:rPr>
          <w:b/>
          <w:kern w:val="2"/>
          <w:lang w:eastAsia="zh-CN"/>
        </w:rPr>
        <w:t>#</w:t>
      </w:r>
      <w:r w:rsidR="008A27A9">
        <w:rPr>
          <w:rFonts w:hint="eastAsia"/>
          <w:b/>
          <w:kern w:val="2"/>
          <w:lang w:eastAsia="zh-CN"/>
        </w:rPr>
        <w:t>84</w:t>
      </w:r>
      <w:r w:rsidR="00972929" w:rsidRPr="008A0B7A">
        <w:rPr>
          <w:b/>
          <w:kern w:val="2"/>
          <w:lang w:eastAsia="zh-CN"/>
        </w:rPr>
        <w:tab/>
      </w:r>
      <w:r w:rsidR="0062407B" w:rsidRPr="008A0B7A">
        <w:rPr>
          <w:b/>
          <w:kern w:val="2"/>
          <w:lang w:eastAsia="zh-CN"/>
        </w:rPr>
        <w:t>R1-</w:t>
      </w:r>
      <w:r w:rsidR="00275CB7" w:rsidRPr="00275CB7">
        <w:rPr>
          <w:b/>
          <w:kern w:val="2"/>
          <w:lang w:eastAsia="zh-CN"/>
        </w:rPr>
        <w:t>160340</w:t>
      </w:r>
    </w:p>
    <w:p w:rsidR="00C31AAE" w:rsidRPr="008A0B7A" w:rsidRDefault="008A27A9" w:rsidP="008A0B7A">
      <w:pPr>
        <w:jc w:val="left"/>
        <w:rPr>
          <w:b/>
          <w:lang w:eastAsia="zh-CN"/>
        </w:rPr>
      </w:pPr>
      <w:r>
        <w:rPr>
          <w:b/>
          <w:lang w:eastAsia="zh-CN"/>
        </w:rPr>
        <w:t>St. Julian’s, Malta</w:t>
      </w:r>
      <w:r w:rsidR="009D4EA2" w:rsidRPr="008A0B7A">
        <w:rPr>
          <w:b/>
          <w:lang w:eastAsia="zh-CN"/>
        </w:rPr>
        <w:t xml:space="preserve">, </w:t>
      </w:r>
      <w:r>
        <w:rPr>
          <w:b/>
          <w:lang w:eastAsia="zh-CN"/>
        </w:rPr>
        <w:t>February 15-19</w:t>
      </w:r>
      <w:r w:rsidR="00A77B49" w:rsidRPr="008A0B7A">
        <w:rPr>
          <w:b/>
          <w:lang w:eastAsia="zh-CN"/>
        </w:rPr>
        <w:t>,</w:t>
      </w:r>
      <w:r>
        <w:rPr>
          <w:b/>
          <w:lang w:eastAsia="zh-CN"/>
        </w:rPr>
        <w:t xml:space="preserve"> 2016</w:t>
      </w:r>
    </w:p>
    <w:p w:rsidR="009C0564" w:rsidRPr="008A0B7A" w:rsidRDefault="009C0564" w:rsidP="008A0B7A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8A0B7A" w:rsidRDefault="009C0564" w:rsidP="008A0B7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0B7A">
        <w:rPr>
          <w:b/>
          <w:kern w:val="2"/>
          <w:lang w:eastAsia="zh-CN"/>
        </w:rPr>
        <w:t>Agenda Item:</w:t>
      </w:r>
      <w:r w:rsidR="00F31B49" w:rsidRPr="008A0B7A">
        <w:rPr>
          <w:b/>
          <w:kern w:val="2"/>
          <w:lang w:eastAsia="zh-CN"/>
        </w:rPr>
        <w:tab/>
      </w:r>
      <w:r w:rsidR="009D4EA2" w:rsidRPr="008A0B7A">
        <w:rPr>
          <w:rFonts w:hint="eastAsia"/>
          <w:b/>
          <w:kern w:val="2"/>
          <w:lang w:eastAsia="zh-CN"/>
        </w:rPr>
        <w:t>6</w:t>
      </w:r>
      <w:r w:rsidR="004D3BB4" w:rsidRPr="008A0B7A">
        <w:rPr>
          <w:b/>
          <w:kern w:val="2"/>
          <w:lang w:eastAsia="zh-CN"/>
        </w:rPr>
        <w:t>.</w:t>
      </w:r>
      <w:r w:rsidR="00C832AE" w:rsidRPr="008A0B7A">
        <w:rPr>
          <w:rFonts w:hint="eastAsia"/>
          <w:b/>
          <w:kern w:val="2"/>
          <w:lang w:eastAsia="zh-CN"/>
        </w:rPr>
        <w:t>2</w:t>
      </w:r>
    </w:p>
    <w:p w:rsidR="00BC1C3C" w:rsidRPr="008A0B7A" w:rsidRDefault="00305FF9" w:rsidP="008A0B7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0B7A">
        <w:rPr>
          <w:b/>
          <w:kern w:val="2"/>
          <w:lang w:eastAsia="zh-CN"/>
        </w:rPr>
        <w:t>Source:</w:t>
      </w:r>
      <w:r w:rsidRPr="008A0B7A">
        <w:rPr>
          <w:b/>
          <w:kern w:val="2"/>
          <w:lang w:eastAsia="zh-CN"/>
        </w:rPr>
        <w:tab/>
      </w:r>
      <w:r w:rsidR="008A27A9">
        <w:rPr>
          <w:b/>
          <w:kern w:val="2"/>
          <w:lang w:eastAsia="zh-CN"/>
        </w:rPr>
        <w:t>Qualcomm</w:t>
      </w:r>
    </w:p>
    <w:p w:rsidR="0026538C" w:rsidRPr="008A0B7A" w:rsidRDefault="009C0564" w:rsidP="008A0B7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0B7A">
        <w:rPr>
          <w:b/>
          <w:kern w:val="2"/>
          <w:lang w:eastAsia="zh-CN"/>
        </w:rPr>
        <w:t>Title:</w:t>
      </w:r>
      <w:r w:rsidRPr="008A0B7A">
        <w:rPr>
          <w:b/>
          <w:kern w:val="2"/>
          <w:lang w:eastAsia="zh-CN"/>
        </w:rPr>
        <w:tab/>
      </w:r>
      <w:r w:rsidR="00275CB7" w:rsidRPr="00275CB7">
        <w:rPr>
          <w:b/>
          <w:kern w:val="2"/>
          <w:lang w:eastAsia="zh-CN"/>
        </w:rPr>
        <w:t>Considerations on</w:t>
      </w:r>
      <w:r w:rsidR="004465F7">
        <w:rPr>
          <w:b/>
          <w:kern w:val="2"/>
          <w:lang w:eastAsia="zh-CN"/>
        </w:rPr>
        <w:t xml:space="preserve"> UL coverage with</w:t>
      </w:r>
      <w:r w:rsidR="00275CB7" w:rsidRPr="00275CB7">
        <w:rPr>
          <w:b/>
          <w:kern w:val="2"/>
          <w:lang w:eastAsia="zh-CN"/>
        </w:rPr>
        <w:t xml:space="preserve"> 2/10ms </w:t>
      </w:r>
      <w:r w:rsidR="004465F7">
        <w:rPr>
          <w:b/>
          <w:kern w:val="2"/>
          <w:lang w:eastAsia="zh-CN"/>
        </w:rPr>
        <w:t>E</w:t>
      </w:r>
      <w:r w:rsidR="00275CB7" w:rsidRPr="00275CB7">
        <w:rPr>
          <w:b/>
          <w:kern w:val="2"/>
          <w:lang w:eastAsia="zh-CN"/>
        </w:rPr>
        <w:t>UL TTI</w:t>
      </w:r>
      <w:r w:rsidR="004465F7">
        <w:rPr>
          <w:b/>
          <w:kern w:val="2"/>
          <w:lang w:eastAsia="zh-CN"/>
        </w:rPr>
        <w:t xml:space="preserve"> </w:t>
      </w:r>
    </w:p>
    <w:p w:rsidR="009C0564" w:rsidRPr="008A0B7A" w:rsidRDefault="009C0564" w:rsidP="008A0B7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0B7A">
        <w:rPr>
          <w:b/>
          <w:kern w:val="2"/>
          <w:lang w:eastAsia="zh-CN"/>
        </w:rPr>
        <w:t>Document for:</w:t>
      </w:r>
      <w:r w:rsidRPr="008A0B7A">
        <w:rPr>
          <w:b/>
          <w:kern w:val="2"/>
          <w:lang w:eastAsia="zh-CN"/>
        </w:rPr>
        <w:tab/>
      </w:r>
      <w:r w:rsidR="001F7121" w:rsidRPr="008A0B7A">
        <w:rPr>
          <w:b/>
          <w:kern w:val="2"/>
          <w:lang w:eastAsia="zh-CN"/>
        </w:rPr>
        <w:t xml:space="preserve">Discussion </w:t>
      </w:r>
    </w:p>
    <w:p w:rsidR="009C0564" w:rsidRPr="008A0B7A" w:rsidRDefault="009C0564" w:rsidP="008A0B7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A77B49" w:rsidRDefault="009C0564">
      <w:pPr>
        <w:pStyle w:val="Heading1"/>
      </w:pPr>
      <w:bookmarkStart w:id="0" w:name="_Ref124589705"/>
      <w:bookmarkStart w:id="1" w:name="_Ref129681862"/>
      <w:r w:rsidRPr="00A77B49">
        <w:t>Introduction</w:t>
      </w:r>
      <w:bookmarkEnd w:id="0"/>
      <w:bookmarkEnd w:id="1"/>
    </w:p>
    <w:p w:rsidR="008A27A9" w:rsidRDefault="0074223F" w:rsidP="0074223F">
      <w:pPr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In this paper we </w:t>
      </w:r>
      <w:r w:rsidR="00AD3D07">
        <w:rPr>
          <w:rFonts w:hint="eastAsia"/>
          <w:szCs w:val="20"/>
          <w:lang w:eastAsia="zh-CN"/>
        </w:rPr>
        <w:t xml:space="preserve">study </w:t>
      </w:r>
      <w:r>
        <w:rPr>
          <w:szCs w:val="20"/>
          <w:lang w:eastAsia="zh-CN"/>
        </w:rPr>
        <w:t xml:space="preserve">the effect using 2 ms / 10 ms UL TTI on uplink throughput in the presence of varying </w:t>
      </w:r>
      <w:r w:rsidR="00AD3D07">
        <w:rPr>
          <w:szCs w:val="20"/>
          <w:lang w:eastAsia="zh-CN"/>
        </w:rPr>
        <w:t xml:space="preserve">path loss profile. In a comparative study of </w:t>
      </w:r>
      <w:r>
        <w:rPr>
          <w:szCs w:val="20"/>
          <w:lang w:eastAsia="zh-CN"/>
        </w:rPr>
        <w:t xml:space="preserve">transmit </w:t>
      </w:r>
      <w:r w:rsidR="00AD3D07">
        <w:rPr>
          <w:szCs w:val="20"/>
          <w:lang w:eastAsia="zh-CN"/>
        </w:rPr>
        <w:t xml:space="preserve">power performance where two UEs supporting two different TTIs on uplink are subjected to the same RF profile on both uplink and downlink, we find that the UE </w:t>
      </w:r>
      <w:r w:rsidR="00CB62D7">
        <w:rPr>
          <w:szCs w:val="20"/>
          <w:lang w:eastAsia="zh-CN"/>
        </w:rPr>
        <w:t xml:space="preserve">deploying </w:t>
      </w:r>
      <w:r w:rsidR="00AD3D07">
        <w:rPr>
          <w:szCs w:val="20"/>
          <w:lang w:eastAsia="zh-CN"/>
        </w:rPr>
        <w:t xml:space="preserve">10 ms </w:t>
      </w:r>
      <w:r w:rsidR="00CB62D7">
        <w:rPr>
          <w:szCs w:val="20"/>
          <w:lang w:eastAsia="zh-CN"/>
        </w:rPr>
        <w:t>TTI on uplink does as well as the UE with 2 ms TTI on uplink</w:t>
      </w:r>
      <w:r>
        <w:rPr>
          <w:szCs w:val="20"/>
          <w:lang w:eastAsia="zh-CN"/>
        </w:rPr>
        <w:t xml:space="preserve"> in terms of throughput</w:t>
      </w:r>
      <w:r w:rsidR="00CB62D7">
        <w:rPr>
          <w:szCs w:val="20"/>
          <w:lang w:eastAsia="zh-CN"/>
        </w:rPr>
        <w:t xml:space="preserve">. However, the pilot power that is needed to support </w:t>
      </w:r>
      <w:r w:rsidR="009110EB">
        <w:rPr>
          <w:szCs w:val="20"/>
          <w:lang w:eastAsia="zh-CN"/>
        </w:rPr>
        <w:t xml:space="preserve">the equivalent data rates </w:t>
      </w:r>
      <w:r w:rsidR="00CB62D7">
        <w:rPr>
          <w:szCs w:val="20"/>
          <w:lang w:eastAsia="zh-CN"/>
        </w:rPr>
        <w:t xml:space="preserve">for the UE with 10 ms TTI UE is </w:t>
      </w:r>
      <w:r w:rsidR="009110EB">
        <w:rPr>
          <w:szCs w:val="20"/>
          <w:lang w:eastAsia="zh-CN"/>
        </w:rPr>
        <w:t>lower by 1 – 2 dB.</w:t>
      </w:r>
    </w:p>
    <w:p w:rsidR="009110EB" w:rsidRDefault="009110EB" w:rsidP="0074223F">
      <w:pPr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The above results gain salience in view of the fact that the path loss differential </w:t>
      </w:r>
      <w:r w:rsidR="0074223F">
        <w:rPr>
          <w:szCs w:val="20"/>
          <w:lang w:eastAsia="zh-CN"/>
        </w:rPr>
        <w:t>between</w:t>
      </w:r>
      <w:r>
        <w:rPr>
          <w:szCs w:val="20"/>
          <w:lang w:eastAsia="zh-CN"/>
        </w:rPr>
        <w:t xml:space="preserve"> U2100 and U900 is of the order of 6 to 10 dB. So, in the context of DB-DC-HSUPA we can achieve an optimal throughput </w:t>
      </w:r>
      <w:r w:rsidR="009A0EF7">
        <w:rPr>
          <w:szCs w:val="20"/>
          <w:lang w:eastAsia="zh-CN"/>
        </w:rPr>
        <w:t xml:space="preserve">and enhanced coverage by </w:t>
      </w:r>
      <w:r>
        <w:rPr>
          <w:szCs w:val="20"/>
          <w:lang w:eastAsia="zh-CN"/>
        </w:rPr>
        <w:t xml:space="preserve">configuring </w:t>
      </w:r>
      <w:r w:rsidR="009A0EF7">
        <w:rPr>
          <w:szCs w:val="20"/>
          <w:lang w:eastAsia="zh-CN"/>
        </w:rPr>
        <w:t>10</w:t>
      </w:r>
      <w:r>
        <w:rPr>
          <w:szCs w:val="20"/>
          <w:lang w:eastAsia="zh-CN"/>
        </w:rPr>
        <w:t xml:space="preserve"> ms TTI on U2100 and </w:t>
      </w:r>
      <w:r w:rsidR="009A0EF7">
        <w:rPr>
          <w:szCs w:val="20"/>
          <w:lang w:eastAsia="zh-CN"/>
        </w:rPr>
        <w:t>2</w:t>
      </w:r>
      <w:r>
        <w:rPr>
          <w:szCs w:val="20"/>
          <w:lang w:eastAsia="zh-CN"/>
        </w:rPr>
        <w:t xml:space="preserve"> ms TTI on U900.</w:t>
      </w:r>
    </w:p>
    <w:p w:rsidR="00A65A21" w:rsidRPr="00A77B49" w:rsidRDefault="00A65A21" w:rsidP="00C9644E">
      <w:pPr>
        <w:rPr>
          <w:szCs w:val="20"/>
          <w:lang w:eastAsia="zh-CN"/>
        </w:rPr>
      </w:pPr>
    </w:p>
    <w:p w:rsidR="007A3BF1" w:rsidRPr="00A77B49" w:rsidRDefault="00AD3D07" w:rsidP="007A3BF1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>
        <w:rPr>
          <w:szCs w:val="20"/>
          <w:lang w:eastAsia="zh-CN"/>
        </w:rPr>
        <w:t>Evaluation of 2 ms vs 10 ms TTI</w:t>
      </w:r>
    </w:p>
    <w:p w:rsidR="008A27A9" w:rsidRDefault="009110EB" w:rsidP="008A27A9">
      <w:pPr>
        <w:rPr>
          <w:szCs w:val="20"/>
          <w:lang w:eastAsia="zh-CN"/>
        </w:rPr>
      </w:pPr>
      <w:r>
        <w:rPr>
          <w:szCs w:val="20"/>
          <w:lang w:eastAsia="zh-CN"/>
        </w:rPr>
        <w:t>To evaluate the efficiency of usage of 10 ms TTI</w:t>
      </w:r>
      <w:r w:rsidR="009A0EF7">
        <w:rPr>
          <w:szCs w:val="20"/>
          <w:lang w:eastAsia="zh-CN"/>
        </w:rPr>
        <w:t xml:space="preserve"> and 2 ms TTI</w:t>
      </w:r>
      <w:r>
        <w:rPr>
          <w:szCs w:val="20"/>
          <w:lang w:eastAsia="zh-CN"/>
        </w:rPr>
        <w:t>, we use the test setup illustrated below.</w:t>
      </w:r>
    </w:p>
    <w:p w:rsidR="003C064A" w:rsidRDefault="009110EB" w:rsidP="009813ED">
      <w:pPr>
        <w:rPr>
          <w:szCs w:val="20"/>
          <w:lang w:eastAsia="zh-CN"/>
        </w:rPr>
      </w:pPr>
      <w:r>
        <w:rPr>
          <w:noProof/>
        </w:rPr>
        <w:drawing>
          <wp:inline distT="0" distB="0" distL="0" distR="0" wp14:anchorId="2CEA5177" wp14:editId="2E0C6A8D">
            <wp:extent cx="5916295" cy="2116455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0EB" w:rsidRDefault="009110EB" w:rsidP="009813ED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The experimental test set up is as follows: </w:t>
      </w:r>
    </w:p>
    <w:p w:rsidR="004866D5" w:rsidRDefault="009110EB" w:rsidP="003423CC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2"/>
          <w:szCs w:val="20"/>
        </w:rPr>
      </w:pPr>
      <w:r w:rsidRPr="009A0EF7">
        <w:rPr>
          <w:rFonts w:ascii="Times New Roman" w:hAnsi="Times New Roman" w:cs="Times New Roman"/>
          <w:sz w:val="22"/>
          <w:szCs w:val="20"/>
        </w:rPr>
        <w:t xml:space="preserve">Setup </w:t>
      </w:r>
      <w:r w:rsidR="005C3F44">
        <w:rPr>
          <w:rFonts w:ascii="Times New Roman" w:hAnsi="Times New Roman" w:cs="Times New Roman"/>
          <w:sz w:val="22"/>
          <w:szCs w:val="20"/>
        </w:rPr>
        <w:t>SC</w:t>
      </w:r>
      <w:r w:rsidRPr="009A0EF7">
        <w:rPr>
          <w:rFonts w:ascii="Times New Roman" w:hAnsi="Times New Roman" w:cs="Times New Roman"/>
          <w:sz w:val="22"/>
          <w:szCs w:val="20"/>
        </w:rPr>
        <w:t>-EUL call</w:t>
      </w:r>
      <w:r w:rsidR="001668D3">
        <w:rPr>
          <w:rFonts w:ascii="Times New Roman" w:hAnsi="Times New Roman" w:cs="Times New Roman"/>
          <w:sz w:val="22"/>
          <w:szCs w:val="20"/>
        </w:rPr>
        <w:t xml:space="preserve"> on two UEs</w:t>
      </w:r>
      <w:r w:rsidRPr="009A0EF7">
        <w:rPr>
          <w:rFonts w:ascii="Times New Roman" w:hAnsi="Times New Roman" w:cs="Times New Roman"/>
          <w:sz w:val="22"/>
          <w:szCs w:val="20"/>
        </w:rPr>
        <w:t xml:space="preserve"> with UL Tx power </w:t>
      </w:r>
      <w:r w:rsidR="004866D5">
        <w:rPr>
          <w:rFonts w:ascii="Times New Roman" w:hAnsi="Times New Roman" w:cs="Times New Roman"/>
          <w:sz w:val="22"/>
          <w:szCs w:val="20"/>
        </w:rPr>
        <w:t>at maximum</w:t>
      </w:r>
      <w:r w:rsidRPr="009A0EF7">
        <w:rPr>
          <w:rFonts w:ascii="Times New Roman" w:hAnsi="Times New Roman" w:cs="Times New Roman"/>
          <w:sz w:val="22"/>
          <w:szCs w:val="20"/>
        </w:rPr>
        <w:t xml:space="preserve"> </w:t>
      </w:r>
      <w:r w:rsidR="004866D5">
        <w:rPr>
          <w:rFonts w:ascii="Times New Roman" w:hAnsi="Times New Roman" w:cs="Times New Roman"/>
          <w:sz w:val="22"/>
          <w:szCs w:val="20"/>
        </w:rPr>
        <w:t>while being able to transmit</w:t>
      </w:r>
      <w:r w:rsidRPr="009A0EF7">
        <w:rPr>
          <w:rFonts w:ascii="Times New Roman" w:hAnsi="Times New Roman" w:cs="Times New Roman"/>
          <w:sz w:val="22"/>
          <w:szCs w:val="20"/>
        </w:rPr>
        <w:t xml:space="preserve"> max full buffer UL data transfer.</w:t>
      </w:r>
    </w:p>
    <w:p w:rsidR="009110EB" w:rsidRPr="009A0EF7" w:rsidRDefault="004866D5" w:rsidP="003423CC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 xml:space="preserve">EUL 2 ms and 10 ms TTI are configured on </w:t>
      </w:r>
      <w:r w:rsidR="001668D3">
        <w:rPr>
          <w:rFonts w:ascii="Times New Roman" w:hAnsi="Times New Roman" w:cs="Times New Roman"/>
          <w:sz w:val="22"/>
          <w:szCs w:val="20"/>
        </w:rPr>
        <w:t>each of the UEs respectively.</w:t>
      </w:r>
    </w:p>
    <w:p w:rsidR="003160A8" w:rsidRPr="009A0EF7" w:rsidRDefault="003160A8" w:rsidP="003423CC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2"/>
          <w:szCs w:val="20"/>
        </w:rPr>
      </w:pPr>
      <w:r w:rsidRPr="009A0EF7">
        <w:rPr>
          <w:rFonts w:ascii="Times New Roman" w:hAnsi="Times New Roman" w:cs="Times New Roman"/>
          <w:sz w:val="22"/>
          <w:szCs w:val="20"/>
        </w:rPr>
        <w:t>Increase UL attenuation in steps of 1 dB</w:t>
      </w:r>
      <w:r w:rsidR="00006C43">
        <w:rPr>
          <w:rFonts w:ascii="Times New Roman" w:hAnsi="Times New Roman" w:cs="Times New Roman"/>
          <w:sz w:val="22"/>
          <w:szCs w:val="20"/>
        </w:rPr>
        <w:t>.</w:t>
      </w:r>
    </w:p>
    <w:p w:rsidR="003160A8" w:rsidRPr="009A0EF7" w:rsidRDefault="003160A8" w:rsidP="003423CC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2"/>
          <w:szCs w:val="20"/>
        </w:rPr>
      </w:pPr>
      <w:r w:rsidRPr="009A0EF7">
        <w:rPr>
          <w:rFonts w:ascii="Times New Roman" w:hAnsi="Times New Roman" w:cs="Times New Roman"/>
          <w:sz w:val="22"/>
          <w:szCs w:val="20"/>
        </w:rPr>
        <w:t>Continue to increase the attenuation in steps of 1 dB leading to reduction in UL power headroom available for E-DPDCH channels.</w:t>
      </w:r>
    </w:p>
    <w:p w:rsidR="003160A8" w:rsidRPr="009A0EF7" w:rsidRDefault="003160A8" w:rsidP="003423CC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2"/>
          <w:szCs w:val="20"/>
        </w:rPr>
      </w:pPr>
      <w:r w:rsidRPr="009A0EF7">
        <w:rPr>
          <w:rFonts w:ascii="Times New Roman" w:hAnsi="Times New Roman" w:cs="Times New Roman"/>
          <w:sz w:val="22"/>
          <w:szCs w:val="20"/>
        </w:rPr>
        <w:t>Record average UL DPCCH transmission power in dBm and EUL throughput for each UL attenuation step.</w:t>
      </w:r>
    </w:p>
    <w:p w:rsidR="003160A8" w:rsidRDefault="003160A8" w:rsidP="003160A8">
      <w:pPr>
        <w:rPr>
          <w:szCs w:val="20"/>
        </w:rPr>
      </w:pPr>
    </w:p>
    <w:p w:rsidR="00182183" w:rsidRDefault="00182183" w:rsidP="003160A8">
      <w:pPr>
        <w:rPr>
          <w:szCs w:val="20"/>
        </w:rPr>
      </w:pPr>
    </w:p>
    <w:p w:rsidR="00182183" w:rsidRDefault="00182183" w:rsidP="003160A8">
      <w:pPr>
        <w:rPr>
          <w:szCs w:val="20"/>
        </w:rPr>
      </w:pPr>
    </w:p>
    <w:p w:rsidR="00182183" w:rsidRDefault="00182183" w:rsidP="003160A8">
      <w:pPr>
        <w:rPr>
          <w:szCs w:val="20"/>
        </w:rPr>
      </w:pPr>
    </w:p>
    <w:p w:rsidR="00182183" w:rsidRDefault="009A0EF7" w:rsidP="009A0EF7">
      <w:pPr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 wp14:anchorId="70F794DE">
            <wp:extent cx="4584700" cy="2755900"/>
            <wp:effectExtent l="0" t="0" r="635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0EF7" w:rsidRDefault="009A0EF7" w:rsidP="003160A8">
      <w:pPr>
        <w:rPr>
          <w:szCs w:val="20"/>
        </w:rPr>
      </w:pPr>
    </w:p>
    <w:p w:rsidR="00006C43" w:rsidRDefault="00006C43" w:rsidP="003160A8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Analysis of </w:t>
      </w:r>
      <w:r w:rsidR="003B70C3">
        <w:rPr>
          <w:szCs w:val="20"/>
          <w:lang w:eastAsia="zh-CN"/>
        </w:rPr>
        <w:t xml:space="preserve">the </w:t>
      </w:r>
      <w:r>
        <w:rPr>
          <w:szCs w:val="20"/>
          <w:lang w:eastAsia="zh-CN"/>
        </w:rPr>
        <w:t>results</w:t>
      </w:r>
    </w:p>
    <w:p w:rsidR="00006C43" w:rsidRDefault="00006C43" w:rsidP="003423CC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We plot the difference in the UL DPCCH power that is needed to support equivalent throughputs</w:t>
      </w:r>
      <w:r w:rsidR="0074223F">
        <w:rPr>
          <w:rFonts w:ascii="Times New Roman" w:hAnsi="Times New Roman" w:cs="Times New Roman"/>
          <w:sz w:val="22"/>
          <w:szCs w:val="20"/>
        </w:rPr>
        <w:t xml:space="preserve"> on both the TTI configurations for the same uplink attenuation factor.</w:t>
      </w:r>
    </w:p>
    <w:p w:rsidR="003160A8" w:rsidRPr="009A0EF7" w:rsidRDefault="006D0B31" w:rsidP="003423CC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2"/>
          <w:szCs w:val="20"/>
        </w:rPr>
      </w:pPr>
      <w:r w:rsidRPr="009A0EF7">
        <w:rPr>
          <w:rFonts w:ascii="Times New Roman" w:hAnsi="Times New Roman" w:cs="Times New Roman"/>
          <w:sz w:val="22"/>
          <w:szCs w:val="20"/>
        </w:rPr>
        <w:t xml:space="preserve">As can be seen from the </w:t>
      </w:r>
      <w:r w:rsidR="00006C43">
        <w:rPr>
          <w:rFonts w:ascii="Times New Roman" w:hAnsi="Times New Roman" w:cs="Times New Roman"/>
          <w:sz w:val="22"/>
          <w:szCs w:val="20"/>
        </w:rPr>
        <w:t>plot</w:t>
      </w:r>
      <w:r w:rsidR="009A0EF7">
        <w:rPr>
          <w:rFonts w:ascii="Times New Roman" w:hAnsi="Times New Roman" w:cs="Times New Roman"/>
          <w:sz w:val="22"/>
          <w:szCs w:val="20"/>
        </w:rPr>
        <w:t xml:space="preserve"> above, 2</w:t>
      </w:r>
      <w:r w:rsidR="003423CC" w:rsidRPr="009A0EF7">
        <w:rPr>
          <w:rFonts w:ascii="Times New Roman" w:hAnsi="Times New Roman" w:cs="Times New Roman"/>
          <w:sz w:val="22"/>
          <w:szCs w:val="20"/>
        </w:rPr>
        <w:t xml:space="preserve"> ms</w:t>
      </w:r>
      <w:r w:rsidR="009A0EF7">
        <w:rPr>
          <w:rFonts w:ascii="Times New Roman" w:hAnsi="Times New Roman" w:cs="Times New Roman"/>
          <w:sz w:val="22"/>
          <w:szCs w:val="20"/>
        </w:rPr>
        <w:t xml:space="preserve"> EUL</w:t>
      </w:r>
      <w:r w:rsidR="003423CC" w:rsidRPr="009A0EF7">
        <w:rPr>
          <w:rFonts w:ascii="Times New Roman" w:hAnsi="Times New Roman" w:cs="Times New Roman"/>
          <w:sz w:val="22"/>
          <w:szCs w:val="20"/>
        </w:rPr>
        <w:t xml:space="preserve"> TTI</w:t>
      </w:r>
      <w:r w:rsidR="009A0EF7">
        <w:rPr>
          <w:rFonts w:ascii="Times New Roman" w:hAnsi="Times New Roman" w:cs="Times New Roman"/>
          <w:sz w:val="22"/>
          <w:szCs w:val="20"/>
        </w:rPr>
        <w:t xml:space="preserve"> configuration</w:t>
      </w:r>
      <w:r w:rsidR="003423CC" w:rsidRPr="009A0EF7">
        <w:rPr>
          <w:rFonts w:ascii="Times New Roman" w:hAnsi="Times New Roman" w:cs="Times New Roman"/>
          <w:sz w:val="22"/>
          <w:szCs w:val="20"/>
        </w:rPr>
        <w:t xml:space="preserve"> needs 1 – 2</w:t>
      </w:r>
      <w:r w:rsidR="009A0EF7">
        <w:rPr>
          <w:rFonts w:ascii="Times New Roman" w:hAnsi="Times New Roman" w:cs="Times New Roman"/>
          <w:sz w:val="22"/>
          <w:szCs w:val="20"/>
        </w:rPr>
        <w:t xml:space="preserve"> </w:t>
      </w:r>
      <w:r w:rsidR="003423CC" w:rsidRPr="009A0EF7">
        <w:rPr>
          <w:rFonts w:ascii="Times New Roman" w:hAnsi="Times New Roman" w:cs="Times New Roman"/>
          <w:sz w:val="22"/>
          <w:szCs w:val="20"/>
        </w:rPr>
        <w:t xml:space="preserve">dB </w:t>
      </w:r>
      <w:r w:rsidR="009A0EF7">
        <w:rPr>
          <w:rFonts w:ascii="Times New Roman" w:hAnsi="Times New Roman" w:cs="Times New Roman"/>
          <w:sz w:val="22"/>
          <w:szCs w:val="20"/>
        </w:rPr>
        <w:t>more</w:t>
      </w:r>
      <w:r w:rsidR="003423CC" w:rsidRPr="009A0EF7">
        <w:rPr>
          <w:rFonts w:ascii="Times New Roman" w:hAnsi="Times New Roman" w:cs="Times New Roman"/>
          <w:sz w:val="22"/>
          <w:szCs w:val="20"/>
        </w:rPr>
        <w:t xml:space="preserve"> </w:t>
      </w:r>
      <w:r w:rsidR="009A0EF7">
        <w:rPr>
          <w:rFonts w:ascii="Times New Roman" w:hAnsi="Times New Roman" w:cs="Times New Roman"/>
          <w:sz w:val="22"/>
          <w:szCs w:val="20"/>
        </w:rPr>
        <w:t>power for the UL DPCCH channel as compared to the 10 ms EUL TTI for the same average throughput.</w:t>
      </w:r>
    </w:p>
    <w:p w:rsidR="009C0716" w:rsidRPr="009A0EF7" w:rsidRDefault="009C0716" w:rsidP="003423CC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2"/>
          <w:szCs w:val="20"/>
        </w:rPr>
      </w:pPr>
      <w:r w:rsidRPr="009A0EF7">
        <w:rPr>
          <w:rFonts w:ascii="Times New Roman" w:hAnsi="Times New Roman" w:cs="Times New Roman"/>
          <w:sz w:val="22"/>
          <w:szCs w:val="20"/>
        </w:rPr>
        <w:t>Seen in the context of bursty transmissions on uplink, using 10 ms TTI is advantageous for overall NW capacity in the uplink and in terms of RoT.</w:t>
      </w:r>
    </w:p>
    <w:p w:rsidR="003423CC" w:rsidRPr="009A0EF7" w:rsidRDefault="003423CC" w:rsidP="003423CC">
      <w:pPr>
        <w:pStyle w:val="ListParagraph"/>
        <w:jc w:val="left"/>
        <w:rPr>
          <w:rFonts w:ascii="Times New Roman" w:hAnsi="Times New Roman" w:cs="Times New Roman"/>
          <w:sz w:val="22"/>
          <w:szCs w:val="20"/>
        </w:rPr>
      </w:pPr>
    </w:p>
    <w:p w:rsidR="003C064A" w:rsidRPr="009A0EF7" w:rsidRDefault="006D0B31" w:rsidP="009813ED">
      <w:pPr>
        <w:rPr>
          <w:b/>
          <w:szCs w:val="20"/>
          <w:lang w:eastAsia="zh-CN"/>
        </w:rPr>
      </w:pPr>
      <w:r w:rsidRPr="009A0EF7">
        <w:rPr>
          <w:rFonts w:hint="eastAsia"/>
          <w:b/>
          <w:szCs w:val="20"/>
          <w:lang w:eastAsia="zh-CN"/>
        </w:rPr>
        <w:t>Proposal</w:t>
      </w:r>
      <w:r w:rsidR="003C064A" w:rsidRPr="009A0EF7">
        <w:rPr>
          <w:rFonts w:hint="eastAsia"/>
          <w:b/>
          <w:szCs w:val="20"/>
          <w:lang w:eastAsia="zh-CN"/>
        </w:rPr>
        <w:t xml:space="preserve">: </w:t>
      </w:r>
      <w:r w:rsidR="00182183" w:rsidRPr="009A0EF7">
        <w:rPr>
          <w:b/>
          <w:szCs w:val="20"/>
          <w:lang w:eastAsia="zh-CN"/>
        </w:rPr>
        <w:t xml:space="preserve">Enable simultaneous </w:t>
      </w:r>
      <w:r w:rsidR="009C0716" w:rsidRPr="009A0EF7">
        <w:rPr>
          <w:b/>
          <w:szCs w:val="20"/>
          <w:lang w:eastAsia="zh-CN"/>
        </w:rPr>
        <w:t>usage</w:t>
      </w:r>
      <w:r w:rsidR="00182183" w:rsidRPr="009A0EF7">
        <w:rPr>
          <w:b/>
          <w:szCs w:val="20"/>
          <w:lang w:eastAsia="zh-CN"/>
        </w:rPr>
        <w:t xml:space="preserve"> of EUL in both 2 ms / 10 ms TTI in </w:t>
      </w:r>
      <w:r w:rsidR="00F31548">
        <w:rPr>
          <w:b/>
          <w:szCs w:val="20"/>
          <w:lang w:eastAsia="zh-CN"/>
        </w:rPr>
        <w:t>(DB-)</w:t>
      </w:r>
      <w:r w:rsidR="00182183" w:rsidRPr="009A0EF7">
        <w:rPr>
          <w:b/>
          <w:szCs w:val="20"/>
          <w:lang w:eastAsia="zh-CN"/>
        </w:rPr>
        <w:t>DC-HSUPA.</w:t>
      </w:r>
    </w:p>
    <w:p w:rsidR="00157FC3" w:rsidRDefault="00747F48" w:rsidP="00E04BC7">
      <w:pPr>
        <w:pStyle w:val="Heading1"/>
      </w:pPr>
      <w:bookmarkStart w:id="2" w:name="_Ref129681832"/>
      <w:r w:rsidRPr="00A77B49">
        <w:t>Conclusion</w:t>
      </w:r>
      <w:r w:rsidR="006B1FD5" w:rsidRPr="00A77B49">
        <w:t>s</w:t>
      </w:r>
    </w:p>
    <w:p w:rsidR="00E91858" w:rsidRPr="00E91858" w:rsidRDefault="00F31548" w:rsidP="00E91858">
      <w:r>
        <w:t xml:space="preserve">Based on the study results above, we believe that there is a case for enabling simultaneous usage of 2 ms and 10 ms TTI in DB-DC-HSUPA. </w:t>
      </w:r>
      <w:bookmarkEnd w:id="2"/>
      <w:r>
        <w:t>In a deployment where one of the carriers is in 900 MHz band while the other is in 2100 MHz, a mixed configuration of 2 ms EUL TTI and 10 ms EUL TTI respectively is optimal.</w:t>
      </w:r>
      <w:bookmarkStart w:id="3" w:name="_GoBack"/>
      <w:bookmarkEnd w:id="3"/>
    </w:p>
    <w:sectPr w:rsidR="00E91858" w:rsidRPr="00E9185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53D" w:rsidRDefault="00B7653D">
      <w:r>
        <w:separator/>
      </w:r>
    </w:p>
  </w:endnote>
  <w:endnote w:type="continuationSeparator" w:id="0">
    <w:p w:rsidR="00B7653D" w:rsidRDefault="00B7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53D" w:rsidRDefault="00B7653D">
      <w:r>
        <w:separator/>
      </w:r>
    </w:p>
  </w:footnote>
  <w:footnote w:type="continuationSeparator" w:id="0">
    <w:p w:rsidR="00B7653D" w:rsidRDefault="00B76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06959"/>
    <w:multiLevelType w:val="hybridMultilevel"/>
    <w:tmpl w:val="85CC7780"/>
    <w:lvl w:ilvl="0" w:tplc="DDA6C2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8"/>
  </w:num>
  <w:num w:numId="10">
    <w:abstractNumId w:val="10"/>
  </w:num>
  <w:num w:numId="11">
    <w:abstractNumId w:val="9"/>
  </w:num>
  <w:num w:numId="1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3CC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61D9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4A1"/>
    <w:rsid w:val="00642179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A6C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23F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CD2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B7A"/>
    <w:rsid w:val="008A0CFC"/>
    <w:rsid w:val="008A12FE"/>
    <w:rsid w:val="008A27A9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0EF7"/>
    <w:rsid w:val="009A1475"/>
    <w:rsid w:val="009A14EF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A0A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B49"/>
    <w:rsid w:val="00A77F53"/>
    <w:rsid w:val="00A803D5"/>
    <w:rsid w:val="00A8056E"/>
    <w:rsid w:val="00A8100D"/>
    <w:rsid w:val="00A82907"/>
    <w:rsid w:val="00A82D58"/>
    <w:rsid w:val="00A83295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D2D"/>
    <w:rsid w:val="00AC50BD"/>
    <w:rsid w:val="00AC5423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53D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2D7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2485"/>
    <w:rsid w:val="00CF24F8"/>
    <w:rsid w:val="00CF2653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548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7D182-F855-44A7-B2F0-7D2A9A5F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04DDF-CF9A-4881-8621-FC6772315B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CDE1EA-A57B-4899-AFE9-E8D69BEE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Venkatachari, Harish</cp:lastModifiedBy>
  <cp:revision>18</cp:revision>
  <cp:lastPrinted>2015-07-25T17:06:00Z</cp:lastPrinted>
  <dcterms:created xsi:type="dcterms:W3CDTF">2016-02-03T23:50:00Z</dcterms:created>
  <dcterms:modified xsi:type="dcterms:W3CDTF">2016-02-06T05:59:00Z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</Properties>
</file>