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5FD" w:rsidRPr="007C1B33" w:rsidRDefault="006415FD" w:rsidP="006415FD">
      <w:pPr>
        <w:pStyle w:val="TdocHeader2"/>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3GPP TSG RAN WG1 Meeting #83</w:t>
      </w:r>
      <w:r w:rsidRPr="007C1B33">
        <w:rPr>
          <w:rFonts w:eastAsia="Times New Roman" w:cs="Arial"/>
          <w:bCs/>
          <w:noProof/>
          <w:sz w:val="20"/>
          <w:szCs w:val="18"/>
          <w:lang w:val="en-US" w:eastAsia="zh-CN"/>
        </w:rPr>
        <w:t xml:space="preserve">                                                                         </w:t>
      </w:r>
      <w:r>
        <w:rPr>
          <w:rFonts w:eastAsia="Times New Roman" w:cs="Arial"/>
          <w:bCs/>
          <w:noProof/>
          <w:sz w:val="20"/>
          <w:szCs w:val="18"/>
          <w:lang w:val="en-US" w:eastAsia="zh-CN"/>
        </w:rPr>
        <w:t xml:space="preserve">    </w:t>
      </w:r>
      <w:r w:rsidRPr="007C1B33">
        <w:rPr>
          <w:rFonts w:eastAsia="Times New Roman" w:cs="Arial"/>
          <w:bCs/>
          <w:noProof/>
          <w:sz w:val="20"/>
          <w:szCs w:val="18"/>
          <w:lang w:val="en-US" w:eastAsia="zh-CN"/>
        </w:rPr>
        <w:t xml:space="preserve">    </w:t>
      </w:r>
      <w:r w:rsidRPr="00D96A10">
        <w:rPr>
          <w:rFonts w:eastAsia="Times New Roman" w:cs="Arial"/>
          <w:bCs/>
          <w:noProof/>
          <w:sz w:val="20"/>
          <w:szCs w:val="18"/>
          <w:lang w:val="en-US" w:eastAsia="zh-CN"/>
        </w:rPr>
        <w:t>R1-15</w:t>
      </w:r>
      <w:r w:rsidR="001F5FCA">
        <w:rPr>
          <w:rFonts w:eastAsia="Times New Roman" w:cs="Arial"/>
          <w:bCs/>
          <w:noProof/>
          <w:sz w:val="20"/>
          <w:szCs w:val="18"/>
          <w:lang w:val="en-US" w:eastAsia="zh-CN"/>
        </w:rPr>
        <w:t>7288</w:t>
      </w:r>
    </w:p>
    <w:p w:rsidR="006415FD" w:rsidRDefault="006415FD" w:rsidP="006415FD">
      <w:pPr>
        <w:pStyle w:val="TdocHeader2"/>
        <w:rPr>
          <w:rFonts w:eastAsia="Times New Roman" w:cs="Arial"/>
          <w:bCs/>
          <w:noProof/>
          <w:sz w:val="20"/>
          <w:szCs w:val="18"/>
          <w:lang w:val="en-US" w:eastAsia="zh-CN"/>
        </w:rPr>
      </w:pPr>
      <w:r>
        <w:rPr>
          <w:rFonts w:eastAsia="Times New Roman" w:cs="Arial"/>
          <w:bCs/>
          <w:noProof/>
          <w:sz w:val="20"/>
          <w:szCs w:val="18"/>
          <w:lang w:val="en-US" w:eastAsia="zh-CN"/>
        </w:rPr>
        <w:t>Anaheim</w:t>
      </w:r>
      <w:r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USA</w:t>
      </w:r>
      <w:r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15</w:t>
      </w:r>
      <w:r w:rsidRPr="00395CD7">
        <w:rPr>
          <w:rFonts w:eastAsia="Times New Roman" w:cs="Arial"/>
          <w:bCs/>
          <w:noProof/>
          <w:sz w:val="20"/>
          <w:szCs w:val="18"/>
          <w:lang w:val="en-US" w:eastAsia="zh-CN"/>
        </w:rPr>
        <w:t xml:space="preserve">th - </w:t>
      </w:r>
      <w:r>
        <w:rPr>
          <w:rFonts w:eastAsia="Times New Roman" w:cs="Arial"/>
          <w:bCs/>
          <w:noProof/>
          <w:sz w:val="20"/>
          <w:szCs w:val="18"/>
          <w:lang w:val="en-US" w:eastAsia="zh-CN"/>
        </w:rPr>
        <w:t>22</w:t>
      </w:r>
      <w:r w:rsidRPr="00395CD7">
        <w:rPr>
          <w:rFonts w:eastAsia="Times New Roman" w:cs="Arial"/>
          <w:bCs/>
          <w:noProof/>
          <w:sz w:val="20"/>
          <w:szCs w:val="18"/>
          <w:lang w:val="en-US" w:eastAsia="zh-CN"/>
        </w:rPr>
        <w:t xml:space="preserve">th </w:t>
      </w:r>
      <w:r>
        <w:rPr>
          <w:rFonts w:eastAsia="Times New Roman" w:cs="Arial"/>
          <w:bCs/>
          <w:noProof/>
          <w:sz w:val="20"/>
          <w:szCs w:val="18"/>
          <w:lang w:val="en-US" w:eastAsia="zh-CN"/>
        </w:rPr>
        <w:t>November</w:t>
      </w:r>
      <w:r w:rsidRPr="00395CD7">
        <w:rPr>
          <w:rFonts w:eastAsia="Times New Roman" w:cs="Arial"/>
          <w:bCs/>
          <w:noProof/>
          <w:sz w:val="20"/>
          <w:szCs w:val="18"/>
          <w:lang w:val="en-US" w:eastAsia="zh-CN"/>
        </w:rPr>
        <w:t xml:space="preserve"> 2015</w:t>
      </w:r>
    </w:p>
    <w:p w:rsidR="006415FD" w:rsidRDefault="006415FD" w:rsidP="006415FD">
      <w:pPr>
        <w:pStyle w:val="TdocHeader2"/>
        <w:rPr>
          <w:sz w:val="20"/>
          <w:lang w:val="en-US"/>
        </w:rPr>
      </w:pPr>
    </w:p>
    <w:p w:rsidR="006415FD" w:rsidRPr="008979AC" w:rsidRDefault="006415FD" w:rsidP="006415FD">
      <w:pPr>
        <w:pStyle w:val="TdocHeader2"/>
        <w:rPr>
          <w:sz w:val="20"/>
          <w:lang w:val="en-US"/>
        </w:rPr>
      </w:pPr>
      <w:r w:rsidRPr="008979AC">
        <w:rPr>
          <w:sz w:val="20"/>
          <w:lang w:val="en-US"/>
        </w:rPr>
        <w:t xml:space="preserve">Source: </w:t>
      </w:r>
      <w:r w:rsidRPr="008979AC">
        <w:rPr>
          <w:sz w:val="20"/>
          <w:lang w:val="en-US"/>
        </w:rPr>
        <w:tab/>
        <w:t>Ericsson</w:t>
      </w:r>
    </w:p>
    <w:p w:rsidR="006415FD" w:rsidRPr="0027658D" w:rsidRDefault="006415FD" w:rsidP="006415FD">
      <w:pPr>
        <w:pStyle w:val="TdocHeader2"/>
        <w:rPr>
          <w:sz w:val="20"/>
          <w:lang w:val="en-US"/>
        </w:rPr>
      </w:pPr>
      <w:r w:rsidRPr="008979AC">
        <w:rPr>
          <w:sz w:val="20"/>
          <w:lang w:val="en-US"/>
        </w:rPr>
        <w:t>Title:</w:t>
      </w:r>
      <w:r w:rsidRPr="008979AC">
        <w:rPr>
          <w:sz w:val="20"/>
          <w:lang w:val="en-US"/>
        </w:rPr>
        <w:tab/>
      </w:r>
      <w:r>
        <w:rPr>
          <w:sz w:val="20"/>
          <w:lang w:val="en-US"/>
        </w:rPr>
        <w:t>Soft buffer handling for CA enhancement</w:t>
      </w:r>
    </w:p>
    <w:p w:rsidR="006415FD" w:rsidRPr="002D72B0" w:rsidRDefault="006415FD" w:rsidP="006415FD">
      <w:pPr>
        <w:pStyle w:val="TdocHeader2"/>
        <w:rPr>
          <w:sz w:val="20"/>
          <w:lang w:val="en-US"/>
        </w:rPr>
      </w:pPr>
      <w:r w:rsidRPr="002D72B0">
        <w:rPr>
          <w:sz w:val="20"/>
          <w:lang w:val="en-US"/>
        </w:rPr>
        <w:t>Agenda Item:</w:t>
      </w:r>
      <w:r w:rsidRPr="002D72B0">
        <w:rPr>
          <w:sz w:val="20"/>
          <w:lang w:val="en-US"/>
        </w:rPr>
        <w:tab/>
      </w:r>
      <w:r>
        <w:rPr>
          <w:sz w:val="20"/>
          <w:lang w:val="en-US"/>
        </w:rPr>
        <w:t>6.2.2</w:t>
      </w:r>
      <w:r w:rsidR="00C77680">
        <w:rPr>
          <w:sz w:val="20"/>
          <w:lang w:val="en-US"/>
        </w:rPr>
        <w:t>.2</w:t>
      </w:r>
    </w:p>
    <w:p w:rsidR="006415FD" w:rsidRPr="006415FD" w:rsidRDefault="006415FD" w:rsidP="00FF4A9B">
      <w:pPr>
        <w:pStyle w:val="TdocHeader2"/>
        <w:rPr>
          <w:sz w:val="20"/>
          <w:lang w:val="en-US"/>
        </w:rPr>
      </w:pPr>
      <w:r>
        <w:rPr>
          <w:sz w:val="20"/>
          <w:lang w:val="en-US"/>
        </w:rPr>
        <w:t>Document for:</w:t>
      </w:r>
      <w:r>
        <w:rPr>
          <w:sz w:val="20"/>
          <w:lang w:val="en-US"/>
        </w:rPr>
        <w:tab/>
        <w:t>Discussion and Decision</w:t>
      </w:r>
    </w:p>
    <w:p w:rsidR="00B67E6C" w:rsidRDefault="00B67E6C" w:rsidP="00B67E6C">
      <w:pPr>
        <w:pStyle w:val="Heading1"/>
        <w:rPr>
          <w:lang w:val="en-US"/>
        </w:rPr>
      </w:pPr>
      <w:bookmarkStart w:id="2" w:name="_Ref298777854"/>
      <w:bookmarkEnd w:id="0"/>
      <w:bookmarkEnd w:id="1"/>
      <w:r w:rsidRPr="00310B2F">
        <w:rPr>
          <w:lang w:val="en-US"/>
        </w:rPr>
        <w:t>Introduction</w:t>
      </w:r>
      <w:bookmarkEnd w:id="2"/>
    </w:p>
    <w:p w:rsidR="009307A6" w:rsidRDefault="00771213" w:rsidP="00685DE3">
      <w:r>
        <w:t xml:space="preserve">The soft buffer </w:t>
      </w:r>
      <w:r w:rsidR="009307A6">
        <w:t>management</w:t>
      </w:r>
      <w:r>
        <w:t xml:space="preserve"> has been discussed in RAN1 for Rel-13 CA enhancements</w:t>
      </w:r>
      <w:r w:rsidR="009307A6">
        <w:t xml:space="preserve"> where the number of supported component carriers is up to 32</w:t>
      </w:r>
      <w:r>
        <w:t>.</w:t>
      </w:r>
      <w:r w:rsidR="009307A6">
        <w:t xml:space="preserve"> The significant increase of the number of carriers in Rel-13 comparing to Rel-12 CA imposes challenges on UE soft buffer management. There have been proposals to define a efficient soft buffer management mechanism than previous releases e.g. in </w:t>
      </w:r>
      <w:r w:rsidR="009307A6">
        <w:fldChar w:fldCharType="begin"/>
      </w:r>
      <w:r w:rsidR="009307A6">
        <w:instrText xml:space="preserve"> REF _Ref415666081 \r \h </w:instrText>
      </w:r>
      <w:r w:rsidR="009307A6">
        <w:fldChar w:fldCharType="separate"/>
      </w:r>
      <w:r w:rsidR="009C3FEC">
        <w:t>[1</w:t>
      </w:r>
      <w:proofErr w:type="gramStart"/>
      <w:r w:rsidR="009C3FEC">
        <w:t>]</w:t>
      </w:r>
      <w:proofErr w:type="gramEnd"/>
      <w:r w:rsidR="009307A6">
        <w:fldChar w:fldCharType="end"/>
      </w:r>
      <w:r w:rsidR="009307A6">
        <w:fldChar w:fldCharType="begin"/>
      </w:r>
      <w:r w:rsidR="009307A6">
        <w:instrText xml:space="preserve"> REF _Ref429986791 \r \h </w:instrText>
      </w:r>
      <w:r w:rsidR="009307A6">
        <w:fldChar w:fldCharType="separate"/>
      </w:r>
      <w:r w:rsidR="009C3FEC">
        <w:t>[2]</w:t>
      </w:r>
      <w:r w:rsidR="009307A6">
        <w:fldChar w:fldCharType="end"/>
      </w:r>
      <w:r w:rsidR="00500AD8">
        <w:fldChar w:fldCharType="begin"/>
      </w:r>
      <w:r w:rsidR="00500AD8">
        <w:instrText xml:space="preserve"> REF _Ref434225544 \r \h </w:instrText>
      </w:r>
      <w:r w:rsidR="00500AD8">
        <w:fldChar w:fldCharType="separate"/>
      </w:r>
      <w:r w:rsidR="009C3FEC">
        <w:t>[3]</w:t>
      </w:r>
      <w:r w:rsidR="00500AD8">
        <w:fldChar w:fldCharType="end"/>
      </w:r>
      <w:r w:rsidR="009307A6">
        <w:t xml:space="preserve">. </w:t>
      </w:r>
    </w:p>
    <w:p w:rsidR="00E71A58" w:rsidRPr="00E16CD2" w:rsidRDefault="005E4540" w:rsidP="00685DE3">
      <w:pPr>
        <w:rPr>
          <w:lang w:val="en-US"/>
        </w:rPr>
      </w:pPr>
      <w:r>
        <w:t>In this contribution, we</w:t>
      </w:r>
      <w:r w:rsidR="009307A6">
        <w:t xml:space="preserve"> provide our views on efficient soft buffer </w:t>
      </w:r>
      <w:r w:rsidR="00C66278">
        <w:t xml:space="preserve">handling </w:t>
      </w:r>
      <w:r w:rsidR="009307A6">
        <w:t>for Rel-13 CA enhancement</w:t>
      </w:r>
      <w:r w:rsidR="00E16CD2">
        <w:t xml:space="preserve">. </w:t>
      </w:r>
    </w:p>
    <w:p w:rsidR="00E16CD2" w:rsidRPr="00E16CD2" w:rsidRDefault="00070520" w:rsidP="00E16CD2">
      <w:pPr>
        <w:pStyle w:val="Heading1"/>
      </w:pPr>
      <w:r>
        <w:t>D</w:t>
      </w:r>
      <w:r w:rsidR="00436735">
        <w:t>iscussion</w:t>
      </w:r>
    </w:p>
    <w:p w:rsidR="004F4E04" w:rsidRDefault="004F4E04" w:rsidP="008E225D">
      <w:pPr>
        <w:pStyle w:val="Heading2"/>
        <w:jc w:val="both"/>
      </w:pPr>
      <w:r>
        <w:t>Background of Re-8 to 12 PDSCH HARQ operations</w:t>
      </w:r>
    </w:p>
    <w:p w:rsidR="004F4E04" w:rsidRDefault="00037EDB" w:rsidP="008E225D">
      <w:r>
        <w:t>The design of</w:t>
      </w:r>
      <w:r w:rsidR="00D77F26">
        <w:t xml:space="preserve"> Rel-8 to 12 </w:t>
      </w:r>
      <w:r>
        <w:t xml:space="preserve">PDSCH HARQ operations and </w:t>
      </w:r>
      <w:r w:rsidR="00D77F26">
        <w:t>sof</w:t>
      </w:r>
      <w:r>
        <w:t>t buffer management is discussed as follow.</w:t>
      </w:r>
    </w:p>
    <w:p w:rsidR="004F4E04" w:rsidRDefault="004F4E04" w:rsidP="008E225D">
      <w:pPr>
        <w:pStyle w:val="BodyText"/>
        <w:rPr>
          <w:lang w:eastAsia="ja-JP"/>
        </w:rPr>
      </w:pPr>
      <w:r>
        <w:t xml:space="preserve">According to TS 36.212, </w:t>
      </w:r>
      <w:r>
        <w:rPr>
          <w:lang w:eastAsia="ja-JP"/>
        </w:rPr>
        <w:t xml:space="preserve">the rate matching parameter </w:t>
      </w:r>
      <w:r w:rsidRPr="002F1A7D">
        <w:rPr>
          <w:i/>
          <w:lang w:eastAsia="ja-JP"/>
        </w:rPr>
        <w:t>N</w:t>
      </w:r>
      <w:r w:rsidRPr="002F1A7D">
        <w:rPr>
          <w:vertAlign w:val="subscript"/>
          <w:lang w:eastAsia="ja-JP"/>
        </w:rPr>
        <w:t>IR</w:t>
      </w:r>
      <w:r>
        <w:rPr>
          <w:lang w:eastAsia="ja-JP"/>
        </w:rPr>
        <w:t xml:space="preserve"> on the </w:t>
      </w:r>
      <w:proofErr w:type="spellStart"/>
      <w:r>
        <w:rPr>
          <w:lang w:eastAsia="ja-JP"/>
        </w:rPr>
        <w:t>eNB</w:t>
      </w:r>
      <w:proofErr w:type="spellEnd"/>
      <w:r>
        <w:rPr>
          <w:lang w:eastAsia="ja-JP"/>
        </w:rPr>
        <w:t xml:space="preserve"> side is calculated by</w:t>
      </w:r>
    </w:p>
    <w:p w:rsidR="008E225D" w:rsidRDefault="004F4E04" w:rsidP="008E225D">
      <w:pPr>
        <w:jc w:val="center"/>
      </w:pPr>
      <w:r w:rsidRPr="00BD7081">
        <w:rPr>
          <w:position w:val="-34"/>
        </w:rPr>
        <w:object w:dxaOrig="422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39.75pt" o:ole="">
            <v:imagedata r:id="rId9" o:title=""/>
          </v:shape>
          <o:OLEObject Type="Embed" ProgID="Equation.3" ShapeID="_x0000_i1025" DrawAspect="Content" ObjectID="_1508309954" r:id="rId10"/>
        </w:object>
      </w:r>
    </w:p>
    <w:p w:rsidR="008E225D" w:rsidRDefault="008E225D" w:rsidP="008E225D">
      <w:r>
        <w:t>T</w:t>
      </w:r>
      <w:r w:rsidR="00D95A85">
        <w:t xml:space="preserve">he soft buffer sizes are dimensioned to fit all received bits at the coding rate of 1/3 (in case of single </w:t>
      </w:r>
      <w:proofErr w:type="spellStart"/>
      <w:r w:rsidR="00D95A85">
        <w:t>codeword</w:t>
      </w:r>
      <w:proofErr w:type="spellEnd"/>
      <w:r w:rsidR="00D95A85">
        <w:t xml:space="preserve">) or 2/3 (in case of two </w:t>
      </w:r>
      <w:proofErr w:type="spellStart"/>
      <w:r w:rsidR="00D95A85">
        <w:t>codewords</w:t>
      </w:r>
      <w:proofErr w:type="spellEnd"/>
      <w:r w:rsidR="00D95A85">
        <w:t xml:space="preserve">) with </w:t>
      </w:r>
      <w:r w:rsidR="00037EDB">
        <w:t xml:space="preserve">the minimum of </w:t>
      </w:r>
      <w:r w:rsidR="00D95A85">
        <w:t>8</w:t>
      </w:r>
      <w:r w:rsidR="00037EDB">
        <w:t xml:space="preserve"> and the number of</w:t>
      </w:r>
      <w:r w:rsidR="00D95A85">
        <w:t xml:space="preserve"> HARQ processes for each </w:t>
      </w:r>
      <w:r w:rsidR="00037EDB">
        <w:t>cell</w:t>
      </w:r>
      <w:r>
        <w:t xml:space="preserve"> and </w:t>
      </w:r>
      <w:r w:rsidR="00037EDB">
        <w:t xml:space="preserve">in total </w:t>
      </w:r>
      <w:r w:rsidRPr="00BD1A5B">
        <w:rPr>
          <w:i/>
          <w:lang w:eastAsia="ja-JP"/>
        </w:rPr>
        <w:t>K</w:t>
      </w:r>
      <w:r w:rsidRPr="00BD1A5B">
        <w:rPr>
          <w:i/>
          <w:vertAlign w:val="subscript"/>
          <w:lang w:eastAsia="ja-JP"/>
        </w:rPr>
        <w:t>C</w:t>
      </w:r>
      <w:r>
        <w:rPr>
          <w:i/>
          <w:vertAlign w:val="subscript"/>
          <w:lang w:eastAsia="ja-JP"/>
        </w:rPr>
        <w:t xml:space="preserve"> </w:t>
      </w:r>
      <w:r w:rsidRPr="008E225D">
        <w:rPr>
          <w:lang w:eastAsia="ja-JP"/>
        </w:rPr>
        <w:t>c</w:t>
      </w:r>
      <w:r w:rsidR="00037EDB">
        <w:rPr>
          <w:lang w:eastAsia="ja-JP"/>
        </w:rPr>
        <w:t>ells</w:t>
      </w:r>
      <w:r w:rsidR="00D95A85">
        <w:t xml:space="preserve">. </w:t>
      </w:r>
      <w:r>
        <w:rPr>
          <w:lang w:eastAsia="ja-JP"/>
        </w:rPr>
        <w:t xml:space="preserve">Note that, in carrier aggregation cases, </w:t>
      </w:r>
      <w:r w:rsidRPr="00BD1A5B">
        <w:rPr>
          <w:i/>
          <w:lang w:eastAsia="ja-JP"/>
        </w:rPr>
        <w:t>K</w:t>
      </w:r>
      <w:r w:rsidRPr="00BD1A5B">
        <w:rPr>
          <w:i/>
          <w:vertAlign w:val="subscript"/>
          <w:lang w:eastAsia="ja-JP"/>
        </w:rPr>
        <w:t>C</w:t>
      </w:r>
      <w:r>
        <w:rPr>
          <w:lang w:eastAsia="ja-JP"/>
        </w:rPr>
        <w:t xml:space="preserve"> is dependent of the UE category/capability and does not vary with the number of configured serving cells. </w:t>
      </w:r>
      <w:r w:rsidR="00D95A85">
        <w:t xml:space="preserve">It is </w:t>
      </w:r>
      <w:r>
        <w:t xml:space="preserve">also </w:t>
      </w:r>
      <w:r w:rsidR="00D95A85">
        <w:t>noted that the soft buffer size is commonly applied for both FDD and TDD</w:t>
      </w:r>
      <w:r>
        <w:t>.</w:t>
      </w:r>
      <w:r w:rsidR="006D48A6">
        <w:t xml:space="preserve"> </w:t>
      </w:r>
      <w:r>
        <w:t>For certain TDD UL-DL configurations where number of HARQ processes is larger than 8,</w:t>
      </w:r>
      <w:r w:rsidR="006D48A6">
        <w:t xml:space="preserve"> soft buffer overbooking is applied. </w:t>
      </w:r>
      <w:r w:rsidR="00A0104A">
        <w:t>This is acceptable as the soft buffer blocking probability is very low under reasonable operating conditions.</w:t>
      </w:r>
    </w:p>
    <w:p w:rsidR="0037105A" w:rsidRPr="00C15268" w:rsidRDefault="008E225D" w:rsidP="0037105A">
      <w:pPr>
        <w:pStyle w:val="BodyText"/>
        <w:rPr>
          <w:lang w:eastAsia="ja-JP"/>
        </w:rPr>
      </w:pPr>
      <w:r>
        <w:t xml:space="preserve">According to TS 36.213, </w:t>
      </w:r>
      <w:r w:rsidR="0037105A" w:rsidRPr="00E50F56">
        <w:rPr>
          <w:lang w:eastAsia="ja-JP"/>
        </w:rPr>
        <w:t>if the UE is configured with more than one serving cell, then</w:t>
      </w:r>
      <w:r w:rsidR="0037105A">
        <w:rPr>
          <w:lang w:eastAsia="ja-JP"/>
        </w:rPr>
        <w:t xml:space="preserve">, </w:t>
      </w:r>
      <w:r w:rsidR="0037105A">
        <w:rPr>
          <w:rFonts w:eastAsia="MS PGothic"/>
          <w:color w:val="000000"/>
        </w:rPr>
        <w:t>u</w:t>
      </w:r>
      <w:r w:rsidR="0037105A" w:rsidRPr="002F1516">
        <w:rPr>
          <w:rFonts w:eastAsia="MS PGothic"/>
          <w:color w:val="000000"/>
        </w:rPr>
        <w:t>pon decoding failure of a code block</w:t>
      </w:r>
      <w:r w:rsidR="0037105A">
        <w:rPr>
          <w:rFonts w:eastAsia="MS PGothic"/>
          <w:color w:val="000000"/>
        </w:rPr>
        <w:t xml:space="preserve"> of a transport block</w:t>
      </w:r>
      <w:r w:rsidR="0037105A" w:rsidRPr="00E50F56">
        <w:rPr>
          <w:lang w:eastAsia="ja-JP"/>
        </w:rPr>
        <w:t xml:space="preserve"> for </w:t>
      </w:r>
      <w:r w:rsidR="0037105A">
        <w:rPr>
          <w:lang w:eastAsia="ja-JP"/>
        </w:rPr>
        <w:t xml:space="preserve">a </w:t>
      </w:r>
      <w:r w:rsidR="0037105A" w:rsidRPr="00E50F56">
        <w:rPr>
          <w:lang w:eastAsia="ja-JP"/>
        </w:rPr>
        <w:t>serving cell</w:t>
      </w:r>
      <w:r w:rsidR="0037105A">
        <w:rPr>
          <w:lang w:eastAsia="ja-JP"/>
        </w:rPr>
        <w:t xml:space="preserve">, </w:t>
      </w:r>
      <w:r w:rsidR="0037105A" w:rsidRPr="002F1516">
        <w:rPr>
          <w:rFonts w:eastAsia="MS PGothic"/>
          <w:color w:val="000000"/>
        </w:rPr>
        <w:t xml:space="preserve">the UE shall store </w:t>
      </w:r>
      <w:r w:rsidR="0037105A">
        <w:rPr>
          <w:rFonts w:eastAsia="MS PGothic"/>
          <w:color w:val="000000"/>
        </w:rPr>
        <w:t xml:space="preserve">at least </w:t>
      </w:r>
      <w:proofErr w:type="spellStart"/>
      <w:r w:rsidR="0037105A" w:rsidRPr="00E50F56">
        <w:rPr>
          <w:rFonts w:eastAsia="MS PGothic"/>
          <w:i/>
          <w:color w:val="000000"/>
        </w:rPr>
        <w:t>n</w:t>
      </w:r>
      <w:r w:rsidR="0037105A" w:rsidRPr="00B500AF">
        <w:rPr>
          <w:rFonts w:eastAsia="MS PGothic"/>
          <w:color w:val="000000"/>
          <w:vertAlign w:val="subscript"/>
        </w:rPr>
        <w:t>SB</w:t>
      </w:r>
      <w:proofErr w:type="spellEnd"/>
      <w:r w:rsidR="0037105A">
        <w:rPr>
          <w:rFonts w:eastAsia="MS PGothic"/>
          <w:color w:val="000000"/>
        </w:rPr>
        <w:t xml:space="preserve"> </w:t>
      </w:r>
      <w:r w:rsidR="0037105A" w:rsidRPr="000D7867">
        <w:t xml:space="preserve">received </w:t>
      </w:r>
      <w:r w:rsidR="0037105A">
        <w:rPr>
          <w:rFonts w:hint="eastAsia"/>
          <w:lang w:eastAsia="ja-JP"/>
        </w:rPr>
        <w:t xml:space="preserve">soft </w:t>
      </w:r>
      <w:r w:rsidR="0037105A" w:rsidRPr="000D7867">
        <w:t>channel bits</w:t>
      </w:r>
      <w:r w:rsidR="0037105A">
        <w:t xml:space="preserve"> for the code block, where</w:t>
      </w:r>
    </w:p>
    <w:p w:rsidR="0037105A" w:rsidRPr="00E9040D" w:rsidRDefault="0037105A" w:rsidP="0037105A">
      <w:pPr>
        <w:pStyle w:val="EQ"/>
        <w:spacing w:before="120" w:line="280" w:lineRule="atLeast"/>
        <w:jc w:val="center"/>
        <w:rPr>
          <w:lang w:eastAsia="ja-JP"/>
        </w:rPr>
      </w:pPr>
      <w:r w:rsidRPr="00B20064">
        <w:rPr>
          <w:position w:val="-38"/>
        </w:rPr>
        <w:object w:dxaOrig="5720" w:dyaOrig="880">
          <v:shape id="_x0000_i1026" type="#_x0000_t75" style="width:244.5pt;height:37.5pt" o:ole="">
            <v:imagedata r:id="rId11" o:title=""/>
          </v:shape>
          <o:OLEObject Type="Embed" ProgID="Equation.3" ShapeID="_x0000_i1026" DrawAspect="Content" ObjectID="_1508309955" r:id="rId12"/>
        </w:object>
      </w:r>
    </w:p>
    <w:p w:rsidR="008E225D" w:rsidRDefault="00C52450" w:rsidP="00B50B10">
      <w:pPr>
        <w:spacing w:line="280" w:lineRule="atLeast"/>
      </w:pPr>
      <w:r>
        <w:rPr>
          <w:lang w:eastAsia="ja-JP"/>
        </w:rPr>
        <w:t xml:space="preserve">In principle, the soft buffer is equally divided into </w:t>
      </w:r>
      <w:r w:rsidRPr="00BD1A5B">
        <w:rPr>
          <w:position w:val="-10"/>
          <w:lang w:eastAsia="ja-JP"/>
        </w:rPr>
        <w:object w:dxaOrig="460" w:dyaOrig="340">
          <v:shape id="_x0000_i1027" type="#_x0000_t75" style="width:22.5pt;height:15.75pt" o:ole="">
            <v:imagedata r:id="rId13" o:title=""/>
          </v:shape>
          <o:OLEObject Type="Embed" ProgID="Equation.3" ShapeID="_x0000_i1027" DrawAspect="Content" ObjectID="_1508309956" r:id="rId14"/>
        </w:object>
      </w:r>
      <w:r>
        <w:rPr>
          <w:lang w:eastAsia="ja-JP"/>
        </w:rPr>
        <w:t xml:space="preserve"> blocks and each block is used for soft bit storing for one configured </w:t>
      </w:r>
      <w:r w:rsidR="00037EDB">
        <w:rPr>
          <w:lang w:eastAsia="ja-JP"/>
        </w:rPr>
        <w:t>serving cell</w:t>
      </w:r>
      <w:r>
        <w:rPr>
          <w:lang w:eastAsia="ja-JP"/>
        </w:rPr>
        <w:t xml:space="preserve">. </w:t>
      </w:r>
      <w:r w:rsidR="0037105A">
        <w:rPr>
          <w:lang w:eastAsia="ja-JP"/>
        </w:rPr>
        <w:t xml:space="preserve">Since </w:t>
      </w:r>
      <w:r w:rsidR="0037105A" w:rsidRPr="00BD1A5B">
        <w:rPr>
          <w:i/>
          <w:lang w:eastAsia="ja-JP"/>
        </w:rPr>
        <w:t>K</w:t>
      </w:r>
      <w:r w:rsidR="0037105A" w:rsidRPr="00BD1A5B">
        <w:rPr>
          <w:i/>
          <w:vertAlign w:val="subscript"/>
          <w:lang w:eastAsia="ja-JP"/>
        </w:rPr>
        <w:t>C</w:t>
      </w:r>
      <w:r w:rsidR="0037105A">
        <w:rPr>
          <w:lang w:eastAsia="ja-JP"/>
        </w:rPr>
        <w:t xml:space="preserve"> in is smaller than </w:t>
      </w:r>
      <w:r w:rsidR="0037105A" w:rsidRPr="00BD1A5B">
        <w:rPr>
          <w:position w:val="-10"/>
          <w:lang w:eastAsia="ja-JP"/>
        </w:rPr>
        <w:object w:dxaOrig="460" w:dyaOrig="340">
          <v:shape id="_x0000_i1028" type="#_x0000_t75" style="width:22.5pt;height:15.75pt" o:ole="">
            <v:imagedata r:id="rId13" o:title=""/>
          </v:shape>
          <o:OLEObject Type="Embed" ProgID="Equation.3" ShapeID="_x0000_i1028" DrawAspect="Content" ObjectID="_1508309957" r:id="rId15"/>
        </w:object>
      </w:r>
      <w:r w:rsidR="0037105A">
        <w:rPr>
          <w:lang w:eastAsia="ja-JP"/>
        </w:rPr>
        <w:t xml:space="preserve"> for most UE categories, not all received soft values for a HARQ process can fit within the allo</w:t>
      </w:r>
      <w:r w:rsidR="00741E8F">
        <w:rPr>
          <w:lang w:eastAsia="ja-JP"/>
        </w:rPr>
        <w:t>cat</w:t>
      </w:r>
      <w:r w:rsidR="0037105A">
        <w:rPr>
          <w:lang w:eastAsia="ja-JP"/>
        </w:rPr>
        <w:t>ed HARQ process buffer memory on these UEs. Partial soft value discarding after decoding was studied during the Rel-10 standardization process and was found to be a reasonable trade-off between performance and cost of carrier aggregation implementation</w:t>
      </w:r>
      <w:r w:rsidR="0037105A" w:rsidRPr="00E9040D">
        <w:rPr>
          <w:rFonts w:hint="eastAsia"/>
          <w:lang w:eastAsia="ja-JP"/>
        </w:rPr>
        <w:t>.</w:t>
      </w:r>
    </w:p>
    <w:p w:rsidR="00DB7848" w:rsidRDefault="00ED08C4" w:rsidP="00037EDB">
      <w:r>
        <w:lastRenderedPageBreak/>
        <w:t xml:space="preserve">The existing soft buffer management is effective for FDD or TDD CA with same configuration if the probability of soft buffer blocking probabilities are negligible (e.g., &lt;1%). A methodology of studying soft buffer blocking probabilities has been discussed in </w:t>
      </w:r>
      <w:r>
        <w:fldChar w:fldCharType="begin"/>
      </w:r>
      <w:r>
        <w:instrText xml:space="preserve"> REF _Ref429987976 \r \h  \* MERGEFORMAT </w:instrText>
      </w:r>
      <w:r>
        <w:fldChar w:fldCharType="separate"/>
      </w:r>
      <w:r w:rsidR="009C3FEC">
        <w:t>[4]</w:t>
      </w:r>
      <w:r>
        <w:fldChar w:fldCharType="end"/>
      </w:r>
      <w:r>
        <w:t xml:space="preserve"> in Rel-8 and further applied for studies on soft buffer in later releases. </w:t>
      </w:r>
    </w:p>
    <w:p w:rsidR="00DB7848" w:rsidRDefault="00DB7848" w:rsidP="00037EDB"/>
    <w:p w:rsidR="00C52450" w:rsidRDefault="00C52450" w:rsidP="00C52450">
      <w:pPr>
        <w:pStyle w:val="Heading2"/>
        <w:rPr>
          <w:lang w:eastAsia="ja-JP"/>
        </w:rPr>
      </w:pPr>
      <w:r>
        <w:t>Soft buffer management for Rel-13 CA</w:t>
      </w:r>
    </w:p>
    <w:p w:rsidR="009307A6" w:rsidRDefault="00037EDB" w:rsidP="00183454">
      <w:r>
        <w:t>In Rel-13</w:t>
      </w:r>
      <w:r w:rsidR="00BA4785">
        <w:t xml:space="preserve"> CA where there is a need to support significantly increased number of CCs</w:t>
      </w:r>
      <w:r>
        <w:t>,</w:t>
      </w:r>
      <w:r w:rsidR="00BA4785">
        <w:t xml:space="preserve"> a straightforward way</w:t>
      </w:r>
      <w:r w:rsidR="00183454">
        <w:t>, e.g.,</w:t>
      </w:r>
      <w:r w:rsidR="00BA4785">
        <w:t xml:space="preserve"> is to specify a new </w:t>
      </w:r>
      <w:r w:rsidR="00183454">
        <w:t xml:space="preserve">32-CC </w:t>
      </w:r>
      <w:r w:rsidR="00BA4785">
        <w:t xml:space="preserve">UE category with </w:t>
      </w:r>
      <w:r w:rsidR="00183454">
        <w:t xml:space="preserve">a total </w:t>
      </w:r>
      <w:r w:rsidR="00BA4785">
        <w:t xml:space="preserve">soft buffer size </w:t>
      </w:r>
      <w:r w:rsidR="00183454">
        <w:t>of 32</w:t>
      </w:r>
      <w:r w:rsidR="00183454">
        <w:rPr>
          <w:rFonts w:ascii="Cambria Math" w:hAnsi="Cambria Math"/>
        </w:rPr>
        <w:t>×</w:t>
      </w:r>
      <w:r w:rsidR="00183454">
        <w:t>8</w:t>
      </w:r>
      <w:r w:rsidR="00183454">
        <w:rPr>
          <w:rFonts w:ascii="Cambria Math" w:hAnsi="Cambria Math"/>
        </w:rPr>
        <w:t>×</w:t>
      </w:r>
      <w:r w:rsidR="00183454">
        <w:t>296448 = 75890688 soft bits.</w:t>
      </w:r>
      <w:r w:rsidR="00BA4785">
        <w:t xml:space="preserve"> However, this approach would require significant increase of soft buffer size </w:t>
      </w:r>
      <w:r w:rsidR="00A0104A">
        <w:t>with high complexity and cost. Therefore,</w:t>
      </w:r>
      <w:r>
        <w:t xml:space="preserve"> </w:t>
      </w:r>
      <w:r w:rsidR="00EF1382">
        <w:t xml:space="preserve">it can be desirable to design </w:t>
      </w:r>
      <w:r>
        <w:t>a more effective sof</w:t>
      </w:r>
      <w:r w:rsidR="00EF1382">
        <w:t>t buffer management mechanism</w:t>
      </w:r>
      <w:r w:rsidR="00A0104A">
        <w:t xml:space="preserve"> and reduced soft buffer size than existing mechanism</w:t>
      </w:r>
      <w:r>
        <w:t>.</w:t>
      </w:r>
      <w:r w:rsidR="00EF1382">
        <w:t xml:space="preserve"> It was shown in </w:t>
      </w:r>
      <w:r w:rsidR="00EF1382">
        <w:fldChar w:fldCharType="begin"/>
      </w:r>
      <w:r w:rsidR="00EF1382">
        <w:instrText xml:space="preserve"> REF _Ref430009697 \r \h </w:instrText>
      </w:r>
      <w:r w:rsidR="00EF1382">
        <w:fldChar w:fldCharType="separate"/>
      </w:r>
      <w:r w:rsidR="009C3FEC">
        <w:t>[5]</w:t>
      </w:r>
      <w:r w:rsidR="00EF1382">
        <w:fldChar w:fldCharType="end"/>
      </w:r>
      <w:r w:rsidR="00EF1382">
        <w:t xml:space="preserve"> that a</w:t>
      </w:r>
      <w:r w:rsidR="00EF1382" w:rsidRPr="00EF1382">
        <w:t>llowing soft buffer pooling between the serving cells can reduce buffer blocking probabilities substantially, which enhances the effectiveness of HARQ operations.</w:t>
      </w:r>
      <w:r w:rsidR="00EF1382">
        <w:t xml:space="preserve"> Therefore, it could be beneficial to apply soft buffer pooling in Rel-13 CA </w:t>
      </w:r>
      <w:r w:rsidR="00A0104A">
        <w:t>for</w:t>
      </w:r>
      <w:r w:rsidR="00EF1382">
        <w:t xml:space="preserve"> 32 </w:t>
      </w:r>
      <w:r w:rsidR="00C640D3">
        <w:t>CCs</w:t>
      </w:r>
      <w:r w:rsidR="00EF1382">
        <w:t xml:space="preserve">. </w:t>
      </w:r>
    </w:p>
    <w:p w:rsidR="00C66278" w:rsidRPr="00DF05C8" w:rsidRDefault="00C66278" w:rsidP="00183454">
      <w:pPr>
        <w:rPr>
          <w:b/>
          <w:szCs w:val="22"/>
        </w:rPr>
      </w:pPr>
      <w:r w:rsidRPr="00DF05C8">
        <w:rPr>
          <w:b/>
          <w:szCs w:val="22"/>
        </w:rPr>
        <w:t>Observation:</w:t>
      </w:r>
    </w:p>
    <w:p w:rsidR="00FA09D3" w:rsidRPr="00FA09D3" w:rsidRDefault="00FA09D3" w:rsidP="00DF05C8">
      <w:pPr>
        <w:pStyle w:val="ListParagraph"/>
        <w:numPr>
          <w:ilvl w:val="0"/>
          <w:numId w:val="26"/>
        </w:numPr>
        <w:jc w:val="both"/>
        <w:rPr>
          <w:b/>
        </w:rPr>
      </w:pPr>
      <w:r>
        <w:rPr>
          <w:b/>
          <w:sz w:val="22"/>
        </w:rPr>
        <w:t>It is beneficial to apply soft buffer pooling in Rel-13 CA for 32 CCs, as it reduces buffer blocking probabilities substantially and enhances the effectiveness of HARQ operation.</w:t>
      </w:r>
    </w:p>
    <w:p w:rsidR="00C66278" w:rsidRDefault="00C66278" w:rsidP="00DF05C8">
      <w:pPr>
        <w:pStyle w:val="ListParagraph"/>
      </w:pPr>
    </w:p>
    <w:p w:rsidR="00B535B7" w:rsidRDefault="00E279B8" w:rsidP="008E225D">
      <w:r>
        <w:t xml:space="preserve">For carriers in the unlicensed bands (particularly for indoor deployments), </w:t>
      </w:r>
      <w:r w:rsidR="003C0B95">
        <w:t xml:space="preserve">cell sizes are limited due to </w:t>
      </w:r>
      <w:r w:rsidR="000E08C9">
        <w:t xml:space="preserve">stringent </w:t>
      </w:r>
      <w:r w:rsidR="003C0B95">
        <w:t xml:space="preserve">output power restrictions by regulation. If we assume low vehicular speeds in these small cell scenarios, </w:t>
      </w:r>
      <w:r w:rsidR="00CC02D4">
        <w:t xml:space="preserve">link adaptation </w:t>
      </w:r>
      <w:r w:rsidR="00B535B7">
        <w:t xml:space="preserve">accuracy </w:t>
      </w:r>
      <w:r w:rsidR="00CC02D4">
        <w:t xml:space="preserve">can be </w:t>
      </w:r>
      <w:r w:rsidR="00B535B7">
        <w:t xml:space="preserve">better than macro-cell scenarios. For instance, one may assume the TB BLER caused by link adaptation accuracy is around 10% (which is </w:t>
      </w:r>
      <w:r w:rsidR="0087250A">
        <w:t xml:space="preserve">significantly </w:t>
      </w:r>
      <w:r w:rsidR="00B535B7">
        <w:t xml:space="preserve">lower than the 30% TB BLER assumption used in Rel-8 </w:t>
      </w:r>
      <w:r w:rsidR="00B535B7">
        <w:fldChar w:fldCharType="begin"/>
      </w:r>
      <w:r w:rsidR="00B535B7">
        <w:instrText xml:space="preserve"> REF _Ref429987976 \r \h  \* MERGEFORMAT </w:instrText>
      </w:r>
      <w:r w:rsidR="00B535B7">
        <w:fldChar w:fldCharType="separate"/>
      </w:r>
      <w:r w:rsidR="009C3FEC">
        <w:t>[4]</w:t>
      </w:r>
      <w:r w:rsidR="00B535B7">
        <w:fldChar w:fldCharType="end"/>
      </w:r>
      <w:r w:rsidR="00B535B7">
        <w:t>) in the absence of listen-before-talk collision</w:t>
      </w:r>
      <w:r w:rsidR="000C017F">
        <w:t>s</w:t>
      </w:r>
      <w:r w:rsidR="00B535B7">
        <w:t>.</w:t>
      </w:r>
    </w:p>
    <w:p w:rsidR="00CC2368" w:rsidRDefault="00B535B7" w:rsidP="008E225D">
      <w:r>
        <w:t>However, for carriers in the unlicensed bands</w:t>
      </w:r>
      <w:r w:rsidR="00CC02D4">
        <w:t xml:space="preserve">, </w:t>
      </w:r>
      <w:r w:rsidR="00E279B8">
        <w:t xml:space="preserve">the TB BLER </w:t>
      </w:r>
      <w:r>
        <w:t xml:space="preserve">can </w:t>
      </w:r>
      <w:r w:rsidR="00E75F6C">
        <w:t xml:space="preserve">also </w:t>
      </w:r>
      <w:r>
        <w:t xml:space="preserve">be caused by </w:t>
      </w:r>
      <w:r w:rsidR="003C0B95">
        <w:t xml:space="preserve">simultaneous transmissions from multiple </w:t>
      </w:r>
      <w:r w:rsidR="009E3784">
        <w:t>listen-before-</w:t>
      </w:r>
      <w:r w:rsidR="003C0B95">
        <w:t>talk nodes. More specifically, the</w:t>
      </w:r>
      <w:r>
        <w:t>se</w:t>
      </w:r>
      <w:r w:rsidR="003C0B95">
        <w:t xml:space="preserve"> events </w:t>
      </w:r>
      <w:r>
        <w:t xml:space="preserve">are </w:t>
      </w:r>
      <w:r w:rsidR="003C0B95">
        <w:t xml:space="preserve">caused by </w:t>
      </w:r>
      <w:r w:rsidR="009E3784">
        <w:t xml:space="preserve">the </w:t>
      </w:r>
      <w:proofErr w:type="spellStart"/>
      <w:r w:rsidR="009E3784">
        <w:t>eNB</w:t>
      </w:r>
      <w:proofErr w:type="spellEnd"/>
      <w:r w:rsidR="009E3784">
        <w:t xml:space="preserve"> </w:t>
      </w:r>
      <w:r w:rsidR="003C0B95">
        <w:t xml:space="preserve">drawing an identical random counter as another node. The default contention window size </w:t>
      </w:r>
      <w:r>
        <w:t xml:space="preserve">for the LAA </w:t>
      </w:r>
      <w:proofErr w:type="spellStart"/>
      <w:r>
        <w:t>eNB</w:t>
      </w:r>
      <w:proofErr w:type="spellEnd"/>
      <w:r>
        <w:t xml:space="preserve"> or Wi-Fi AP </w:t>
      </w:r>
      <w:r w:rsidR="003C0B95">
        <w:t>is CW=1</w:t>
      </w:r>
      <w:r w:rsidR="00491FE8">
        <w:t>5</w:t>
      </w:r>
      <w:r w:rsidR="003C0B95">
        <w:t xml:space="preserve">, which means the random counter takes </w:t>
      </w:r>
      <w:r w:rsidR="000C017F">
        <w:t>an integer value</w:t>
      </w:r>
      <w:r w:rsidR="003C0B95">
        <w:t xml:space="preserve"> from 0 to 15. If there </w:t>
      </w:r>
      <w:r w:rsidR="007754C7">
        <w:t xml:space="preserve">is another </w:t>
      </w:r>
      <w:r w:rsidR="003C0B95">
        <w:t xml:space="preserve">nodes </w:t>
      </w:r>
      <w:r w:rsidR="00E53BED">
        <w:t xml:space="preserve">drawing </w:t>
      </w:r>
      <w:r w:rsidR="007754C7">
        <w:t>a</w:t>
      </w:r>
      <w:r w:rsidR="003A6663">
        <w:t>nother</w:t>
      </w:r>
      <w:r w:rsidR="007754C7">
        <w:t xml:space="preserve"> random counter</w:t>
      </w:r>
      <w:r w:rsidR="003C0B95">
        <w:t xml:space="preserve">, the probability of </w:t>
      </w:r>
      <w:r w:rsidR="007754C7">
        <w:t>the other node</w:t>
      </w:r>
      <w:r w:rsidR="003C0B95">
        <w:t xml:space="preserve"> drawing an identical random counter is given by 1</w:t>
      </w:r>
      <w:proofErr w:type="gramStart"/>
      <w:r w:rsidR="003C0B95">
        <w:t>/</w:t>
      </w:r>
      <w:r w:rsidR="001622E7">
        <w:t>(</w:t>
      </w:r>
      <w:proofErr w:type="gramEnd"/>
      <w:r w:rsidR="001622E7">
        <w:t>1+CW)</w:t>
      </w:r>
      <w:r w:rsidR="003C0B95">
        <w:t xml:space="preserve">. More generally, the probability of collision when there are </w:t>
      </w:r>
      <w:proofErr w:type="spellStart"/>
      <w:r w:rsidR="003C0B95" w:rsidRPr="003C0B95">
        <w:rPr>
          <w:i/>
        </w:rPr>
        <w:t>n</w:t>
      </w:r>
      <w:proofErr w:type="spellEnd"/>
      <w:r w:rsidR="003C0B95">
        <w:t xml:space="preserve"> </w:t>
      </w:r>
      <w:r w:rsidR="007754C7">
        <w:t xml:space="preserve">other </w:t>
      </w:r>
      <w:r w:rsidR="003C0B95">
        <w:t xml:space="preserve">nodes </w:t>
      </w:r>
      <w:r w:rsidR="00E53BED">
        <w:t xml:space="preserve">with contention window size CW </w:t>
      </w:r>
      <w:r w:rsidR="003C0B95">
        <w:t>is</w:t>
      </w:r>
      <w:r w:rsidR="00CE0684">
        <w:t xml:space="preserve"> given in </w:t>
      </w:r>
      <w:r w:rsidR="00CE0684">
        <w:fldChar w:fldCharType="begin"/>
      </w:r>
      <w:r w:rsidR="00CE0684">
        <w:instrText xml:space="preserve"> REF _Ref430341064 \h </w:instrText>
      </w:r>
      <w:r w:rsidR="00CE0684">
        <w:fldChar w:fldCharType="separate"/>
      </w:r>
      <w:r w:rsidR="009C3FEC">
        <w:t xml:space="preserve">Table </w:t>
      </w:r>
      <w:r w:rsidR="009C3FEC">
        <w:rPr>
          <w:noProof/>
        </w:rPr>
        <w:t>1</w:t>
      </w:r>
      <w:r w:rsidR="00CE0684">
        <w:fldChar w:fldCharType="end"/>
      </w:r>
      <w:r w:rsidR="00CE0684">
        <w:t>.</w:t>
      </w:r>
    </w:p>
    <w:p w:rsidR="00450D1B" w:rsidRDefault="00450D1B" w:rsidP="00A82BAF">
      <w:pPr>
        <w:pStyle w:val="Caption"/>
      </w:pPr>
      <w:bookmarkStart w:id="3" w:name="_Ref430341064"/>
      <w:r>
        <w:t xml:space="preserve">Table </w:t>
      </w:r>
      <w:r>
        <w:fldChar w:fldCharType="begin"/>
      </w:r>
      <w:r>
        <w:instrText xml:space="preserve"> SEQ Table \* ARABIC </w:instrText>
      </w:r>
      <w:r>
        <w:fldChar w:fldCharType="separate"/>
      </w:r>
      <w:r w:rsidR="009C3FEC">
        <w:rPr>
          <w:noProof/>
        </w:rPr>
        <w:t>1</w:t>
      </w:r>
      <w:r>
        <w:fldChar w:fldCharType="end"/>
      </w:r>
      <w:bookmarkEnd w:id="3"/>
      <w:r>
        <w:t xml:space="preserve"> Collision probability of </w:t>
      </w:r>
      <w:r w:rsidR="006A1698">
        <w:t xml:space="preserve">drawing </w:t>
      </w:r>
      <w:r w:rsidR="00A76C99">
        <w:t xml:space="preserve">an </w:t>
      </w:r>
      <w:r w:rsidR="000766CC">
        <w:t xml:space="preserve">identical </w:t>
      </w:r>
      <w:r w:rsidR="006A1698">
        <w:t>random counter</w:t>
      </w:r>
      <w:r w:rsidR="000766CC">
        <w:t xml:space="preserve"> </w:t>
      </w:r>
      <w:r w:rsidR="00A76C99">
        <w:t xml:space="preserve">with at least one of </w:t>
      </w:r>
      <w:r w:rsidR="000766CC" w:rsidRPr="003C0B95">
        <w:rPr>
          <w:i/>
        </w:rPr>
        <w:t>n</w:t>
      </w:r>
      <w:r w:rsidR="000766CC">
        <w:t xml:space="preserve"> </w:t>
      </w:r>
      <w:r w:rsidR="007754C7">
        <w:t xml:space="preserve">other </w:t>
      </w:r>
      <w:r w:rsidR="000766CC">
        <w:t>nodes</w:t>
      </w:r>
      <w:r w:rsidR="006A1698">
        <w:t xml:space="preserve"> </w:t>
      </w:r>
      <w:r w:rsidR="000766CC">
        <w:t>draw</w:t>
      </w:r>
      <w:r w:rsidR="00A76C99">
        <w:t>ing</w:t>
      </w:r>
      <w:r w:rsidR="000766CC">
        <w:t xml:space="preserve"> from </w:t>
      </w:r>
      <w:r>
        <w:t>a contention window size of CW.</w:t>
      </w:r>
    </w:p>
    <w:tbl>
      <w:tblPr>
        <w:tblStyle w:val="TableGrid"/>
        <w:tblW w:w="0" w:type="auto"/>
        <w:tblInd w:w="1188" w:type="dxa"/>
        <w:tblLook w:val="04A0" w:firstRow="1" w:lastRow="0" w:firstColumn="1" w:lastColumn="0" w:noHBand="0" w:noVBand="1"/>
      </w:tblPr>
      <w:tblGrid>
        <w:gridCol w:w="1511"/>
        <w:gridCol w:w="1511"/>
        <w:gridCol w:w="1511"/>
        <w:gridCol w:w="1512"/>
      </w:tblGrid>
      <w:tr w:rsidR="00871068" w:rsidTr="00F64AF3">
        <w:tc>
          <w:tcPr>
            <w:tcW w:w="1511" w:type="dxa"/>
            <w:vAlign w:val="center"/>
          </w:tcPr>
          <w:p w:rsidR="00871068" w:rsidRDefault="00871068" w:rsidP="00A82BAF">
            <w:pPr>
              <w:spacing w:before="20" w:after="20"/>
              <w:jc w:val="center"/>
            </w:pPr>
          </w:p>
        </w:tc>
        <w:tc>
          <w:tcPr>
            <w:tcW w:w="1511" w:type="dxa"/>
            <w:vAlign w:val="center"/>
          </w:tcPr>
          <w:p w:rsidR="00871068" w:rsidRDefault="00491FE8" w:rsidP="00A82BAF">
            <w:pPr>
              <w:spacing w:before="20" w:after="20"/>
              <w:jc w:val="center"/>
            </w:pPr>
            <w:r>
              <w:t>CW=15</w:t>
            </w:r>
          </w:p>
        </w:tc>
        <w:tc>
          <w:tcPr>
            <w:tcW w:w="1511" w:type="dxa"/>
            <w:vAlign w:val="center"/>
          </w:tcPr>
          <w:p w:rsidR="00871068" w:rsidRDefault="00491FE8" w:rsidP="00A82BAF">
            <w:pPr>
              <w:spacing w:before="20" w:after="20"/>
              <w:jc w:val="center"/>
            </w:pPr>
            <w:r>
              <w:t>CW=31</w:t>
            </w:r>
          </w:p>
        </w:tc>
        <w:tc>
          <w:tcPr>
            <w:tcW w:w="1512" w:type="dxa"/>
            <w:vAlign w:val="center"/>
          </w:tcPr>
          <w:p w:rsidR="00871068" w:rsidRDefault="00871068" w:rsidP="00A82BAF">
            <w:pPr>
              <w:spacing w:before="20" w:after="20"/>
              <w:jc w:val="center"/>
            </w:pPr>
            <w:r>
              <w:t>CW=6</w:t>
            </w:r>
            <w:r w:rsidR="00491FE8">
              <w:t>3</w:t>
            </w:r>
          </w:p>
        </w:tc>
      </w:tr>
      <w:tr w:rsidR="008F52B5" w:rsidTr="007754C7">
        <w:tc>
          <w:tcPr>
            <w:tcW w:w="1511" w:type="dxa"/>
            <w:vAlign w:val="center"/>
          </w:tcPr>
          <w:p w:rsidR="008F52B5" w:rsidRDefault="007754C7" w:rsidP="00A82BAF">
            <w:pPr>
              <w:spacing w:before="20" w:after="20"/>
              <w:jc w:val="center"/>
            </w:pPr>
            <w:r w:rsidRPr="007754C7">
              <w:rPr>
                <w:i/>
              </w:rPr>
              <w:t>n</w:t>
            </w:r>
            <w:r>
              <w:t>=1</w:t>
            </w:r>
          </w:p>
        </w:tc>
        <w:tc>
          <w:tcPr>
            <w:tcW w:w="1511" w:type="dxa"/>
          </w:tcPr>
          <w:p w:rsidR="008F52B5" w:rsidRDefault="008F52B5" w:rsidP="00A82BAF">
            <w:pPr>
              <w:spacing w:before="20" w:after="20"/>
              <w:jc w:val="center"/>
            </w:pPr>
            <w:r w:rsidRPr="004F58EC">
              <w:t>0.0625</w:t>
            </w:r>
          </w:p>
        </w:tc>
        <w:tc>
          <w:tcPr>
            <w:tcW w:w="1511" w:type="dxa"/>
          </w:tcPr>
          <w:p w:rsidR="008F52B5" w:rsidRDefault="008F52B5" w:rsidP="00A82BAF">
            <w:pPr>
              <w:spacing w:before="20" w:after="20"/>
              <w:jc w:val="center"/>
            </w:pPr>
            <w:r w:rsidRPr="004F58EC">
              <w:t>0.0313</w:t>
            </w:r>
          </w:p>
        </w:tc>
        <w:tc>
          <w:tcPr>
            <w:tcW w:w="1512" w:type="dxa"/>
          </w:tcPr>
          <w:p w:rsidR="008F52B5" w:rsidRDefault="008F52B5" w:rsidP="00A82BAF">
            <w:pPr>
              <w:spacing w:before="20" w:after="20"/>
              <w:jc w:val="center"/>
            </w:pPr>
            <w:r w:rsidRPr="004F58EC">
              <w:t>0.0156</w:t>
            </w:r>
          </w:p>
        </w:tc>
      </w:tr>
      <w:tr w:rsidR="007754C7" w:rsidTr="007754C7">
        <w:tc>
          <w:tcPr>
            <w:tcW w:w="1511" w:type="dxa"/>
            <w:vAlign w:val="center"/>
          </w:tcPr>
          <w:p w:rsidR="007754C7" w:rsidRDefault="007754C7" w:rsidP="00A82BAF">
            <w:pPr>
              <w:spacing w:before="20" w:after="20"/>
              <w:jc w:val="center"/>
            </w:pPr>
            <w:r w:rsidRPr="00A82BAF">
              <w:rPr>
                <w:i/>
              </w:rPr>
              <w:t>n</w:t>
            </w:r>
            <w:r>
              <w:t>=2</w:t>
            </w:r>
          </w:p>
        </w:tc>
        <w:tc>
          <w:tcPr>
            <w:tcW w:w="1511" w:type="dxa"/>
          </w:tcPr>
          <w:p w:rsidR="007754C7" w:rsidRDefault="007754C7" w:rsidP="00A82BAF">
            <w:pPr>
              <w:spacing w:before="20" w:after="20"/>
              <w:jc w:val="center"/>
            </w:pPr>
            <w:r w:rsidRPr="004F58EC">
              <w:t>0.1211</w:t>
            </w:r>
          </w:p>
        </w:tc>
        <w:tc>
          <w:tcPr>
            <w:tcW w:w="1511" w:type="dxa"/>
          </w:tcPr>
          <w:p w:rsidR="007754C7" w:rsidRDefault="007754C7" w:rsidP="00A82BAF">
            <w:pPr>
              <w:spacing w:before="20" w:after="20"/>
              <w:jc w:val="center"/>
            </w:pPr>
            <w:r w:rsidRPr="004F58EC">
              <w:t>0.0615</w:t>
            </w:r>
          </w:p>
        </w:tc>
        <w:tc>
          <w:tcPr>
            <w:tcW w:w="1512" w:type="dxa"/>
          </w:tcPr>
          <w:p w:rsidR="007754C7" w:rsidRDefault="007754C7" w:rsidP="00A82BAF">
            <w:pPr>
              <w:spacing w:before="20" w:after="20"/>
              <w:jc w:val="center"/>
            </w:pPr>
            <w:r w:rsidRPr="004F58EC">
              <w:t>0.0310</w:t>
            </w:r>
          </w:p>
        </w:tc>
      </w:tr>
      <w:tr w:rsidR="007754C7" w:rsidTr="007754C7">
        <w:tc>
          <w:tcPr>
            <w:tcW w:w="1511" w:type="dxa"/>
            <w:vAlign w:val="center"/>
          </w:tcPr>
          <w:p w:rsidR="007754C7" w:rsidRDefault="007754C7" w:rsidP="00A82BAF">
            <w:pPr>
              <w:spacing w:before="20" w:after="20"/>
              <w:jc w:val="center"/>
            </w:pPr>
            <w:r w:rsidRPr="00A82BAF">
              <w:rPr>
                <w:i/>
              </w:rPr>
              <w:t>n</w:t>
            </w:r>
            <w:r>
              <w:t>=3</w:t>
            </w:r>
          </w:p>
        </w:tc>
        <w:tc>
          <w:tcPr>
            <w:tcW w:w="1511" w:type="dxa"/>
          </w:tcPr>
          <w:p w:rsidR="007754C7" w:rsidRDefault="007754C7" w:rsidP="00A82BAF">
            <w:pPr>
              <w:spacing w:before="20" w:after="20"/>
              <w:jc w:val="center"/>
            </w:pPr>
            <w:r w:rsidRPr="004F58EC">
              <w:t>0.1760</w:t>
            </w:r>
          </w:p>
        </w:tc>
        <w:tc>
          <w:tcPr>
            <w:tcW w:w="1511" w:type="dxa"/>
          </w:tcPr>
          <w:p w:rsidR="007754C7" w:rsidRDefault="007754C7" w:rsidP="00A82BAF">
            <w:pPr>
              <w:spacing w:before="20" w:after="20"/>
              <w:jc w:val="center"/>
            </w:pPr>
            <w:r w:rsidRPr="004F58EC">
              <w:t>0.0909</w:t>
            </w:r>
          </w:p>
        </w:tc>
        <w:tc>
          <w:tcPr>
            <w:tcW w:w="1512" w:type="dxa"/>
          </w:tcPr>
          <w:p w:rsidR="007754C7" w:rsidRDefault="007754C7" w:rsidP="00A82BAF">
            <w:pPr>
              <w:spacing w:before="20" w:after="20"/>
              <w:jc w:val="center"/>
            </w:pPr>
            <w:r w:rsidRPr="004F58EC">
              <w:t>0.0461</w:t>
            </w:r>
          </w:p>
        </w:tc>
      </w:tr>
      <w:tr w:rsidR="007754C7" w:rsidTr="007754C7">
        <w:tc>
          <w:tcPr>
            <w:tcW w:w="1511" w:type="dxa"/>
            <w:vAlign w:val="center"/>
          </w:tcPr>
          <w:p w:rsidR="007754C7" w:rsidRDefault="007754C7" w:rsidP="00343B2D">
            <w:pPr>
              <w:spacing w:before="20" w:after="20"/>
              <w:jc w:val="center"/>
            </w:pPr>
            <w:r w:rsidRPr="00A82BAF">
              <w:rPr>
                <w:i/>
              </w:rPr>
              <w:t>n</w:t>
            </w:r>
            <w:r>
              <w:t>=4</w:t>
            </w:r>
          </w:p>
        </w:tc>
        <w:tc>
          <w:tcPr>
            <w:tcW w:w="1511" w:type="dxa"/>
          </w:tcPr>
          <w:p w:rsidR="007754C7" w:rsidRDefault="007754C7" w:rsidP="00343B2D">
            <w:pPr>
              <w:spacing w:before="20" w:after="20"/>
              <w:jc w:val="center"/>
            </w:pPr>
            <w:r w:rsidRPr="004F58EC">
              <w:t>0.2275</w:t>
            </w:r>
          </w:p>
        </w:tc>
        <w:tc>
          <w:tcPr>
            <w:tcW w:w="1511" w:type="dxa"/>
          </w:tcPr>
          <w:p w:rsidR="007754C7" w:rsidRDefault="007754C7" w:rsidP="00343B2D">
            <w:pPr>
              <w:spacing w:before="20" w:after="20"/>
              <w:jc w:val="center"/>
            </w:pPr>
            <w:r w:rsidRPr="004F58EC">
              <w:t>0.1193</w:t>
            </w:r>
          </w:p>
        </w:tc>
        <w:tc>
          <w:tcPr>
            <w:tcW w:w="1512" w:type="dxa"/>
          </w:tcPr>
          <w:p w:rsidR="007754C7" w:rsidRDefault="007754C7" w:rsidP="00343B2D">
            <w:pPr>
              <w:spacing w:before="20" w:after="20"/>
              <w:jc w:val="center"/>
            </w:pPr>
            <w:r w:rsidRPr="004F58EC">
              <w:t>0.0611</w:t>
            </w:r>
          </w:p>
        </w:tc>
      </w:tr>
      <w:tr w:rsidR="007754C7" w:rsidTr="00F64AF3">
        <w:tc>
          <w:tcPr>
            <w:tcW w:w="1511" w:type="dxa"/>
          </w:tcPr>
          <w:p w:rsidR="007754C7" w:rsidRDefault="007754C7" w:rsidP="00343B2D">
            <w:pPr>
              <w:spacing w:before="20" w:after="20"/>
              <w:jc w:val="center"/>
            </w:pPr>
            <w:r w:rsidRPr="00A82BAF">
              <w:rPr>
                <w:i/>
              </w:rPr>
              <w:t>n</w:t>
            </w:r>
            <w:r>
              <w:t>=5</w:t>
            </w:r>
          </w:p>
        </w:tc>
        <w:tc>
          <w:tcPr>
            <w:tcW w:w="1511" w:type="dxa"/>
          </w:tcPr>
          <w:p w:rsidR="007754C7" w:rsidRDefault="007754C7" w:rsidP="00343B2D">
            <w:pPr>
              <w:spacing w:before="20" w:after="20"/>
              <w:jc w:val="center"/>
            </w:pPr>
            <w:r w:rsidRPr="004F58EC">
              <w:t>0.2758</w:t>
            </w:r>
          </w:p>
        </w:tc>
        <w:tc>
          <w:tcPr>
            <w:tcW w:w="1511" w:type="dxa"/>
          </w:tcPr>
          <w:p w:rsidR="007754C7" w:rsidRDefault="007754C7" w:rsidP="00343B2D">
            <w:pPr>
              <w:spacing w:before="20" w:after="20"/>
              <w:jc w:val="center"/>
            </w:pPr>
            <w:r w:rsidRPr="004F58EC">
              <w:t>0.1468</w:t>
            </w:r>
          </w:p>
        </w:tc>
        <w:tc>
          <w:tcPr>
            <w:tcW w:w="1512" w:type="dxa"/>
          </w:tcPr>
          <w:p w:rsidR="007754C7" w:rsidRDefault="007754C7" w:rsidP="00343B2D">
            <w:pPr>
              <w:spacing w:before="20" w:after="20"/>
              <w:jc w:val="center"/>
            </w:pPr>
            <w:r w:rsidRPr="004F58EC">
              <w:t>0.0757</w:t>
            </w:r>
          </w:p>
        </w:tc>
      </w:tr>
    </w:tbl>
    <w:p w:rsidR="00871068" w:rsidRDefault="00871068" w:rsidP="008E225D"/>
    <w:p w:rsidR="00E93B91" w:rsidRDefault="0076135D" w:rsidP="008E225D">
      <w:r>
        <w:t xml:space="preserve">For the unlicensed band carriers, there is a need to further consider the number of impacted HARQ processes when such a collision occurs. For example, if a random counter is drawn for a single carrier and if either the own signal or the interference signals last for typically </w:t>
      </w:r>
      <w:r w:rsidR="00C66278">
        <w:t xml:space="preserve">a transmit opportunity </w:t>
      </w:r>
      <w:r w:rsidR="001B2802">
        <w:t>(</w:t>
      </w:r>
      <w:r w:rsidR="00C66278">
        <w:t>TXOP</w:t>
      </w:r>
      <w:r w:rsidR="001B2802">
        <w:t>)</w:t>
      </w:r>
      <w:r w:rsidR="00C66278">
        <w:t xml:space="preserve"> of </w:t>
      </w:r>
      <w:r>
        <w:t xml:space="preserve">4 </w:t>
      </w:r>
      <w:proofErr w:type="spellStart"/>
      <w:r>
        <w:t>ms</w:t>
      </w:r>
      <w:proofErr w:type="spellEnd"/>
      <w:r>
        <w:t>, then each identical random counter draw even</w:t>
      </w:r>
      <w:r w:rsidR="00E93B91">
        <w:t>t</w:t>
      </w:r>
      <w:r>
        <w:t xml:space="preserve"> will cause 4 HARQ process buffers to be occupied. For another example, if </w:t>
      </w:r>
      <w:r w:rsidR="00E93B91">
        <w:t xml:space="preserve">each transmission involves </w:t>
      </w:r>
      <w:r w:rsidR="001B2802">
        <w:t>4</w:t>
      </w:r>
      <w:r w:rsidR="00E93B91">
        <w:t xml:space="preserve"> carriers together and if either the own signal or the interference signals last for </w:t>
      </w:r>
      <w:r w:rsidR="001B2802">
        <w:t>a</w:t>
      </w:r>
      <w:r w:rsidR="00E93B91">
        <w:t xml:space="preserve"> </w:t>
      </w:r>
      <w:r w:rsidR="001B2802">
        <w:t xml:space="preserve">TXOP of </w:t>
      </w:r>
      <w:r w:rsidR="00E93B91">
        <w:t xml:space="preserve">4 </w:t>
      </w:r>
      <w:proofErr w:type="spellStart"/>
      <w:r w:rsidR="00E93B91">
        <w:t>ms</w:t>
      </w:r>
      <w:proofErr w:type="spellEnd"/>
      <w:r w:rsidR="00E93B91">
        <w:t xml:space="preserve">, </w:t>
      </w:r>
      <w:r w:rsidR="00B40AC3">
        <w:t>then each collision event will cause 16 HARQ process hit.</w:t>
      </w:r>
      <w:r w:rsidR="001B2802">
        <w:t xml:space="preserve"> </w:t>
      </w:r>
      <w:r w:rsidR="00B40AC3">
        <w:t xml:space="preserve">For another example, if each transmission involves 4 carriers together and the TXOP is 10 </w:t>
      </w:r>
      <w:proofErr w:type="spellStart"/>
      <w:r w:rsidR="00B40AC3">
        <w:t>ms</w:t>
      </w:r>
      <w:proofErr w:type="spellEnd"/>
      <w:r w:rsidR="00B40AC3">
        <w:t xml:space="preserve">, then each collision event will cause 40 HARQ process buffers to be occupied. </w:t>
      </w:r>
      <w:r w:rsidR="001B2802">
        <w:t xml:space="preserve">In </w:t>
      </w:r>
      <w:r w:rsidR="001B2802">
        <w:lastRenderedPageBreak/>
        <w:t xml:space="preserve">summary, the number of overlapped HARQ process buffers depends on the number of carriers involved for each transmission and transmission time which is related to TXOP. </w:t>
      </w:r>
    </w:p>
    <w:p w:rsidR="00871068" w:rsidRDefault="001E6CEA" w:rsidP="008E225D">
      <w:r>
        <w:t xml:space="preserve">Taking </w:t>
      </w:r>
      <w:r w:rsidR="00A12573">
        <w:t xml:space="preserve">all </w:t>
      </w:r>
      <w:r>
        <w:t>the above consideration</w:t>
      </w:r>
      <w:r w:rsidR="00A12573">
        <w:t>s</w:t>
      </w:r>
      <w:r w:rsidR="00ED18DA">
        <w:t xml:space="preserve"> (baseline BLER by link adaptation, LBT collision and number of HARQ process hit per collision) </w:t>
      </w:r>
      <w:r>
        <w:t xml:space="preserve">into account, we provide </w:t>
      </w:r>
      <w:r w:rsidR="006A1698">
        <w:t xml:space="preserve">in </w:t>
      </w:r>
      <w:r w:rsidR="006A1698">
        <w:fldChar w:fldCharType="begin"/>
      </w:r>
      <w:r w:rsidR="006A1698">
        <w:instrText xml:space="preserve"> REF _Ref430264287 \h </w:instrText>
      </w:r>
      <w:r w:rsidR="006A1698">
        <w:fldChar w:fldCharType="separate"/>
      </w:r>
      <w:r w:rsidR="009C3FEC">
        <w:t xml:space="preserve">Figure </w:t>
      </w:r>
      <w:r w:rsidR="009C3FEC">
        <w:rPr>
          <w:noProof/>
        </w:rPr>
        <w:t>1</w:t>
      </w:r>
      <w:r w:rsidR="006A1698">
        <w:fldChar w:fldCharType="end"/>
      </w:r>
      <w:r w:rsidR="006A1698">
        <w:t xml:space="preserve"> </w:t>
      </w:r>
      <w:r w:rsidR="005834E1">
        <w:t xml:space="preserve">an example of </w:t>
      </w:r>
      <w:r>
        <w:t xml:space="preserve">the block probabilities for the case where </w:t>
      </w:r>
      <w:r w:rsidRPr="0058118A">
        <w:rPr>
          <w:i/>
        </w:rPr>
        <w:t>n</w:t>
      </w:r>
      <w:r>
        <w:t>=</w:t>
      </w:r>
      <w:r w:rsidR="00A50B27">
        <w:t>4</w:t>
      </w:r>
      <w:r>
        <w:t xml:space="preserve"> </w:t>
      </w:r>
      <w:r w:rsidR="002976C7">
        <w:t xml:space="preserve">other </w:t>
      </w:r>
      <w:r>
        <w:t xml:space="preserve">nodes </w:t>
      </w:r>
      <w:r w:rsidR="002976C7">
        <w:t xml:space="preserve">also </w:t>
      </w:r>
      <w:r>
        <w:t>try to access 32 carriers at the same time and all nodes are using CW=15.</w:t>
      </w:r>
      <w:r w:rsidR="00A50B27">
        <w:t xml:space="preserve"> The baseline TB BLER because of link adaptation inaccuracy is assumed to be 10%.</w:t>
      </w:r>
      <w:r w:rsidR="00B031CB">
        <w:t xml:space="preserve"> </w:t>
      </w:r>
    </w:p>
    <w:p w:rsidR="008D1A69" w:rsidRDefault="008D1A69" w:rsidP="00A82BAF">
      <w:pPr>
        <w:pStyle w:val="ListParagraph"/>
        <w:numPr>
          <w:ilvl w:val="0"/>
          <w:numId w:val="26"/>
        </w:numPr>
        <w:jc w:val="both"/>
        <w:rPr>
          <w:sz w:val="22"/>
        </w:rPr>
      </w:pPr>
      <w:r w:rsidRPr="00A82BAF">
        <w:rPr>
          <w:sz w:val="22"/>
        </w:rPr>
        <w:t xml:space="preserve">The case of “1 overlapping per collision” </w:t>
      </w:r>
      <w:r>
        <w:rPr>
          <w:sz w:val="22"/>
        </w:rPr>
        <w:t xml:space="preserve">follows </w:t>
      </w:r>
      <w:r w:rsidRPr="00A82BAF">
        <w:rPr>
          <w:sz w:val="22"/>
        </w:rPr>
        <w:t xml:space="preserve">the </w:t>
      </w:r>
      <w:r>
        <w:rPr>
          <w:sz w:val="22"/>
        </w:rPr>
        <w:t>simple independent BLER events approach used in Rel-8 for licensed band carriers. Based on the above discussion, this will not be representative of the operation</w:t>
      </w:r>
      <w:r w:rsidR="00C17ABB">
        <w:rPr>
          <w:sz w:val="22"/>
        </w:rPr>
        <w:t xml:space="preserve"> condition</w:t>
      </w:r>
      <w:r>
        <w:rPr>
          <w:sz w:val="22"/>
        </w:rPr>
        <w:t>s in the unlicensed bands.</w:t>
      </w:r>
      <w:r w:rsidR="00981C03">
        <w:rPr>
          <w:sz w:val="22"/>
        </w:rPr>
        <w:t xml:space="preserve"> The number of HARQ process buffers determined by this model will allow too optimistic reduction in soft buffers.</w:t>
      </w:r>
    </w:p>
    <w:p w:rsidR="008D1A69" w:rsidRDefault="008D1A69" w:rsidP="00A82BAF">
      <w:pPr>
        <w:pStyle w:val="ListParagraph"/>
        <w:numPr>
          <w:ilvl w:val="0"/>
          <w:numId w:val="26"/>
        </w:numPr>
        <w:jc w:val="both"/>
        <w:rPr>
          <w:sz w:val="22"/>
        </w:rPr>
      </w:pPr>
      <w:r>
        <w:rPr>
          <w:sz w:val="22"/>
        </w:rPr>
        <w:t xml:space="preserve">Consider the case of </w:t>
      </w:r>
      <w:r w:rsidRPr="0058118A">
        <w:rPr>
          <w:sz w:val="22"/>
        </w:rPr>
        <w:t>“</w:t>
      </w:r>
      <w:r>
        <w:rPr>
          <w:sz w:val="22"/>
        </w:rPr>
        <w:t>16</w:t>
      </w:r>
      <w:r w:rsidRPr="0058118A">
        <w:rPr>
          <w:sz w:val="22"/>
        </w:rPr>
        <w:t xml:space="preserve"> </w:t>
      </w:r>
      <w:proofErr w:type="spellStart"/>
      <w:r w:rsidRPr="0058118A">
        <w:rPr>
          <w:sz w:val="22"/>
        </w:rPr>
        <w:t>overlapping</w:t>
      </w:r>
      <w:r>
        <w:rPr>
          <w:sz w:val="22"/>
        </w:rPr>
        <w:t>s</w:t>
      </w:r>
      <w:proofErr w:type="spellEnd"/>
      <w:r w:rsidRPr="0058118A">
        <w:rPr>
          <w:sz w:val="22"/>
        </w:rPr>
        <w:t xml:space="preserve"> per collision”</w:t>
      </w:r>
      <w:r w:rsidR="00015731">
        <w:rPr>
          <w:sz w:val="22"/>
        </w:rPr>
        <w:t xml:space="preserve">, i.e., 4 CCs involved for each transmission for </w:t>
      </w:r>
      <w:r w:rsidR="0088475D">
        <w:rPr>
          <w:sz w:val="22"/>
        </w:rPr>
        <w:t xml:space="preserve">a </w:t>
      </w:r>
      <w:r w:rsidR="00015731">
        <w:rPr>
          <w:sz w:val="22"/>
        </w:rPr>
        <w:t xml:space="preserve">TXOP of 4 </w:t>
      </w:r>
      <w:proofErr w:type="spellStart"/>
      <w:r w:rsidR="00015731">
        <w:rPr>
          <w:sz w:val="22"/>
        </w:rPr>
        <w:t>ms</w:t>
      </w:r>
      <w:proofErr w:type="spellEnd"/>
      <w:r w:rsidR="00015731">
        <w:rPr>
          <w:sz w:val="22"/>
        </w:rPr>
        <w:t>,</w:t>
      </w:r>
      <w:r>
        <w:rPr>
          <w:sz w:val="22"/>
        </w:rPr>
        <w:t xml:space="preserve"> the analysis indicates that </w:t>
      </w:r>
      <w:r w:rsidR="006C10FC">
        <w:rPr>
          <w:sz w:val="22"/>
        </w:rPr>
        <w:t>140</w:t>
      </w:r>
      <w:r>
        <w:rPr>
          <w:sz w:val="22"/>
        </w:rPr>
        <w:t xml:space="preserve"> HARQ process buffers are needed instead of 256 HARQ processes. This represents a </w:t>
      </w:r>
      <w:r w:rsidR="006C10FC">
        <w:rPr>
          <w:sz w:val="22"/>
        </w:rPr>
        <w:t>45</w:t>
      </w:r>
      <w:r>
        <w:rPr>
          <w:sz w:val="22"/>
        </w:rPr>
        <w:t>% reduction in soft buffer</w:t>
      </w:r>
      <w:r w:rsidR="0097066C">
        <w:rPr>
          <w:sz w:val="22"/>
        </w:rPr>
        <w:t xml:space="preserve"> sizes</w:t>
      </w:r>
      <w:r>
        <w:rPr>
          <w:sz w:val="22"/>
        </w:rPr>
        <w:t>.</w:t>
      </w:r>
    </w:p>
    <w:p w:rsidR="008D1A69" w:rsidRDefault="008D1A69" w:rsidP="00A82BAF">
      <w:pPr>
        <w:pStyle w:val="ListParagraph"/>
        <w:numPr>
          <w:ilvl w:val="0"/>
          <w:numId w:val="26"/>
        </w:numPr>
        <w:jc w:val="both"/>
        <w:rPr>
          <w:sz w:val="22"/>
        </w:rPr>
      </w:pPr>
      <w:r>
        <w:rPr>
          <w:sz w:val="22"/>
        </w:rPr>
        <w:t xml:space="preserve">Consider the case of </w:t>
      </w:r>
      <w:r w:rsidRPr="0058118A">
        <w:rPr>
          <w:sz w:val="22"/>
        </w:rPr>
        <w:t>“</w:t>
      </w:r>
      <w:r>
        <w:rPr>
          <w:sz w:val="22"/>
        </w:rPr>
        <w:t>8</w:t>
      </w:r>
      <w:r w:rsidRPr="0058118A">
        <w:rPr>
          <w:sz w:val="22"/>
        </w:rPr>
        <w:t xml:space="preserve"> </w:t>
      </w:r>
      <w:proofErr w:type="spellStart"/>
      <w:r w:rsidRPr="0058118A">
        <w:rPr>
          <w:sz w:val="22"/>
        </w:rPr>
        <w:t>overlapping</w:t>
      </w:r>
      <w:r>
        <w:rPr>
          <w:sz w:val="22"/>
        </w:rPr>
        <w:t>s</w:t>
      </w:r>
      <w:proofErr w:type="spellEnd"/>
      <w:r w:rsidRPr="0058118A">
        <w:rPr>
          <w:sz w:val="22"/>
        </w:rPr>
        <w:t xml:space="preserve"> per collision”</w:t>
      </w:r>
      <w:r w:rsidR="00015731">
        <w:rPr>
          <w:sz w:val="22"/>
        </w:rPr>
        <w:t xml:space="preserve">, i.e., 2 CCs involved for each transmission for </w:t>
      </w:r>
      <w:r w:rsidR="0088475D">
        <w:rPr>
          <w:sz w:val="22"/>
        </w:rPr>
        <w:t xml:space="preserve">a </w:t>
      </w:r>
      <w:r w:rsidR="00015731">
        <w:rPr>
          <w:sz w:val="22"/>
        </w:rPr>
        <w:t xml:space="preserve">TXOP of 4 </w:t>
      </w:r>
      <w:proofErr w:type="spellStart"/>
      <w:r w:rsidR="00015731">
        <w:rPr>
          <w:sz w:val="22"/>
        </w:rPr>
        <w:t>ms</w:t>
      </w:r>
      <w:proofErr w:type="spellEnd"/>
      <w:r w:rsidR="00015731">
        <w:rPr>
          <w:sz w:val="22"/>
        </w:rPr>
        <w:t xml:space="preserve">, </w:t>
      </w:r>
      <w:r>
        <w:rPr>
          <w:sz w:val="22"/>
        </w:rPr>
        <w:t>the analysis indicates that 1</w:t>
      </w:r>
      <w:r w:rsidR="00CF081F">
        <w:rPr>
          <w:sz w:val="22"/>
        </w:rPr>
        <w:t>2</w:t>
      </w:r>
      <w:r w:rsidR="006C10FC">
        <w:rPr>
          <w:sz w:val="22"/>
        </w:rPr>
        <w:t>1</w:t>
      </w:r>
      <w:r>
        <w:rPr>
          <w:sz w:val="22"/>
        </w:rPr>
        <w:t xml:space="preserve"> HARQ process buffers are needed instead of 256 HARQ processes. This represents a </w:t>
      </w:r>
      <w:r w:rsidR="00386414">
        <w:rPr>
          <w:sz w:val="22"/>
        </w:rPr>
        <w:t>5</w:t>
      </w:r>
      <w:r w:rsidR="00CF081F">
        <w:rPr>
          <w:sz w:val="22"/>
        </w:rPr>
        <w:t>3</w:t>
      </w:r>
      <w:r w:rsidR="0097066C">
        <w:rPr>
          <w:sz w:val="22"/>
        </w:rPr>
        <w:t>% reduction in soft buffer sizes</w:t>
      </w:r>
      <w:r>
        <w:rPr>
          <w:sz w:val="22"/>
        </w:rPr>
        <w:t>.</w:t>
      </w:r>
    </w:p>
    <w:p w:rsidR="008D1A69" w:rsidRDefault="008D1A69" w:rsidP="00A82BAF">
      <w:pPr>
        <w:pStyle w:val="ListParagraph"/>
        <w:numPr>
          <w:ilvl w:val="0"/>
          <w:numId w:val="26"/>
        </w:numPr>
        <w:jc w:val="both"/>
        <w:rPr>
          <w:sz w:val="22"/>
        </w:rPr>
      </w:pPr>
      <w:r>
        <w:rPr>
          <w:sz w:val="22"/>
        </w:rPr>
        <w:t xml:space="preserve">Consider the case of </w:t>
      </w:r>
      <w:r w:rsidRPr="0058118A">
        <w:rPr>
          <w:sz w:val="22"/>
        </w:rPr>
        <w:t>“</w:t>
      </w:r>
      <w:r>
        <w:rPr>
          <w:sz w:val="22"/>
        </w:rPr>
        <w:t>4</w:t>
      </w:r>
      <w:r w:rsidRPr="0058118A">
        <w:rPr>
          <w:sz w:val="22"/>
        </w:rPr>
        <w:t xml:space="preserve"> </w:t>
      </w:r>
      <w:proofErr w:type="spellStart"/>
      <w:r w:rsidRPr="0058118A">
        <w:rPr>
          <w:sz w:val="22"/>
        </w:rPr>
        <w:t>overlapping</w:t>
      </w:r>
      <w:r>
        <w:rPr>
          <w:sz w:val="22"/>
        </w:rPr>
        <w:t>s</w:t>
      </w:r>
      <w:proofErr w:type="spellEnd"/>
      <w:r w:rsidRPr="0058118A">
        <w:rPr>
          <w:sz w:val="22"/>
        </w:rPr>
        <w:t xml:space="preserve"> per collision”</w:t>
      </w:r>
      <w:r w:rsidR="00015731">
        <w:rPr>
          <w:sz w:val="22"/>
        </w:rPr>
        <w:t xml:space="preserve">, i.e., </w:t>
      </w:r>
      <w:r w:rsidR="0082021F">
        <w:rPr>
          <w:sz w:val="22"/>
        </w:rPr>
        <w:t>1 CC</w:t>
      </w:r>
      <w:r w:rsidR="00015731">
        <w:rPr>
          <w:sz w:val="22"/>
        </w:rPr>
        <w:t xml:space="preserve"> for each transmission for </w:t>
      </w:r>
      <w:r w:rsidR="0088475D">
        <w:rPr>
          <w:sz w:val="22"/>
        </w:rPr>
        <w:t xml:space="preserve">a </w:t>
      </w:r>
      <w:r w:rsidR="00015731">
        <w:rPr>
          <w:sz w:val="22"/>
        </w:rPr>
        <w:t xml:space="preserve">TXOP of 4 </w:t>
      </w:r>
      <w:proofErr w:type="spellStart"/>
      <w:r w:rsidR="00015731">
        <w:rPr>
          <w:sz w:val="22"/>
        </w:rPr>
        <w:t>ms</w:t>
      </w:r>
      <w:proofErr w:type="spellEnd"/>
      <w:r w:rsidR="00015731">
        <w:rPr>
          <w:sz w:val="22"/>
        </w:rPr>
        <w:t xml:space="preserve">, </w:t>
      </w:r>
      <w:r>
        <w:rPr>
          <w:sz w:val="22"/>
        </w:rPr>
        <w:t>t</w:t>
      </w:r>
      <w:r w:rsidR="00386414">
        <w:rPr>
          <w:sz w:val="22"/>
        </w:rPr>
        <w:t xml:space="preserve">he analysis indicates that </w:t>
      </w:r>
      <w:r w:rsidR="006C10FC">
        <w:rPr>
          <w:sz w:val="22"/>
        </w:rPr>
        <w:t>109</w:t>
      </w:r>
      <w:r>
        <w:rPr>
          <w:sz w:val="22"/>
        </w:rPr>
        <w:t xml:space="preserve"> HARQ process buffers are needed instead of 256 HARQ processes. This represents</w:t>
      </w:r>
      <w:r w:rsidR="00386414">
        <w:rPr>
          <w:sz w:val="22"/>
        </w:rPr>
        <w:t xml:space="preserve"> a </w:t>
      </w:r>
      <w:r w:rsidR="006C10FC">
        <w:rPr>
          <w:sz w:val="22"/>
        </w:rPr>
        <w:t>57</w:t>
      </w:r>
      <w:r w:rsidR="0097066C">
        <w:rPr>
          <w:sz w:val="22"/>
        </w:rPr>
        <w:t>% reduction in soft buffer sizes</w:t>
      </w:r>
      <w:r>
        <w:rPr>
          <w:sz w:val="22"/>
        </w:rPr>
        <w:t>.</w:t>
      </w:r>
    </w:p>
    <w:p w:rsidR="00FA09D3" w:rsidRPr="00FA09D3" w:rsidRDefault="00FA09D3" w:rsidP="00FA09D3">
      <w:pPr>
        <w:ind w:left="360"/>
      </w:pPr>
    </w:p>
    <w:p w:rsidR="00871068" w:rsidRDefault="00FA09D3" w:rsidP="00FA09D3">
      <w:pPr>
        <w:pStyle w:val="BodyText"/>
        <w:jc w:val="center"/>
      </w:pPr>
      <w:r>
        <w:rPr>
          <w:noProof/>
          <w:lang w:val="en-US"/>
        </w:rPr>
        <w:drawing>
          <wp:inline distT="0" distB="0" distL="0" distR="0" wp14:anchorId="385BC0F9" wp14:editId="3306ECB2">
            <wp:extent cx="4050792" cy="285292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50792" cy="2852928"/>
                    </a:xfrm>
                    <a:prstGeom prst="rect">
                      <a:avLst/>
                    </a:prstGeom>
                    <a:noFill/>
                    <a:ln>
                      <a:noFill/>
                    </a:ln>
                  </pic:spPr>
                </pic:pic>
              </a:graphicData>
            </a:graphic>
          </wp:inline>
        </w:drawing>
      </w:r>
    </w:p>
    <w:p w:rsidR="005834E1" w:rsidRDefault="00491FE8" w:rsidP="00DF05C8">
      <w:pPr>
        <w:pStyle w:val="Caption"/>
      </w:pPr>
      <w:bookmarkStart w:id="4" w:name="_Ref430264287"/>
      <w:r>
        <w:t xml:space="preserve">Figure </w:t>
      </w:r>
      <w:r>
        <w:fldChar w:fldCharType="begin"/>
      </w:r>
      <w:r>
        <w:instrText xml:space="preserve"> SEQ Figure \* ARABIC </w:instrText>
      </w:r>
      <w:r>
        <w:fldChar w:fldCharType="separate"/>
      </w:r>
      <w:r w:rsidR="009C3FEC">
        <w:rPr>
          <w:noProof/>
        </w:rPr>
        <w:t>1</w:t>
      </w:r>
      <w:r>
        <w:fldChar w:fldCharType="end"/>
      </w:r>
      <w:bookmarkEnd w:id="4"/>
      <w:r>
        <w:t xml:space="preserve"> </w:t>
      </w:r>
      <w:r w:rsidRPr="009948BA">
        <w:t xml:space="preserve">Blocking probability analysis </w:t>
      </w:r>
      <w:r>
        <w:t xml:space="preserve">for the case where </w:t>
      </w:r>
      <w:r w:rsidR="000C553D" w:rsidRPr="0058118A">
        <w:rPr>
          <w:i/>
        </w:rPr>
        <w:t>n</w:t>
      </w:r>
      <w:r w:rsidR="00421B71">
        <w:t>=</w:t>
      </w:r>
      <w:r w:rsidR="005379FE">
        <w:t>4</w:t>
      </w:r>
      <w:r w:rsidR="000C553D">
        <w:t xml:space="preserve"> </w:t>
      </w:r>
      <w:r w:rsidR="002976C7">
        <w:t xml:space="preserve">other </w:t>
      </w:r>
      <w:r w:rsidR="000C553D">
        <w:t xml:space="preserve">nodes </w:t>
      </w:r>
      <w:r w:rsidR="002976C7">
        <w:t xml:space="preserve">also </w:t>
      </w:r>
      <w:r w:rsidR="001E6CEA">
        <w:t>try</w:t>
      </w:r>
      <w:r w:rsidR="000C553D">
        <w:t xml:space="preserve"> to access </w:t>
      </w:r>
      <w:r>
        <w:t xml:space="preserve">32 carriers </w:t>
      </w:r>
      <w:r w:rsidR="00734D57">
        <w:t>at the same time and all nodes are using CW=15.</w:t>
      </w:r>
      <w:r w:rsidR="001C3BE9">
        <w:t xml:space="preserve"> The baseline TB BLER because of link adaptation inaccuracy is 10%.</w:t>
      </w:r>
    </w:p>
    <w:p w:rsidR="00764E6B" w:rsidRDefault="00764E6B" w:rsidP="008E225D"/>
    <w:p w:rsidR="00764E6B" w:rsidRDefault="005834E1" w:rsidP="008E225D">
      <w:r>
        <w:t xml:space="preserve">Considering that the blocking probability and consequently the percentage of soft buffer reduction depends on various factors, such as the number of other nodes trying to access channels at the same time, the number of CCs involved for each transmission, TXOP, </w:t>
      </w:r>
      <w:proofErr w:type="spellStart"/>
      <w:r>
        <w:t>etc</w:t>
      </w:r>
      <w:proofErr w:type="spellEnd"/>
      <w:r>
        <w:t xml:space="preserve">, </w:t>
      </w:r>
      <w:r w:rsidR="00541D0A">
        <w:t xml:space="preserve">the </w:t>
      </w:r>
      <w:r>
        <w:t xml:space="preserve">simulations have been </w:t>
      </w:r>
      <w:r w:rsidR="00541D0A">
        <w:t>extended</w:t>
      </w:r>
      <w:r>
        <w:t xml:space="preserve"> </w:t>
      </w:r>
      <w:r w:rsidR="00541D0A">
        <w:t xml:space="preserve">to be </w:t>
      </w:r>
      <w:r w:rsidR="00764E6B">
        <w:t xml:space="preserve">based on different assumptions </w:t>
      </w:r>
      <w:r>
        <w:t xml:space="preserve">and a summary of soft buffer reduction is presented in </w:t>
      </w:r>
      <w:r w:rsidR="00764E6B">
        <w:fldChar w:fldCharType="begin"/>
      </w:r>
      <w:r w:rsidR="00764E6B">
        <w:instrText xml:space="preserve"> REF _Ref430941035 \h </w:instrText>
      </w:r>
      <w:r w:rsidR="00764E6B">
        <w:fldChar w:fldCharType="separate"/>
      </w:r>
      <w:r w:rsidR="009C3FEC">
        <w:t xml:space="preserve">Table </w:t>
      </w:r>
      <w:r w:rsidR="009C3FEC">
        <w:rPr>
          <w:noProof/>
        </w:rPr>
        <w:t>2</w:t>
      </w:r>
      <w:r w:rsidR="00764E6B">
        <w:fldChar w:fldCharType="end"/>
      </w:r>
      <w:r>
        <w:t>.</w:t>
      </w:r>
      <w:r w:rsidR="00764E6B">
        <w:t xml:space="preserve"> It can be observed that the </w:t>
      </w:r>
      <w:r w:rsidR="00541D0A">
        <w:t xml:space="preserve">soft buffer </w:t>
      </w:r>
      <w:r w:rsidR="00764E6B">
        <w:t xml:space="preserve">reduction heavily depends on the scenarios. For certain cases, the </w:t>
      </w:r>
      <w:r w:rsidR="00B40AC3">
        <w:t xml:space="preserve">soft buffer </w:t>
      </w:r>
      <w:r w:rsidR="00764E6B">
        <w:t xml:space="preserve">blocking probability can never go below 1% and therefore </w:t>
      </w:r>
      <w:r w:rsidR="0088475D">
        <w:t>it is not possible to perform efficient soft buffer handing for these cases.</w:t>
      </w:r>
    </w:p>
    <w:p w:rsidR="00F31ED9" w:rsidRDefault="00F31ED9" w:rsidP="008E225D"/>
    <w:p w:rsidR="005834E1" w:rsidRDefault="005834E1" w:rsidP="005834E1">
      <w:pPr>
        <w:pStyle w:val="Caption"/>
      </w:pPr>
      <w:bookmarkStart w:id="5" w:name="_Ref430941035"/>
      <w:r>
        <w:lastRenderedPageBreak/>
        <w:t xml:space="preserve">Table </w:t>
      </w:r>
      <w:r>
        <w:fldChar w:fldCharType="begin"/>
      </w:r>
      <w:r>
        <w:instrText xml:space="preserve"> SEQ Table \* ARABIC </w:instrText>
      </w:r>
      <w:r>
        <w:fldChar w:fldCharType="separate"/>
      </w:r>
      <w:r w:rsidR="009C3FEC">
        <w:rPr>
          <w:noProof/>
        </w:rPr>
        <w:t>2</w:t>
      </w:r>
      <w:r>
        <w:fldChar w:fldCharType="end"/>
      </w:r>
      <w:bookmarkEnd w:id="5"/>
      <w:r>
        <w:t xml:space="preserve"> </w:t>
      </w:r>
      <w:proofErr w:type="gramStart"/>
      <w:r>
        <w:t>The</w:t>
      </w:r>
      <w:proofErr w:type="gramEnd"/>
      <w:r>
        <w:t xml:space="preserve"> percentage of soft buffer reduction with </w:t>
      </w:r>
      <w:r w:rsidRPr="00DF05C8">
        <w:rPr>
          <w:i/>
        </w:rPr>
        <w:t xml:space="preserve">n </w:t>
      </w:r>
      <w:r>
        <w:t xml:space="preserve">other nodes </w:t>
      </w:r>
      <w:r w:rsidR="00764E6B">
        <w:t xml:space="preserve">trying to access channels at the same time, 1/2/4/8/16 CCs involved for each transmission, and </w:t>
      </w:r>
      <w:r w:rsidR="00851306">
        <w:t>TXOP of 4/10</w:t>
      </w:r>
      <w:r w:rsidR="00764E6B">
        <w:t xml:space="preserve"> </w:t>
      </w:r>
      <w:proofErr w:type="spellStart"/>
      <w:r w:rsidR="00764E6B">
        <w:t>ms</w:t>
      </w:r>
      <w:proofErr w:type="spellEnd"/>
      <w:r>
        <w:t>.</w:t>
      </w:r>
    </w:p>
    <w:tbl>
      <w:tblPr>
        <w:tblStyle w:val="TableGrid"/>
        <w:tblW w:w="0" w:type="auto"/>
        <w:jc w:val="center"/>
        <w:tblInd w:w="558" w:type="dxa"/>
        <w:tblLayout w:type="fixed"/>
        <w:tblLook w:val="04A0" w:firstRow="1" w:lastRow="0" w:firstColumn="1" w:lastColumn="0" w:noHBand="0" w:noVBand="1"/>
      </w:tblPr>
      <w:tblGrid>
        <w:gridCol w:w="1530"/>
        <w:gridCol w:w="1473"/>
        <w:gridCol w:w="1217"/>
        <w:gridCol w:w="1217"/>
        <w:gridCol w:w="1223"/>
        <w:gridCol w:w="1260"/>
      </w:tblGrid>
      <w:tr w:rsidR="005834E1" w:rsidRPr="005834E1" w:rsidTr="00DF05C8">
        <w:trPr>
          <w:trHeight w:val="269"/>
          <w:jc w:val="center"/>
        </w:trPr>
        <w:tc>
          <w:tcPr>
            <w:tcW w:w="1530" w:type="dxa"/>
            <w:hideMark/>
          </w:tcPr>
          <w:p w:rsidR="005834E1" w:rsidRPr="005834E1" w:rsidRDefault="005834E1" w:rsidP="00DF05C8">
            <w:pPr>
              <w:jc w:val="center"/>
              <w:rPr>
                <w:lang w:val="en-US"/>
              </w:rPr>
            </w:pPr>
          </w:p>
        </w:tc>
        <w:tc>
          <w:tcPr>
            <w:tcW w:w="1473" w:type="dxa"/>
            <w:hideMark/>
          </w:tcPr>
          <w:p w:rsidR="005834E1" w:rsidRPr="005834E1" w:rsidRDefault="005834E1" w:rsidP="00DF05C8">
            <w:pPr>
              <w:jc w:val="center"/>
              <w:rPr>
                <w:lang w:val="en-US"/>
              </w:rPr>
            </w:pPr>
          </w:p>
        </w:tc>
        <w:tc>
          <w:tcPr>
            <w:tcW w:w="1217" w:type="dxa"/>
            <w:hideMark/>
          </w:tcPr>
          <w:p w:rsidR="00D37BBA" w:rsidRPr="005834E1" w:rsidRDefault="005834E1" w:rsidP="00DF05C8">
            <w:pPr>
              <w:jc w:val="center"/>
              <w:rPr>
                <w:lang w:val="en-US"/>
              </w:rPr>
            </w:pPr>
            <w:r w:rsidRPr="00DF05C8">
              <w:rPr>
                <w:b/>
                <w:bCs/>
                <w:i/>
                <w:lang w:val="en-US"/>
              </w:rPr>
              <w:t>n</w:t>
            </w:r>
            <w:r w:rsidR="00764E6B">
              <w:rPr>
                <w:b/>
                <w:bCs/>
                <w:lang w:val="en-US"/>
              </w:rPr>
              <w:t>=</w:t>
            </w:r>
            <w:r w:rsidRPr="005834E1">
              <w:rPr>
                <w:b/>
                <w:bCs/>
                <w:lang w:val="en-US"/>
              </w:rPr>
              <w:t>5</w:t>
            </w:r>
          </w:p>
        </w:tc>
        <w:tc>
          <w:tcPr>
            <w:tcW w:w="1217" w:type="dxa"/>
            <w:hideMark/>
          </w:tcPr>
          <w:p w:rsidR="00D37BBA" w:rsidRPr="005834E1" w:rsidRDefault="005834E1" w:rsidP="00DF05C8">
            <w:pPr>
              <w:jc w:val="center"/>
              <w:rPr>
                <w:lang w:val="en-US"/>
              </w:rPr>
            </w:pPr>
            <w:r w:rsidRPr="00DF05C8">
              <w:rPr>
                <w:b/>
                <w:bCs/>
                <w:i/>
                <w:lang w:val="en-US"/>
              </w:rPr>
              <w:t>n</w:t>
            </w:r>
            <w:r w:rsidRPr="005834E1">
              <w:rPr>
                <w:b/>
                <w:bCs/>
                <w:lang w:val="en-US"/>
              </w:rPr>
              <w:t>=4</w:t>
            </w:r>
          </w:p>
        </w:tc>
        <w:tc>
          <w:tcPr>
            <w:tcW w:w="1223" w:type="dxa"/>
            <w:hideMark/>
          </w:tcPr>
          <w:p w:rsidR="00D37BBA" w:rsidRPr="005834E1" w:rsidRDefault="005834E1" w:rsidP="00DF05C8">
            <w:pPr>
              <w:jc w:val="center"/>
              <w:rPr>
                <w:lang w:val="en-US"/>
              </w:rPr>
            </w:pPr>
            <w:r w:rsidRPr="00DF05C8">
              <w:rPr>
                <w:b/>
                <w:bCs/>
                <w:i/>
                <w:lang w:val="en-US"/>
              </w:rPr>
              <w:t>n</w:t>
            </w:r>
            <w:r w:rsidRPr="005834E1">
              <w:rPr>
                <w:b/>
                <w:bCs/>
                <w:lang w:val="en-US"/>
              </w:rPr>
              <w:t>=3</w:t>
            </w:r>
          </w:p>
        </w:tc>
        <w:tc>
          <w:tcPr>
            <w:tcW w:w="1260" w:type="dxa"/>
            <w:hideMark/>
          </w:tcPr>
          <w:p w:rsidR="00D37BBA" w:rsidRPr="005834E1" w:rsidRDefault="005834E1" w:rsidP="00DF05C8">
            <w:pPr>
              <w:jc w:val="center"/>
              <w:rPr>
                <w:lang w:val="en-US"/>
              </w:rPr>
            </w:pPr>
            <w:r w:rsidRPr="00DF05C8">
              <w:rPr>
                <w:b/>
                <w:bCs/>
                <w:i/>
                <w:lang w:val="en-US"/>
              </w:rPr>
              <w:t>n</w:t>
            </w:r>
            <w:r w:rsidRPr="005834E1">
              <w:rPr>
                <w:b/>
                <w:bCs/>
                <w:lang w:val="en-US"/>
              </w:rPr>
              <w:t>=2</w:t>
            </w:r>
          </w:p>
        </w:tc>
      </w:tr>
      <w:tr w:rsidR="005834E1" w:rsidRPr="005834E1" w:rsidTr="00DF05C8">
        <w:trPr>
          <w:trHeight w:val="251"/>
          <w:jc w:val="center"/>
        </w:trPr>
        <w:tc>
          <w:tcPr>
            <w:tcW w:w="1530" w:type="dxa"/>
            <w:vMerge w:val="restart"/>
            <w:hideMark/>
          </w:tcPr>
          <w:p w:rsidR="005834E1" w:rsidRPr="00DF05C8" w:rsidRDefault="005834E1" w:rsidP="00DF05C8">
            <w:pPr>
              <w:jc w:val="center"/>
              <w:rPr>
                <w:b/>
                <w:lang w:val="en-US"/>
              </w:rPr>
            </w:pPr>
            <w:r w:rsidRPr="00DF05C8">
              <w:rPr>
                <w:b/>
                <w:lang w:val="en-US"/>
              </w:rPr>
              <w:t>TXOP 4ms</w:t>
            </w:r>
          </w:p>
        </w:tc>
        <w:tc>
          <w:tcPr>
            <w:tcW w:w="1473" w:type="dxa"/>
            <w:hideMark/>
          </w:tcPr>
          <w:p w:rsidR="005834E1" w:rsidRPr="00DF05C8" w:rsidRDefault="005834E1" w:rsidP="00DF05C8">
            <w:pPr>
              <w:jc w:val="center"/>
              <w:rPr>
                <w:b/>
                <w:lang w:val="en-US"/>
              </w:rPr>
            </w:pPr>
            <w:r w:rsidRPr="00DF05C8">
              <w:rPr>
                <w:b/>
                <w:lang w:val="en-US"/>
              </w:rPr>
              <w:t>16 CCs</w:t>
            </w:r>
          </w:p>
        </w:tc>
        <w:tc>
          <w:tcPr>
            <w:tcW w:w="1217" w:type="dxa"/>
            <w:hideMark/>
          </w:tcPr>
          <w:p w:rsidR="005834E1" w:rsidRPr="00DF05C8" w:rsidRDefault="005834E1" w:rsidP="00DF05C8">
            <w:pPr>
              <w:spacing w:before="20" w:after="20"/>
              <w:jc w:val="center"/>
            </w:pPr>
            <w:r w:rsidRPr="00DF05C8">
              <w:t>21%</w:t>
            </w:r>
          </w:p>
        </w:tc>
        <w:tc>
          <w:tcPr>
            <w:tcW w:w="1217" w:type="dxa"/>
            <w:hideMark/>
          </w:tcPr>
          <w:p w:rsidR="005834E1" w:rsidRPr="00DF05C8" w:rsidRDefault="005834E1" w:rsidP="00DF05C8">
            <w:pPr>
              <w:spacing w:before="20" w:after="20"/>
              <w:jc w:val="center"/>
            </w:pPr>
            <w:r w:rsidRPr="00DF05C8">
              <w:t>22%</w:t>
            </w:r>
          </w:p>
        </w:tc>
        <w:tc>
          <w:tcPr>
            <w:tcW w:w="1223" w:type="dxa"/>
            <w:hideMark/>
          </w:tcPr>
          <w:p w:rsidR="005834E1" w:rsidRPr="00DF05C8" w:rsidRDefault="005834E1" w:rsidP="00DF05C8">
            <w:pPr>
              <w:spacing w:before="20" w:after="20"/>
              <w:jc w:val="center"/>
            </w:pPr>
            <w:r w:rsidRPr="00DF05C8">
              <w:t>25%</w:t>
            </w:r>
          </w:p>
        </w:tc>
        <w:tc>
          <w:tcPr>
            <w:tcW w:w="1260" w:type="dxa"/>
            <w:hideMark/>
          </w:tcPr>
          <w:p w:rsidR="005834E1" w:rsidRPr="00DF05C8" w:rsidRDefault="005834E1" w:rsidP="00DF05C8">
            <w:pPr>
              <w:spacing w:before="20" w:after="20"/>
              <w:jc w:val="center"/>
            </w:pPr>
            <w:r w:rsidRPr="00DF05C8">
              <w:t>42%</w:t>
            </w:r>
          </w:p>
        </w:tc>
      </w:tr>
      <w:tr w:rsidR="005834E1" w:rsidRPr="005834E1" w:rsidTr="00DF05C8">
        <w:trPr>
          <w:trHeight w:val="215"/>
          <w:jc w:val="center"/>
        </w:trPr>
        <w:tc>
          <w:tcPr>
            <w:tcW w:w="1530" w:type="dxa"/>
            <w:vMerge/>
            <w:hideMark/>
          </w:tcPr>
          <w:p w:rsidR="005834E1" w:rsidRPr="00DF05C8" w:rsidRDefault="005834E1" w:rsidP="00DF05C8">
            <w:pPr>
              <w:jc w:val="center"/>
              <w:rPr>
                <w:b/>
                <w:lang w:val="en-US"/>
              </w:rPr>
            </w:pPr>
          </w:p>
        </w:tc>
        <w:tc>
          <w:tcPr>
            <w:tcW w:w="1473" w:type="dxa"/>
            <w:hideMark/>
          </w:tcPr>
          <w:p w:rsidR="005834E1" w:rsidRPr="00DF05C8" w:rsidRDefault="005834E1" w:rsidP="00DF05C8">
            <w:pPr>
              <w:jc w:val="center"/>
              <w:rPr>
                <w:b/>
                <w:lang w:val="en-US"/>
              </w:rPr>
            </w:pPr>
            <w:r w:rsidRPr="00DF05C8">
              <w:rPr>
                <w:b/>
                <w:lang w:val="en-US"/>
              </w:rPr>
              <w:t>8 CCs</w:t>
            </w:r>
          </w:p>
        </w:tc>
        <w:tc>
          <w:tcPr>
            <w:tcW w:w="1217" w:type="dxa"/>
            <w:hideMark/>
          </w:tcPr>
          <w:p w:rsidR="005834E1" w:rsidRPr="00DF05C8" w:rsidRDefault="005834E1" w:rsidP="00DF05C8">
            <w:pPr>
              <w:spacing w:before="20" w:after="20"/>
              <w:jc w:val="center"/>
            </w:pPr>
            <w:r w:rsidRPr="00DF05C8">
              <w:t>32%</w:t>
            </w:r>
          </w:p>
        </w:tc>
        <w:tc>
          <w:tcPr>
            <w:tcW w:w="1217" w:type="dxa"/>
            <w:hideMark/>
          </w:tcPr>
          <w:p w:rsidR="005834E1" w:rsidRPr="00DF05C8" w:rsidRDefault="005834E1" w:rsidP="008550B2">
            <w:pPr>
              <w:spacing w:before="20" w:after="20"/>
              <w:jc w:val="center"/>
            </w:pPr>
            <w:r w:rsidRPr="00DF05C8">
              <w:t>3</w:t>
            </w:r>
            <w:r w:rsidR="008550B2">
              <w:t>5</w:t>
            </w:r>
            <w:r w:rsidRPr="00DF05C8">
              <w:t>%</w:t>
            </w:r>
          </w:p>
        </w:tc>
        <w:tc>
          <w:tcPr>
            <w:tcW w:w="1223" w:type="dxa"/>
            <w:hideMark/>
          </w:tcPr>
          <w:p w:rsidR="005834E1" w:rsidRPr="00DF05C8" w:rsidRDefault="008550B2" w:rsidP="00DF05C8">
            <w:pPr>
              <w:spacing w:before="20" w:after="20"/>
              <w:jc w:val="center"/>
            </w:pPr>
            <w:r>
              <w:t>44</w:t>
            </w:r>
            <w:r w:rsidR="005834E1" w:rsidRPr="00DF05C8">
              <w:t>%</w:t>
            </w:r>
          </w:p>
        </w:tc>
        <w:tc>
          <w:tcPr>
            <w:tcW w:w="1260" w:type="dxa"/>
            <w:hideMark/>
          </w:tcPr>
          <w:p w:rsidR="005834E1" w:rsidRPr="00DF05C8" w:rsidRDefault="008550B2" w:rsidP="00DF05C8">
            <w:pPr>
              <w:spacing w:before="20" w:after="20"/>
              <w:jc w:val="center"/>
            </w:pPr>
            <w:r>
              <w:t>50</w:t>
            </w:r>
            <w:r w:rsidR="005834E1" w:rsidRPr="00DF05C8">
              <w:t>%</w:t>
            </w:r>
          </w:p>
        </w:tc>
      </w:tr>
      <w:tr w:rsidR="005834E1" w:rsidRPr="005834E1" w:rsidTr="00DF05C8">
        <w:trPr>
          <w:trHeight w:val="368"/>
          <w:jc w:val="center"/>
        </w:trPr>
        <w:tc>
          <w:tcPr>
            <w:tcW w:w="1530" w:type="dxa"/>
            <w:vMerge/>
            <w:hideMark/>
          </w:tcPr>
          <w:p w:rsidR="005834E1" w:rsidRPr="00DF05C8" w:rsidRDefault="005834E1" w:rsidP="00DF05C8">
            <w:pPr>
              <w:jc w:val="center"/>
              <w:rPr>
                <w:b/>
                <w:lang w:val="en-US"/>
              </w:rPr>
            </w:pPr>
          </w:p>
        </w:tc>
        <w:tc>
          <w:tcPr>
            <w:tcW w:w="1473" w:type="dxa"/>
            <w:hideMark/>
          </w:tcPr>
          <w:p w:rsidR="005834E1" w:rsidRPr="00DF05C8" w:rsidRDefault="005834E1" w:rsidP="00DF05C8">
            <w:pPr>
              <w:jc w:val="center"/>
              <w:rPr>
                <w:b/>
                <w:lang w:val="en-US"/>
              </w:rPr>
            </w:pPr>
            <w:r w:rsidRPr="00DF05C8">
              <w:rPr>
                <w:b/>
                <w:lang w:val="en-US"/>
              </w:rPr>
              <w:t>4 CCs</w:t>
            </w:r>
          </w:p>
        </w:tc>
        <w:tc>
          <w:tcPr>
            <w:tcW w:w="1217" w:type="dxa"/>
            <w:hideMark/>
          </w:tcPr>
          <w:p w:rsidR="005834E1" w:rsidRPr="00DF05C8" w:rsidRDefault="005834E1" w:rsidP="00DF05C8">
            <w:pPr>
              <w:spacing w:before="20" w:after="20"/>
              <w:jc w:val="center"/>
            </w:pPr>
            <w:r w:rsidRPr="00DF05C8">
              <w:t>40%</w:t>
            </w:r>
          </w:p>
        </w:tc>
        <w:tc>
          <w:tcPr>
            <w:tcW w:w="1217" w:type="dxa"/>
            <w:hideMark/>
          </w:tcPr>
          <w:p w:rsidR="005834E1" w:rsidRPr="00DF05C8" w:rsidRDefault="005834E1" w:rsidP="00DF05C8">
            <w:pPr>
              <w:spacing w:before="20" w:after="20"/>
              <w:jc w:val="center"/>
            </w:pPr>
            <w:r w:rsidRPr="00DF05C8">
              <w:t>45%</w:t>
            </w:r>
          </w:p>
        </w:tc>
        <w:tc>
          <w:tcPr>
            <w:tcW w:w="1223" w:type="dxa"/>
            <w:hideMark/>
          </w:tcPr>
          <w:p w:rsidR="005834E1" w:rsidRPr="00DF05C8" w:rsidRDefault="005834E1" w:rsidP="00DF05C8">
            <w:pPr>
              <w:spacing w:before="20" w:after="20"/>
              <w:jc w:val="center"/>
            </w:pPr>
            <w:r w:rsidRPr="00DF05C8">
              <w:t>52%</w:t>
            </w:r>
          </w:p>
        </w:tc>
        <w:tc>
          <w:tcPr>
            <w:tcW w:w="1260" w:type="dxa"/>
            <w:hideMark/>
          </w:tcPr>
          <w:p w:rsidR="005834E1" w:rsidRPr="00DF05C8" w:rsidRDefault="005834E1" w:rsidP="00DF05C8">
            <w:pPr>
              <w:spacing w:before="20" w:after="20"/>
              <w:jc w:val="center"/>
            </w:pPr>
            <w:r w:rsidRPr="00DF05C8">
              <w:t>60%</w:t>
            </w:r>
          </w:p>
        </w:tc>
      </w:tr>
      <w:tr w:rsidR="005834E1" w:rsidRPr="005834E1" w:rsidTr="00DF05C8">
        <w:trPr>
          <w:trHeight w:val="350"/>
          <w:jc w:val="center"/>
        </w:trPr>
        <w:tc>
          <w:tcPr>
            <w:tcW w:w="1530" w:type="dxa"/>
            <w:vMerge/>
            <w:hideMark/>
          </w:tcPr>
          <w:p w:rsidR="005834E1" w:rsidRPr="00DF05C8" w:rsidRDefault="005834E1" w:rsidP="00DF05C8">
            <w:pPr>
              <w:jc w:val="center"/>
              <w:rPr>
                <w:b/>
                <w:lang w:val="en-US"/>
              </w:rPr>
            </w:pPr>
          </w:p>
        </w:tc>
        <w:tc>
          <w:tcPr>
            <w:tcW w:w="1473" w:type="dxa"/>
            <w:hideMark/>
          </w:tcPr>
          <w:p w:rsidR="005834E1" w:rsidRPr="00DF05C8" w:rsidRDefault="005834E1" w:rsidP="00DF05C8">
            <w:pPr>
              <w:jc w:val="center"/>
              <w:rPr>
                <w:b/>
                <w:lang w:val="en-US"/>
              </w:rPr>
            </w:pPr>
            <w:r w:rsidRPr="00DF05C8">
              <w:rPr>
                <w:b/>
                <w:lang w:val="en-US"/>
              </w:rPr>
              <w:t>2 CCs</w:t>
            </w:r>
          </w:p>
        </w:tc>
        <w:tc>
          <w:tcPr>
            <w:tcW w:w="1217" w:type="dxa"/>
            <w:hideMark/>
          </w:tcPr>
          <w:p w:rsidR="005834E1" w:rsidRPr="00DF05C8" w:rsidRDefault="005834E1" w:rsidP="00DF05C8">
            <w:pPr>
              <w:spacing w:before="20" w:after="20"/>
              <w:jc w:val="center"/>
            </w:pPr>
            <w:r w:rsidRPr="00DF05C8">
              <w:t>48%</w:t>
            </w:r>
          </w:p>
        </w:tc>
        <w:tc>
          <w:tcPr>
            <w:tcW w:w="1217" w:type="dxa"/>
            <w:hideMark/>
          </w:tcPr>
          <w:p w:rsidR="005834E1" w:rsidRPr="00DF05C8" w:rsidRDefault="005834E1" w:rsidP="00DF05C8">
            <w:pPr>
              <w:spacing w:before="20" w:after="20"/>
              <w:jc w:val="center"/>
            </w:pPr>
            <w:r w:rsidRPr="00DF05C8">
              <w:t>53%</w:t>
            </w:r>
          </w:p>
        </w:tc>
        <w:tc>
          <w:tcPr>
            <w:tcW w:w="1223" w:type="dxa"/>
            <w:hideMark/>
          </w:tcPr>
          <w:p w:rsidR="005834E1" w:rsidRPr="00DF05C8" w:rsidRDefault="008550B2" w:rsidP="00DF05C8">
            <w:pPr>
              <w:spacing w:before="20" w:after="20"/>
              <w:jc w:val="center"/>
            </w:pPr>
            <w:r>
              <w:t>58</w:t>
            </w:r>
            <w:r w:rsidR="005834E1" w:rsidRPr="00DF05C8">
              <w:t>%</w:t>
            </w:r>
          </w:p>
        </w:tc>
        <w:tc>
          <w:tcPr>
            <w:tcW w:w="1260" w:type="dxa"/>
            <w:hideMark/>
          </w:tcPr>
          <w:p w:rsidR="005834E1" w:rsidRPr="00DF05C8" w:rsidRDefault="005834E1" w:rsidP="00DF05C8">
            <w:pPr>
              <w:spacing w:before="20" w:after="20"/>
              <w:jc w:val="center"/>
            </w:pPr>
            <w:r w:rsidRPr="00DF05C8">
              <w:t>65%</w:t>
            </w:r>
          </w:p>
        </w:tc>
      </w:tr>
      <w:tr w:rsidR="005834E1" w:rsidRPr="005834E1" w:rsidTr="00DF05C8">
        <w:trPr>
          <w:trHeight w:val="64"/>
          <w:jc w:val="center"/>
        </w:trPr>
        <w:tc>
          <w:tcPr>
            <w:tcW w:w="1530" w:type="dxa"/>
            <w:vMerge/>
            <w:hideMark/>
          </w:tcPr>
          <w:p w:rsidR="005834E1" w:rsidRPr="00DF05C8" w:rsidRDefault="005834E1" w:rsidP="00DF05C8">
            <w:pPr>
              <w:jc w:val="center"/>
              <w:rPr>
                <w:b/>
                <w:lang w:val="en-US"/>
              </w:rPr>
            </w:pPr>
          </w:p>
        </w:tc>
        <w:tc>
          <w:tcPr>
            <w:tcW w:w="1473" w:type="dxa"/>
            <w:hideMark/>
          </w:tcPr>
          <w:p w:rsidR="005834E1" w:rsidRPr="00DF05C8" w:rsidRDefault="005834E1" w:rsidP="00DF05C8">
            <w:pPr>
              <w:jc w:val="center"/>
              <w:rPr>
                <w:b/>
                <w:lang w:val="en-US"/>
              </w:rPr>
            </w:pPr>
            <w:r w:rsidRPr="00DF05C8">
              <w:rPr>
                <w:b/>
                <w:lang w:val="en-US"/>
              </w:rPr>
              <w:t>1 CC</w:t>
            </w:r>
          </w:p>
        </w:tc>
        <w:tc>
          <w:tcPr>
            <w:tcW w:w="1217" w:type="dxa"/>
            <w:hideMark/>
          </w:tcPr>
          <w:p w:rsidR="005834E1" w:rsidRPr="00DF05C8" w:rsidRDefault="005834E1" w:rsidP="00DF05C8">
            <w:pPr>
              <w:spacing w:before="20" w:after="20"/>
              <w:jc w:val="center"/>
            </w:pPr>
            <w:r w:rsidRPr="00DF05C8">
              <w:t>53%</w:t>
            </w:r>
          </w:p>
        </w:tc>
        <w:tc>
          <w:tcPr>
            <w:tcW w:w="1217" w:type="dxa"/>
            <w:hideMark/>
          </w:tcPr>
          <w:p w:rsidR="005834E1" w:rsidRPr="00DF05C8" w:rsidRDefault="005834E1" w:rsidP="00DF05C8">
            <w:pPr>
              <w:spacing w:before="20" w:after="20"/>
              <w:jc w:val="center"/>
            </w:pPr>
            <w:r w:rsidRPr="00DF05C8">
              <w:t>57%</w:t>
            </w:r>
          </w:p>
        </w:tc>
        <w:tc>
          <w:tcPr>
            <w:tcW w:w="1223" w:type="dxa"/>
            <w:hideMark/>
          </w:tcPr>
          <w:p w:rsidR="005834E1" w:rsidRPr="00DF05C8" w:rsidRDefault="005834E1" w:rsidP="00DF05C8">
            <w:pPr>
              <w:spacing w:before="20" w:after="20"/>
              <w:jc w:val="center"/>
            </w:pPr>
            <w:r w:rsidRPr="00DF05C8">
              <w:t>63%</w:t>
            </w:r>
          </w:p>
        </w:tc>
        <w:tc>
          <w:tcPr>
            <w:tcW w:w="1260" w:type="dxa"/>
            <w:hideMark/>
          </w:tcPr>
          <w:p w:rsidR="005834E1" w:rsidRPr="00DF05C8" w:rsidRDefault="005834E1" w:rsidP="00DF05C8">
            <w:pPr>
              <w:spacing w:before="20" w:after="20"/>
              <w:jc w:val="center"/>
            </w:pPr>
            <w:r w:rsidRPr="00DF05C8">
              <w:t>69%</w:t>
            </w:r>
          </w:p>
        </w:tc>
      </w:tr>
      <w:tr w:rsidR="005834E1" w:rsidRPr="005834E1" w:rsidTr="00DF05C8">
        <w:trPr>
          <w:trHeight w:val="296"/>
          <w:jc w:val="center"/>
        </w:trPr>
        <w:tc>
          <w:tcPr>
            <w:tcW w:w="1530" w:type="dxa"/>
            <w:vMerge w:val="restart"/>
            <w:hideMark/>
          </w:tcPr>
          <w:p w:rsidR="005834E1" w:rsidRPr="00DF05C8" w:rsidRDefault="005834E1" w:rsidP="00DF05C8">
            <w:pPr>
              <w:jc w:val="center"/>
              <w:rPr>
                <w:b/>
                <w:lang w:val="en-US"/>
              </w:rPr>
            </w:pPr>
            <w:r w:rsidRPr="00DF05C8">
              <w:rPr>
                <w:b/>
                <w:lang w:val="en-US"/>
              </w:rPr>
              <w:t>TXOP 10ms</w:t>
            </w:r>
          </w:p>
        </w:tc>
        <w:tc>
          <w:tcPr>
            <w:tcW w:w="1473" w:type="dxa"/>
            <w:hideMark/>
          </w:tcPr>
          <w:p w:rsidR="005834E1" w:rsidRPr="00DF05C8" w:rsidRDefault="005834E1" w:rsidP="00DF05C8">
            <w:pPr>
              <w:jc w:val="center"/>
              <w:rPr>
                <w:b/>
                <w:lang w:val="en-US"/>
              </w:rPr>
            </w:pPr>
            <w:r w:rsidRPr="00DF05C8">
              <w:rPr>
                <w:b/>
                <w:lang w:val="en-US"/>
              </w:rPr>
              <w:t>16 CCs</w:t>
            </w:r>
          </w:p>
        </w:tc>
        <w:tc>
          <w:tcPr>
            <w:tcW w:w="1217" w:type="dxa"/>
            <w:hideMark/>
          </w:tcPr>
          <w:p w:rsidR="005834E1" w:rsidRPr="00DF05C8" w:rsidRDefault="005834E1" w:rsidP="00DF05C8">
            <w:pPr>
              <w:spacing w:before="20" w:after="20"/>
              <w:jc w:val="center"/>
            </w:pPr>
            <w:r w:rsidRPr="00DF05C8">
              <w:t>-*</w:t>
            </w:r>
          </w:p>
        </w:tc>
        <w:tc>
          <w:tcPr>
            <w:tcW w:w="1217" w:type="dxa"/>
            <w:hideMark/>
          </w:tcPr>
          <w:p w:rsidR="005834E1" w:rsidRPr="00DF05C8" w:rsidRDefault="005834E1" w:rsidP="00DF05C8">
            <w:pPr>
              <w:spacing w:before="20" w:after="20"/>
              <w:jc w:val="center"/>
            </w:pPr>
            <w:r w:rsidRPr="00DF05C8">
              <w:t>-*</w:t>
            </w:r>
          </w:p>
        </w:tc>
        <w:tc>
          <w:tcPr>
            <w:tcW w:w="1223" w:type="dxa"/>
            <w:hideMark/>
          </w:tcPr>
          <w:p w:rsidR="005834E1" w:rsidRPr="00DF05C8" w:rsidRDefault="005834E1" w:rsidP="00DF05C8">
            <w:pPr>
              <w:spacing w:before="20" w:after="20"/>
              <w:jc w:val="center"/>
            </w:pPr>
            <w:r w:rsidRPr="00DF05C8">
              <w:t>-*</w:t>
            </w:r>
          </w:p>
        </w:tc>
        <w:tc>
          <w:tcPr>
            <w:tcW w:w="1260" w:type="dxa"/>
            <w:hideMark/>
          </w:tcPr>
          <w:p w:rsidR="005834E1" w:rsidRPr="00DF05C8" w:rsidRDefault="005834E1" w:rsidP="00DF05C8">
            <w:pPr>
              <w:spacing w:before="20" w:after="20"/>
              <w:jc w:val="center"/>
            </w:pPr>
            <w:r w:rsidRPr="00DF05C8">
              <w:t>7%</w:t>
            </w:r>
          </w:p>
        </w:tc>
      </w:tr>
      <w:tr w:rsidR="005834E1" w:rsidRPr="005834E1" w:rsidTr="00DF05C8">
        <w:trPr>
          <w:trHeight w:val="278"/>
          <w:jc w:val="center"/>
        </w:trPr>
        <w:tc>
          <w:tcPr>
            <w:tcW w:w="1530" w:type="dxa"/>
            <w:vMerge/>
            <w:hideMark/>
          </w:tcPr>
          <w:p w:rsidR="005834E1" w:rsidRPr="005834E1" w:rsidRDefault="005834E1" w:rsidP="00DF05C8">
            <w:pPr>
              <w:jc w:val="center"/>
              <w:rPr>
                <w:lang w:val="en-US"/>
              </w:rPr>
            </w:pPr>
          </w:p>
        </w:tc>
        <w:tc>
          <w:tcPr>
            <w:tcW w:w="1473" w:type="dxa"/>
            <w:hideMark/>
          </w:tcPr>
          <w:p w:rsidR="005834E1" w:rsidRPr="00DF05C8" w:rsidRDefault="005834E1" w:rsidP="00DF05C8">
            <w:pPr>
              <w:jc w:val="center"/>
              <w:rPr>
                <w:b/>
                <w:lang w:val="en-US"/>
              </w:rPr>
            </w:pPr>
            <w:r w:rsidRPr="00DF05C8">
              <w:rPr>
                <w:b/>
                <w:lang w:val="en-US"/>
              </w:rPr>
              <w:t>8 CCs</w:t>
            </w:r>
          </w:p>
        </w:tc>
        <w:tc>
          <w:tcPr>
            <w:tcW w:w="1217" w:type="dxa"/>
            <w:hideMark/>
          </w:tcPr>
          <w:p w:rsidR="005834E1" w:rsidRPr="00DF05C8" w:rsidRDefault="005834E1" w:rsidP="00DF05C8">
            <w:pPr>
              <w:spacing w:before="20" w:after="20"/>
              <w:jc w:val="center"/>
            </w:pPr>
            <w:r w:rsidRPr="00DF05C8">
              <w:t>7%</w:t>
            </w:r>
          </w:p>
        </w:tc>
        <w:tc>
          <w:tcPr>
            <w:tcW w:w="1217" w:type="dxa"/>
            <w:hideMark/>
          </w:tcPr>
          <w:p w:rsidR="005834E1" w:rsidRPr="00DF05C8" w:rsidRDefault="005834E1" w:rsidP="00DF05C8">
            <w:pPr>
              <w:spacing w:before="20" w:after="20"/>
              <w:jc w:val="center"/>
            </w:pPr>
            <w:r w:rsidRPr="00DF05C8">
              <w:t>14%</w:t>
            </w:r>
          </w:p>
        </w:tc>
        <w:tc>
          <w:tcPr>
            <w:tcW w:w="1223" w:type="dxa"/>
            <w:hideMark/>
          </w:tcPr>
          <w:p w:rsidR="005834E1" w:rsidRPr="00DF05C8" w:rsidRDefault="005834E1" w:rsidP="00DF05C8">
            <w:pPr>
              <w:spacing w:before="20" w:after="20"/>
              <w:jc w:val="center"/>
            </w:pPr>
            <w:r w:rsidRPr="00DF05C8">
              <w:t>27%</w:t>
            </w:r>
          </w:p>
        </w:tc>
        <w:tc>
          <w:tcPr>
            <w:tcW w:w="1260" w:type="dxa"/>
            <w:hideMark/>
          </w:tcPr>
          <w:p w:rsidR="005834E1" w:rsidRPr="00DF05C8" w:rsidRDefault="005834E1" w:rsidP="00DF05C8">
            <w:pPr>
              <w:spacing w:before="20" w:after="20"/>
              <w:jc w:val="center"/>
            </w:pPr>
            <w:r w:rsidRPr="00DF05C8">
              <w:t>33%</w:t>
            </w:r>
          </w:p>
        </w:tc>
      </w:tr>
      <w:tr w:rsidR="005834E1" w:rsidRPr="005834E1" w:rsidTr="00DF05C8">
        <w:trPr>
          <w:trHeight w:val="242"/>
          <w:jc w:val="center"/>
        </w:trPr>
        <w:tc>
          <w:tcPr>
            <w:tcW w:w="1530" w:type="dxa"/>
            <w:vMerge/>
            <w:hideMark/>
          </w:tcPr>
          <w:p w:rsidR="005834E1" w:rsidRPr="005834E1" w:rsidRDefault="005834E1" w:rsidP="00DF05C8">
            <w:pPr>
              <w:jc w:val="center"/>
              <w:rPr>
                <w:lang w:val="en-US"/>
              </w:rPr>
            </w:pPr>
          </w:p>
        </w:tc>
        <w:tc>
          <w:tcPr>
            <w:tcW w:w="1473" w:type="dxa"/>
            <w:hideMark/>
          </w:tcPr>
          <w:p w:rsidR="005834E1" w:rsidRPr="00DF05C8" w:rsidRDefault="005834E1" w:rsidP="00DF05C8">
            <w:pPr>
              <w:jc w:val="center"/>
              <w:rPr>
                <w:b/>
                <w:lang w:val="en-US"/>
              </w:rPr>
            </w:pPr>
            <w:r w:rsidRPr="00DF05C8">
              <w:rPr>
                <w:b/>
                <w:lang w:val="en-US"/>
              </w:rPr>
              <w:t>4 CCs</w:t>
            </w:r>
          </w:p>
        </w:tc>
        <w:tc>
          <w:tcPr>
            <w:tcW w:w="1217" w:type="dxa"/>
            <w:hideMark/>
          </w:tcPr>
          <w:p w:rsidR="005834E1" w:rsidRPr="00DF05C8" w:rsidRDefault="005834E1" w:rsidP="00DF05C8">
            <w:pPr>
              <w:spacing w:before="20" w:after="20"/>
              <w:jc w:val="center"/>
            </w:pPr>
            <w:r w:rsidRPr="00DF05C8">
              <w:t>27%</w:t>
            </w:r>
          </w:p>
        </w:tc>
        <w:tc>
          <w:tcPr>
            <w:tcW w:w="1217" w:type="dxa"/>
            <w:hideMark/>
          </w:tcPr>
          <w:p w:rsidR="005834E1" w:rsidRPr="00DF05C8" w:rsidRDefault="005834E1" w:rsidP="00DF05C8">
            <w:pPr>
              <w:spacing w:before="20" w:after="20"/>
              <w:jc w:val="center"/>
            </w:pPr>
            <w:r w:rsidRPr="00DF05C8">
              <w:t>32%</w:t>
            </w:r>
          </w:p>
        </w:tc>
        <w:tc>
          <w:tcPr>
            <w:tcW w:w="1223" w:type="dxa"/>
            <w:hideMark/>
          </w:tcPr>
          <w:p w:rsidR="005834E1" w:rsidRPr="00DF05C8" w:rsidRDefault="005834E1" w:rsidP="00DF05C8">
            <w:pPr>
              <w:spacing w:before="20" w:after="20"/>
              <w:jc w:val="center"/>
            </w:pPr>
            <w:r w:rsidRPr="00DF05C8">
              <w:t>37%</w:t>
            </w:r>
          </w:p>
        </w:tc>
        <w:tc>
          <w:tcPr>
            <w:tcW w:w="1260" w:type="dxa"/>
            <w:hideMark/>
          </w:tcPr>
          <w:p w:rsidR="005834E1" w:rsidRPr="00DF05C8" w:rsidRDefault="005834E1" w:rsidP="00DF05C8">
            <w:pPr>
              <w:spacing w:before="20" w:after="20"/>
              <w:jc w:val="center"/>
            </w:pPr>
            <w:r w:rsidRPr="00DF05C8">
              <w:t>47%</w:t>
            </w:r>
          </w:p>
        </w:tc>
      </w:tr>
      <w:tr w:rsidR="005834E1" w:rsidRPr="005834E1" w:rsidTr="00DF05C8">
        <w:trPr>
          <w:trHeight w:val="224"/>
          <w:jc w:val="center"/>
        </w:trPr>
        <w:tc>
          <w:tcPr>
            <w:tcW w:w="1530" w:type="dxa"/>
            <w:vMerge/>
            <w:hideMark/>
          </w:tcPr>
          <w:p w:rsidR="005834E1" w:rsidRPr="005834E1" w:rsidRDefault="005834E1" w:rsidP="00DF05C8">
            <w:pPr>
              <w:jc w:val="center"/>
              <w:rPr>
                <w:lang w:val="en-US"/>
              </w:rPr>
            </w:pPr>
          </w:p>
        </w:tc>
        <w:tc>
          <w:tcPr>
            <w:tcW w:w="1473" w:type="dxa"/>
            <w:hideMark/>
          </w:tcPr>
          <w:p w:rsidR="005834E1" w:rsidRPr="00DF05C8" w:rsidRDefault="005834E1" w:rsidP="00DF05C8">
            <w:pPr>
              <w:jc w:val="center"/>
              <w:rPr>
                <w:b/>
                <w:lang w:val="en-US"/>
              </w:rPr>
            </w:pPr>
            <w:r w:rsidRPr="00DF05C8">
              <w:rPr>
                <w:b/>
                <w:lang w:val="en-US"/>
              </w:rPr>
              <w:t>2 CCs</w:t>
            </w:r>
          </w:p>
        </w:tc>
        <w:tc>
          <w:tcPr>
            <w:tcW w:w="1217" w:type="dxa"/>
            <w:hideMark/>
          </w:tcPr>
          <w:p w:rsidR="005834E1" w:rsidRPr="00DF05C8" w:rsidRDefault="005834E1" w:rsidP="00DF05C8">
            <w:pPr>
              <w:spacing w:before="20" w:after="20"/>
              <w:jc w:val="center"/>
            </w:pPr>
            <w:r w:rsidRPr="00DF05C8">
              <w:t>37%</w:t>
            </w:r>
          </w:p>
        </w:tc>
        <w:tc>
          <w:tcPr>
            <w:tcW w:w="1217" w:type="dxa"/>
            <w:hideMark/>
          </w:tcPr>
          <w:p w:rsidR="005834E1" w:rsidRPr="00DF05C8" w:rsidRDefault="005834E1" w:rsidP="00DF05C8">
            <w:pPr>
              <w:spacing w:before="20" w:after="20"/>
              <w:jc w:val="center"/>
            </w:pPr>
            <w:r w:rsidRPr="00DF05C8">
              <w:t>43%</w:t>
            </w:r>
          </w:p>
        </w:tc>
        <w:tc>
          <w:tcPr>
            <w:tcW w:w="1223" w:type="dxa"/>
            <w:hideMark/>
          </w:tcPr>
          <w:p w:rsidR="005834E1" w:rsidRPr="00DF05C8" w:rsidRDefault="005834E1" w:rsidP="00DF05C8">
            <w:pPr>
              <w:spacing w:before="20" w:after="20"/>
              <w:jc w:val="center"/>
            </w:pPr>
            <w:r w:rsidRPr="00DF05C8">
              <w:t>49%</w:t>
            </w:r>
          </w:p>
        </w:tc>
        <w:tc>
          <w:tcPr>
            <w:tcW w:w="1260" w:type="dxa"/>
            <w:hideMark/>
          </w:tcPr>
          <w:p w:rsidR="005834E1" w:rsidRPr="00DF05C8" w:rsidRDefault="005834E1" w:rsidP="00DF05C8">
            <w:pPr>
              <w:spacing w:before="20" w:after="20"/>
              <w:jc w:val="center"/>
            </w:pPr>
            <w:r w:rsidRPr="00DF05C8">
              <w:t>56%</w:t>
            </w:r>
          </w:p>
        </w:tc>
      </w:tr>
      <w:tr w:rsidR="005834E1" w:rsidRPr="005834E1" w:rsidTr="00DF05C8">
        <w:trPr>
          <w:trHeight w:val="64"/>
          <w:jc w:val="center"/>
        </w:trPr>
        <w:tc>
          <w:tcPr>
            <w:tcW w:w="1530" w:type="dxa"/>
            <w:vMerge/>
            <w:hideMark/>
          </w:tcPr>
          <w:p w:rsidR="005834E1" w:rsidRPr="005834E1" w:rsidRDefault="005834E1" w:rsidP="00DF05C8">
            <w:pPr>
              <w:jc w:val="center"/>
              <w:rPr>
                <w:lang w:val="en-US"/>
              </w:rPr>
            </w:pPr>
          </w:p>
        </w:tc>
        <w:tc>
          <w:tcPr>
            <w:tcW w:w="1473" w:type="dxa"/>
            <w:hideMark/>
          </w:tcPr>
          <w:p w:rsidR="005834E1" w:rsidRPr="00DF05C8" w:rsidRDefault="005834E1" w:rsidP="00DF05C8">
            <w:pPr>
              <w:jc w:val="center"/>
              <w:rPr>
                <w:b/>
                <w:lang w:val="en-US"/>
              </w:rPr>
            </w:pPr>
            <w:r w:rsidRPr="00DF05C8">
              <w:rPr>
                <w:b/>
                <w:lang w:val="en-US"/>
              </w:rPr>
              <w:t>1 CC</w:t>
            </w:r>
          </w:p>
        </w:tc>
        <w:tc>
          <w:tcPr>
            <w:tcW w:w="1217" w:type="dxa"/>
            <w:hideMark/>
          </w:tcPr>
          <w:p w:rsidR="005834E1" w:rsidRPr="00DF05C8" w:rsidRDefault="005834E1" w:rsidP="00DF05C8">
            <w:pPr>
              <w:spacing w:before="20" w:after="20"/>
              <w:jc w:val="center"/>
            </w:pPr>
            <w:r w:rsidRPr="00DF05C8">
              <w:t>46%</w:t>
            </w:r>
          </w:p>
        </w:tc>
        <w:tc>
          <w:tcPr>
            <w:tcW w:w="1217" w:type="dxa"/>
            <w:hideMark/>
          </w:tcPr>
          <w:p w:rsidR="005834E1" w:rsidRPr="00DF05C8" w:rsidRDefault="005834E1" w:rsidP="00DF05C8">
            <w:pPr>
              <w:spacing w:before="20" w:after="20"/>
              <w:jc w:val="center"/>
            </w:pPr>
            <w:r w:rsidRPr="00DF05C8">
              <w:t>51%</w:t>
            </w:r>
          </w:p>
        </w:tc>
        <w:tc>
          <w:tcPr>
            <w:tcW w:w="1223" w:type="dxa"/>
            <w:hideMark/>
          </w:tcPr>
          <w:p w:rsidR="005834E1" w:rsidRPr="00DF05C8" w:rsidRDefault="005834E1" w:rsidP="00DF05C8">
            <w:pPr>
              <w:spacing w:before="20" w:after="20"/>
              <w:jc w:val="center"/>
            </w:pPr>
            <w:r w:rsidRPr="00DF05C8">
              <w:t>57%</w:t>
            </w:r>
          </w:p>
        </w:tc>
        <w:tc>
          <w:tcPr>
            <w:tcW w:w="1260" w:type="dxa"/>
            <w:hideMark/>
          </w:tcPr>
          <w:p w:rsidR="005834E1" w:rsidRPr="00DF05C8" w:rsidRDefault="005834E1" w:rsidP="00DF05C8">
            <w:pPr>
              <w:spacing w:before="20" w:after="20"/>
              <w:jc w:val="center"/>
            </w:pPr>
            <w:r w:rsidRPr="00DF05C8">
              <w:t>64%</w:t>
            </w:r>
          </w:p>
        </w:tc>
      </w:tr>
    </w:tbl>
    <w:p w:rsidR="005834E1" w:rsidRDefault="005834E1" w:rsidP="00DF05C8">
      <w:pPr>
        <w:ind w:left="720" w:right="600"/>
        <w:jc w:val="right"/>
      </w:pPr>
      <w:r>
        <w:rPr>
          <w:rFonts w:eastAsia="Calibri"/>
          <w:sz w:val="24"/>
          <w:szCs w:val="24"/>
          <w:lang w:val="en-US" w:eastAsia="en-US"/>
        </w:rPr>
        <w:t xml:space="preserve">    </w:t>
      </w:r>
      <w:r w:rsidRPr="00DF05C8">
        <w:rPr>
          <w:rFonts w:eastAsia="Calibri"/>
          <w:sz w:val="24"/>
          <w:szCs w:val="24"/>
          <w:lang w:val="en-US" w:eastAsia="en-US"/>
        </w:rPr>
        <w:t>*</w:t>
      </w:r>
      <w:r>
        <w:t xml:space="preserve"> Blocking probability can never go below 1%</w:t>
      </w:r>
    </w:p>
    <w:p w:rsidR="00015731" w:rsidRDefault="00015731" w:rsidP="00DF05C8"/>
    <w:p w:rsidR="00764E6B" w:rsidRDefault="00764E6B" w:rsidP="00DF05C8">
      <w:r>
        <w:t xml:space="preserve">Based on the </w:t>
      </w:r>
      <w:r w:rsidR="00B40AC3">
        <w:t xml:space="preserve">simulation results </w:t>
      </w:r>
      <w:r>
        <w:t xml:space="preserve">in </w:t>
      </w:r>
      <w:r>
        <w:fldChar w:fldCharType="begin"/>
      </w:r>
      <w:r>
        <w:instrText xml:space="preserve"> REF _Ref430941035 \h </w:instrText>
      </w:r>
      <w:r>
        <w:fldChar w:fldCharType="separate"/>
      </w:r>
      <w:r w:rsidR="009C3FEC">
        <w:t xml:space="preserve">Table </w:t>
      </w:r>
      <w:r w:rsidR="009C3FEC">
        <w:rPr>
          <w:noProof/>
        </w:rPr>
        <w:t>2</w:t>
      </w:r>
      <w:r>
        <w:fldChar w:fldCharType="end"/>
      </w:r>
      <w:r>
        <w:t xml:space="preserve">, a soft buffer reduction of around 30-40% </w:t>
      </w:r>
      <w:r w:rsidR="00541D0A">
        <w:t>can</w:t>
      </w:r>
      <w:r>
        <w:t xml:space="preserve"> be </w:t>
      </w:r>
      <w:r w:rsidR="00B40AC3">
        <w:t xml:space="preserve">a </w:t>
      </w:r>
      <w:r>
        <w:t>reasonable</w:t>
      </w:r>
      <w:r w:rsidR="00B40AC3">
        <w:t xml:space="preserve"> selection considering different cases</w:t>
      </w:r>
      <w:r>
        <w:t>.</w:t>
      </w:r>
      <w:r w:rsidR="0088475D">
        <w:t xml:space="preserve"> Therefore, we propose a soft buffer reduction of 37.5% for Rel-13</w:t>
      </w:r>
      <w:r w:rsidR="00B361F5">
        <w:t xml:space="preserve"> CA</w:t>
      </w:r>
      <w:r w:rsidR="0088475D">
        <w:t xml:space="preserve">, i.e., </w:t>
      </w:r>
      <w:r w:rsidR="0088475D" w:rsidRPr="0088475D">
        <w:t>256</w:t>
      </w:r>
      <w:proofErr w:type="gramStart"/>
      <w:r w:rsidR="0088475D" w:rsidRPr="00DF05C8">
        <w:rPr>
          <w:rFonts w:hint="eastAsia"/>
        </w:rPr>
        <w:t>×</w:t>
      </w:r>
      <w:r w:rsidR="0088475D" w:rsidRPr="00DF05C8">
        <w:t>(</w:t>
      </w:r>
      <w:proofErr w:type="gramEnd"/>
      <w:r w:rsidR="0088475D" w:rsidRPr="00DF05C8">
        <w:t>1-37.5%)</w:t>
      </w:r>
      <w:r w:rsidR="0088475D" w:rsidRPr="0088475D">
        <w:t xml:space="preserve"> = </w:t>
      </w:r>
      <w:r w:rsidR="0088475D" w:rsidRPr="00541D0A">
        <w:t>160</w:t>
      </w:r>
      <w:r w:rsidR="0088475D">
        <w:t xml:space="preserve"> HARQ process soft buffers. </w:t>
      </w:r>
      <w:r w:rsidR="00F4582F">
        <w:t xml:space="preserve">The HARQ process buffer size the same regardless of serving cell FDD or TDD UL/DL configurations. For a 256QAM capable UE category, it is always 296448 bits. HARQ process buffers are shared across all serving cells. </w:t>
      </w:r>
      <w:r w:rsidR="00B361F5">
        <w:t>Consequently,</w:t>
      </w:r>
      <w:r w:rsidR="0088475D">
        <w:t xml:space="preserve"> a total soft buffer size of 160</w:t>
      </w:r>
      <w:r w:rsidR="0088475D">
        <w:rPr>
          <w:rFonts w:ascii="Cambria Math" w:hAnsi="Cambria Math"/>
        </w:rPr>
        <w:t>×</w:t>
      </w:r>
      <w:r w:rsidR="0088475D">
        <w:t>296448 = 47431680 soft bits</w:t>
      </w:r>
      <w:r w:rsidR="00B361F5">
        <w:t xml:space="preserve"> should</w:t>
      </w:r>
      <w:r w:rsidR="0088475D">
        <w:t xml:space="preserve"> be specified for the new 32-CC UE category. </w:t>
      </w:r>
    </w:p>
    <w:p w:rsidR="00015731" w:rsidRPr="00DF05C8" w:rsidRDefault="00B361F5" w:rsidP="00015731">
      <w:pPr>
        <w:pStyle w:val="BodyText"/>
        <w:rPr>
          <w:b/>
        </w:rPr>
      </w:pPr>
      <w:r>
        <w:rPr>
          <w:b/>
        </w:rPr>
        <w:t>Observation</w:t>
      </w:r>
      <w:r w:rsidR="0088475D">
        <w:rPr>
          <w:b/>
        </w:rPr>
        <w:t>:</w:t>
      </w:r>
    </w:p>
    <w:p w:rsidR="0088475D" w:rsidRPr="00DF05C8" w:rsidRDefault="00015731" w:rsidP="00015731">
      <w:pPr>
        <w:pStyle w:val="BodyText"/>
        <w:numPr>
          <w:ilvl w:val="0"/>
          <w:numId w:val="30"/>
        </w:numPr>
        <w:rPr>
          <w:b/>
        </w:rPr>
      </w:pPr>
      <w:r w:rsidRPr="00DF05C8">
        <w:rPr>
          <w:b/>
        </w:rPr>
        <w:t xml:space="preserve">For Rel-13 UE with 32 CCs, </w:t>
      </w:r>
      <w:r w:rsidR="0088475D" w:rsidRPr="00DF05C8">
        <w:rPr>
          <w:b/>
        </w:rPr>
        <w:t>160</w:t>
      </w:r>
      <w:r w:rsidRPr="00DF05C8">
        <w:rPr>
          <w:b/>
        </w:rPr>
        <w:t xml:space="preserve"> HARQ process soft buffers should be supported.</w:t>
      </w:r>
    </w:p>
    <w:p w:rsidR="00E51787" w:rsidRDefault="00E51787" w:rsidP="00DF05C8">
      <w:pPr>
        <w:pStyle w:val="BodyText"/>
      </w:pPr>
    </w:p>
    <w:p w:rsidR="009C39C4" w:rsidRDefault="009C39C4" w:rsidP="009C39C4">
      <w:pPr>
        <w:pStyle w:val="Heading2"/>
      </w:pPr>
      <w:r>
        <w:t>Standardization impacts</w:t>
      </w:r>
    </w:p>
    <w:p w:rsidR="00F70F6D" w:rsidRDefault="009A076F" w:rsidP="006A7283">
      <w:r>
        <w:t xml:space="preserve">For a Rel-13 UE with </w:t>
      </w:r>
      <w:r w:rsidR="00006C28">
        <w:t>more than 5</w:t>
      </w:r>
      <w:r>
        <w:t xml:space="preserve"> CCs, </w:t>
      </w:r>
      <w:r w:rsidR="00F70F6D">
        <w:t xml:space="preserve">the soft buffer size for a HARQ process should be large enough to contain the soft bits for a 256QAM single-CW transmission at rate 1/3 coding. </w:t>
      </w:r>
    </w:p>
    <w:p w:rsidR="002E10FF" w:rsidRPr="00A82BAF" w:rsidRDefault="002E10FF" w:rsidP="006A7283">
      <w:pPr>
        <w:rPr>
          <w:b/>
          <w:lang w:eastAsia="ja-JP"/>
        </w:rPr>
      </w:pPr>
      <w:r w:rsidRPr="00A82BAF">
        <w:rPr>
          <w:b/>
          <w:lang w:eastAsia="ja-JP"/>
        </w:rPr>
        <w:t>Proposal</w:t>
      </w:r>
      <w:r w:rsidR="00B361F5">
        <w:rPr>
          <w:b/>
          <w:lang w:eastAsia="ja-JP"/>
        </w:rPr>
        <w:t>:</w:t>
      </w:r>
    </w:p>
    <w:p w:rsidR="009A076F" w:rsidRPr="00A82BAF" w:rsidRDefault="00C249D0" w:rsidP="00A82BAF">
      <w:pPr>
        <w:pStyle w:val="ListParagraph"/>
        <w:numPr>
          <w:ilvl w:val="0"/>
          <w:numId w:val="29"/>
        </w:numPr>
        <w:rPr>
          <w:b/>
          <w:sz w:val="22"/>
          <w:szCs w:val="22"/>
          <w:lang w:eastAsia="ja-JP"/>
        </w:rPr>
      </w:pPr>
      <w:r w:rsidRPr="00A82BAF">
        <w:rPr>
          <w:b/>
          <w:sz w:val="22"/>
          <w:szCs w:val="22"/>
        </w:rPr>
        <w:t xml:space="preserve">For a Rel-13 UE with </w:t>
      </w:r>
      <w:r>
        <w:rPr>
          <w:b/>
          <w:sz w:val="22"/>
          <w:szCs w:val="22"/>
        </w:rPr>
        <w:t xml:space="preserve">more than 5 </w:t>
      </w:r>
      <w:r w:rsidRPr="00A82BAF">
        <w:rPr>
          <w:b/>
          <w:sz w:val="22"/>
          <w:szCs w:val="22"/>
        </w:rPr>
        <w:t>CCs,</w:t>
      </w:r>
      <w:r w:rsidRPr="00A82BAF">
        <w:rPr>
          <w:b/>
          <w:sz w:val="22"/>
          <w:szCs w:val="22"/>
          <w:lang w:eastAsia="ja-JP"/>
        </w:rPr>
        <w:t xml:space="preserve"> t</w:t>
      </w:r>
      <w:r w:rsidR="009A076F" w:rsidRPr="00A82BAF">
        <w:rPr>
          <w:b/>
          <w:sz w:val="22"/>
          <w:szCs w:val="22"/>
          <w:lang w:eastAsia="ja-JP"/>
        </w:rPr>
        <w:t xml:space="preserve">he rate matching parameter </w:t>
      </w:r>
      <w:r w:rsidR="009A076F" w:rsidRPr="00A82BAF">
        <w:rPr>
          <w:b/>
          <w:i/>
          <w:sz w:val="22"/>
          <w:szCs w:val="22"/>
          <w:lang w:eastAsia="ja-JP"/>
        </w:rPr>
        <w:t>N</w:t>
      </w:r>
      <w:r w:rsidR="009A076F" w:rsidRPr="00A82BAF">
        <w:rPr>
          <w:b/>
          <w:sz w:val="22"/>
          <w:szCs w:val="22"/>
          <w:vertAlign w:val="subscript"/>
          <w:lang w:eastAsia="ja-JP"/>
        </w:rPr>
        <w:t>IR</w:t>
      </w:r>
      <w:r w:rsidR="009A076F" w:rsidRPr="00A82BAF">
        <w:rPr>
          <w:b/>
          <w:sz w:val="22"/>
          <w:szCs w:val="22"/>
          <w:lang w:eastAsia="ja-JP"/>
        </w:rPr>
        <w:t xml:space="preserve"> on the </w:t>
      </w:r>
      <w:proofErr w:type="spellStart"/>
      <w:r w:rsidR="009A076F" w:rsidRPr="00A82BAF">
        <w:rPr>
          <w:b/>
          <w:sz w:val="22"/>
          <w:szCs w:val="22"/>
          <w:lang w:eastAsia="ja-JP"/>
        </w:rPr>
        <w:t>eNB</w:t>
      </w:r>
      <w:proofErr w:type="spellEnd"/>
      <w:r w:rsidR="009A076F" w:rsidRPr="00A82BAF">
        <w:rPr>
          <w:b/>
          <w:sz w:val="22"/>
          <w:szCs w:val="22"/>
          <w:lang w:eastAsia="ja-JP"/>
        </w:rPr>
        <w:t xml:space="preserve"> side</w:t>
      </w:r>
      <w:r w:rsidR="005E4AFC" w:rsidRPr="00A82BAF">
        <w:rPr>
          <w:b/>
          <w:sz w:val="22"/>
          <w:szCs w:val="22"/>
          <w:lang w:eastAsia="ja-JP"/>
        </w:rPr>
        <w:t xml:space="preserve"> in TS 36.212</w:t>
      </w:r>
      <w:r w:rsidR="009A076F" w:rsidRPr="00A82BAF">
        <w:rPr>
          <w:b/>
          <w:sz w:val="22"/>
          <w:szCs w:val="22"/>
          <w:lang w:eastAsia="ja-JP"/>
        </w:rPr>
        <w:t xml:space="preserve"> is set to</w:t>
      </w:r>
    </w:p>
    <w:p w:rsidR="009A076F" w:rsidRDefault="006668FB" w:rsidP="00A82BAF">
      <w:pPr>
        <w:jc w:val="center"/>
      </w:pPr>
      <w:r w:rsidRPr="00A82BAF">
        <w:rPr>
          <w:b/>
          <w:position w:val="-30"/>
        </w:rPr>
        <w:object w:dxaOrig="1460" w:dyaOrig="680">
          <v:shape id="_x0000_i1029" type="#_x0000_t75" style="width:73.5pt;height:34.5pt" o:ole="">
            <v:imagedata r:id="rId17" o:title=""/>
          </v:shape>
          <o:OLEObject Type="Embed" ProgID="Equation.3" ShapeID="_x0000_i1029" DrawAspect="Content" ObjectID="_1508309958" r:id="rId18"/>
        </w:object>
      </w:r>
    </w:p>
    <w:p w:rsidR="009A076F" w:rsidRDefault="00420ADA" w:rsidP="006A7283">
      <w:proofErr w:type="gramStart"/>
      <w:r>
        <w:rPr>
          <w:iCs/>
          <w:lang w:val="en-US"/>
        </w:rPr>
        <w:t>where</w:t>
      </w:r>
      <w:proofErr w:type="gramEnd"/>
      <w:r>
        <w:rPr>
          <w:iCs/>
          <w:lang w:val="en-US"/>
        </w:rPr>
        <w:t xml:space="preserve"> </w:t>
      </w:r>
      <w:r>
        <w:rPr>
          <w:i/>
          <w:iCs/>
          <w:sz w:val="20"/>
        </w:rPr>
        <w:t>K</w:t>
      </w:r>
      <w:r>
        <w:rPr>
          <w:sz w:val="13"/>
          <w:szCs w:val="13"/>
        </w:rPr>
        <w:t xml:space="preserve">MIMO </w:t>
      </w:r>
      <w:r w:rsidRPr="00420ADA">
        <w:rPr>
          <w:lang w:val="en-US"/>
        </w:rPr>
        <w:t xml:space="preserve">is equal to 2 if the UE is configured to receive PDSCH transmissions based on transmission modes 3, 4, 8, 9 or 10 as defined in section 7.1 of </w:t>
      </w:r>
      <w:r w:rsidR="00B224A2">
        <w:rPr>
          <w:lang w:val="en-US"/>
        </w:rPr>
        <w:t>TS 36.213</w:t>
      </w:r>
      <w:r w:rsidRPr="00420ADA">
        <w:rPr>
          <w:lang w:val="en-US"/>
        </w:rPr>
        <w:t>, and is equal to 1 otherwise.</w:t>
      </w:r>
      <w:r>
        <w:t xml:space="preserve"> </w:t>
      </w:r>
    </w:p>
    <w:p w:rsidR="006668FB" w:rsidRDefault="005E4AFC" w:rsidP="005E4AFC">
      <w:pPr>
        <w:pStyle w:val="BodyText"/>
      </w:pPr>
      <w:r>
        <w:t xml:space="preserve">According to TS 36.213, </w:t>
      </w:r>
      <w:r w:rsidRPr="00E50F56">
        <w:rPr>
          <w:lang w:eastAsia="ja-JP"/>
        </w:rPr>
        <w:t>if the UE is configured with more than one serving cell, then</w:t>
      </w:r>
      <w:r>
        <w:rPr>
          <w:lang w:eastAsia="ja-JP"/>
        </w:rPr>
        <w:t xml:space="preserve">, </w:t>
      </w:r>
      <w:r>
        <w:rPr>
          <w:rFonts w:eastAsia="MS PGothic"/>
          <w:color w:val="000000"/>
        </w:rPr>
        <w:t>u</w:t>
      </w:r>
      <w:r w:rsidRPr="002F1516">
        <w:rPr>
          <w:rFonts w:eastAsia="MS PGothic"/>
          <w:color w:val="000000"/>
        </w:rPr>
        <w:t>pon decoding failure of a code block</w:t>
      </w:r>
      <w:r>
        <w:rPr>
          <w:rFonts w:eastAsia="MS PGothic"/>
          <w:color w:val="000000"/>
        </w:rPr>
        <w:t xml:space="preserve"> of a transport block</w:t>
      </w:r>
      <w:r w:rsidRPr="00E50F56">
        <w:rPr>
          <w:lang w:eastAsia="ja-JP"/>
        </w:rPr>
        <w:t xml:space="preserve"> for </w:t>
      </w:r>
      <w:r>
        <w:rPr>
          <w:lang w:eastAsia="ja-JP"/>
        </w:rPr>
        <w:t xml:space="preserve">a </w:t>
      </w:r>
      <w:r w:rsidRPr="00E50F56">
        <w:rPr>
          <w:lang w:eastAsia="ja-JP"/>
        </w:rPr>
        <w:t>serving cell</w:t>
      </w:r>
      <w:r>
        <w:rPr>
          <w:lang w:eastAsia="ja-JP"/>
        </w:rPr>
        <w:t xml:space="preserve">, </w:t>
      </w:r>
      <w:r w:rsidRPr="002F1516">
        <w:rPr>
          <w:rFonts w:eastAsia="MS PGothic"/>
          <w:color w:val="000000"/>
        </w:rPr>
        <w:t xml:space="preserve">the UE shall store </w:t>
      </w:r>
      <w:r>
        <w:rPr>
          <w:rFonts w:eastAsia="MS PGothic"/>
          <w:color w:val="000000"/>
        </w:rPr>
        <w:t xml:space="preserve">at least </w:t>
      </w:r>
      <w:proofErr w:type="spellStart"/>
      <w:r w:rsidRPr="00E50F56">
        <w:rPr>
          <w:rFonts w:eastAsia="MS PGothic"/>
          <w:i/>
          <w:color w:val="000000"/>
        </w:rPr>
        <w:t>n</w:t>
      </w:r>
      <w:r w:rsidRPr="00B500AF">
        <w:rPr>
          <w:rFonts w:eastAsia="MS PGothic"/>
          <w:color w:val="000000"/>
          <w:vertAlign w:val="subscript"/>
        </w:rPr>
        <w:t>SB</w:t>
      </w:r>
      <w:proofErr w:type="spellEnd"/>
      <w:r>
        <w:rPr>
          <w:rFonts w:eastAsia="MS PGothic"/>
          <w:color w:val="000000"/>
        </w:rPr>
        <w:t xml:space="preserve"> </w:t>
      </w:r>
      <w:r w:rsidRPr="000D7867">
        <w:t xml:space="preserve">received </w:t>
      </w:r>
      <w:r>
        <w:rPr>
          <w:rFonts w:hint="eastAsia"/>
          <w:lang w:eastAsia="ja-JP"/>
        </w:rPr>
        <w:t xml:space="preserve">soft </w:t>
      </w:r>
      <w:r w:rsidRPr="000D7867">
        <w:t>channel bits</w:t>
      </w:r>
      <w:r>
        <w:t xml:space="preserve"> for the code block. </w:t>
      </w:r>
    </w:p>
    <w:p w:rsidR="006668FB" w:rsidRPr="00A82BAF" w:rsidRDefault="006668FB" w:rsidP="005E4AFC">
      <w:pPr>
        <w:pStyle w:val="BodyText"/>
        <w:rPr>
          <w:b/>
        </w:rPr>
      </w:pPr>
      <w:r w:rsidRPr="00A82BAF">
        <w:rPr>
          <w:b/>
        </w:rPr>
        <w:t>Proposal</w:t>
      </w:r>
      <w:r w:rsidR="00B361F5">
        <w:rPr>
          <w:b/>
        </w:rPr>
        <w:t>:</w:t>
      </w:r>
    </w:p>
    <w:p w:rsidR="006668FB" w:rsidRDefault="005E4AFC" w:rsidP="00A82BAF">
      <w:pPr>
        <w:pStyle w:val="BodyText"/>
        <w:numPr>
          <w:ilvl w:val="0"/>
          <w:numId w:val="29"/>
        </w:numPr>
        <w:rPr>
          <w:b/>
        </w:rPr>
      </w:pPr>
      <w:r w:rsidRPr="00A82BAF">
        <w:rPr>
          <w:b/>
        </w:rPr>
        <w:t xml:space="preserve">For a Rel-13 UE with </w:t>
      </w:r>
      <w:r w:rsidR="00C249D0">
        <w:rPr>
          <w:b/>
        </w:rPr>
        <w:t>more than 5</w:t>
      </w:r>
      <w:r w:rsidRPr="00A82BAF">
        <w:rPr>
          <w:b/>
        </w:rPr>
        <w:t xml:space="preserve"> CCs, </w:t>
      </w:r>
      <w:proofErr w:type="spellStart"/>
      <w:r w:rsidRPr="00A82BAF">
        <w:rPr>
          <w:rFonts w:eastAsia="MS PGothic"/>
          <w:b/>
          <w:i/>
          <w:color w:val="000000"/>
        </w:rPr>
        <w:t>n</w:t>
      </w:r>
      <w:r w:rsidRPr="00A82BAF">
        <w:rPr>
          <w:rFonts w:eastAsia="MS PGothic"/>
          <w:b/>
          <w:color w:val="000000"/>
          <w:vertAlign w:val="subscript"/>
        </w:rPr>
        <w:t>SB</w:t>
      </w:r>
      <w:proofErr w:type="spellEnd"/>
      <w:r w:rsidRPr="00A82BAF">
        <w:rPr>
          <w:rFonts w:eastAsia="MS PGothic"/>
          <w:b/>
          <w:color w:val="000000"/>
        </w:rPr>
        <w:t xml:space="preserve"> in TS 36.213 </w:t>
      </w:r>
      <w:r w:rsidR="006668FB" w:rsidRPr="00A82BAF">
        <w:rPr>
          <w:b/>
        </w:rPr>
        <w:t xml:space="preserve">is set to </w:t>
      </w:r>
    </w:p>
    <w:p w:rsidR="005E4AFC" w:rsidRPr="00A82BAF" w:rsidRDefault="006668FB" w:rsidP="00A82BAF">
      <w:pPr>
        <w:pStyle w:val="BodyText"/>
        <w:jc w:val="center"/>
        <w:rPr>
          <w:b/>
        </w:rPr>
      </w:pPr>
      <w:proofErr w:type="spellStart"/>
      <w:proofErr w:type="gramStart"/>
      <w:r w:rsidRPr="00A82BAF">
        <w:rPr>
          <w:rFonts w:eastAsia="MS PGothic"/>
          <w:b/>
          <w:i/>
          <w:color w:val="000000"/>
        </w:rPr>
        <w:lastRenderedPageBreak/>
        <w:t>n</w:t>
      </w:r>
      <w:r w:rsidRPr="00A82BAF">
        <w:rPr>
          <w:rFonts w:eastAsia="MS PGothic"/>
          <w:b/>
          <w:color w:val="000000"/>
          <w:vertAlign w:val="subscript"/>
        </w:rPr>
        <w:t>SB</w:t>
      </w:r>
      <w:proofErr w:type="spellEnd"/>
      <w:proofErr w:type="gramEnd"/>
      <w:r w:rsidRPr="00A82BAF">
        <w:rPr>
          <w:b/>
        </w:rPr>
        <w:t xml:space="preserve"> = </w:t>
      </w:r>
      <w:proofErr w:type="spellStart"/>
      <w:r w:rsidRPr="00A82BAF">
        <w:rPr>
          <w:b/>
          <w:i/>
        </w:rPr>
        <w:t>N</w:t>
      </w:r>
      <w:r w:rsidRPr="00A82BAF">
        <w:rPr>
          <w:b/>
          <w:i/>
          <w:vertAlign w:val="subscript"/>
        </w:rPr>
        <w:t>cb</w:t>
      </w:r>
      <w:proofErr w:type="spellEnd"/>
    </w:p>
    <w:p w:rsidR="005E4AFC" w:rsidRPr="00A82BAF" w:rsidRDefault="005E4AFC" w:rsidP="006A7283">
      <w:proofErr w:type="gramStart"/>
      <w:r>
        <w:t>where</w:t>
      </w:r>
      <w:proofErr w:type="gramEnd"/>
      <w:r>
        <w:t xml:space="preserve"> </w:t>
      </w:r>
      <w:proofErr w:type="spellStart"/>
      <w:r w:rsidRPr="00A82BAF">
        <w:rPr>
          <w:i/>
        </w:rPr>
        <w:t>N</w:t>
      </w:r>
      <w:r w:rsidRPr="00A82BAF">
        <w:rPr>
          <w:i/>
          <w:vertAlign w:val="subscript"/>
        </w:rPr>
        <w:t>cb</w:t>
      </w:r>
      <w:proofErr w:type="spellEnd"/>
      <w:r>
        <w:t xml:space="preserve"> is defined in Section </w:t>
      </w:r>
      <w:r w:rsidR="009112B3">
        <w:t>5.1.4.1.2 of TS 36.212.</w:t>
      </w:r>
    </w:p>
    <w:p w:rsidR="00F70F6D" w:rsidRDefault="006668FB" w:rsidP="006A7283">
      <w:r>
        <w:t>Based on the soft buffer blocking probability analysis provided in the last section, we propose for the 32-CC UE category definition:</w:t>
      </w:r>
    </w:p>
    <w:p w:rsidR="009A076F" w:rsidRPr="0058118A" w:rsidRDefault="009A076F" w:rsidP="009A076F">
      <w:pPr>
        <w:rPr>
          <w:b/>
        </w:rPr>
      </w:pPr>
      <w:r w:rsidRPr="0058118A">
        <w:rPr>
          <w:b/>
        </w:rPr>
        <w:t>Proposal</w:t>
      </w:r>
      <w:r w:rsidR="00B361F5">
        <w:rPr>
          <w:b/>
        </w:rPr>
        <w:t>:</w:t>
      </w:r>
    </w:p>
    <w:p w:rsidR="009A076F" w:rsidRPr="0058118A" w:rsidRDefault="009A076F" w:rsidP="009A076F">
      <w:pPr>
        <w:pStyle w:val="ListParagraph"/>
        <w:numPr>
          <w:ilvl w:val="0"/>
          <w:numId w:val="28"/>
        </w:numPr>
        <w:jc w:val="both"/>
        <w:rPr>
          <w:b/>
          <w:sz w:val="22"/>
        </w:rPr>
      </w:pPr>
      <w:r>
        <w:rPr>
          <w:b/>
          <w:sz w:val="22"/>
        </w:rPr>
        <w:t>For the</w:t>
      </w:r>
      <w:r w:rsidRPr="0058118A">
        <w:rPr>
          <w:b/>
          <w:sz w:val="22"/>
        </w:rPr>
        <w:t xml:space="preserve"> Rel-13 UE </w:t>
      </w:r>
      <w:r>
        <w:rPr>
          <w:b/>
          <w:sz w:val="22"/>
        </w:rPr>
        <w:t xml:space="preserve">category capable of </w:t>
      </w:r>
      <w:r w:rsidRPr="0058118A">
        <w:rPr>
          <w:b/>
          <w:sz w:val="22"/>
        </w:rPr>
        <w:t xml:space="preserve">32 CCs, </w:t>
      </w:r>
      <w:r>
        <w:rPr>
          <w:b/>
          <w:sz w:val="22"/>
        </w:rPr>
        <w:t xml:space="preserve">the </w:t>
      </w:r>
      <w:r w:rsidRPr="0058118A">
        <w:rPr>
          <w:b/>
          <w:sz w:val="22"/>
        </w:rPr>
        <w:t xml:space="preserve">total soft buffer size </w:t>
      </w:r>
      <w:r>
        <w:rPr>
          <w:b/>
          <w:sz w:val="22"/>
        </w:rPr>
        <w:t xml:space="preserve">is specified to </w:t>
      </w:r>
      <w:r w:rsidR="0088475D">
        <w:rPr>
          <w:b/>
          <w:sz w:val="22"/>
        </w:rPr>
        <w:t>160</w:t>
      </w:r>
      <w:r>
        <w:rPr>
          <w:b/>
          <w:sz w:val="22"/>
        </w:rPr>
        <w:t xml:space="preserve"> </w:t>
      </w:r>
      <w:r>
        <w:rPr>
          <w:rFonts w:ascii="Cambria Math" w:hAnsi="Cambria Math"/>
          <w:b/>
          <w:sz w:val="22"/>
        </w:rPr>
        <w:t>×</w:t>
      </w:r>
      <w:r>
        <w:rPr>
          <w:b/>
          <w:sz w:val="22"/>
        </w:rPr>
        <w:t xml:space="preserve"> </w:t>
      </w:r>
      <w:r w:rsidR="006668FB">
        <w:rPr>
          <w:b/>
          <w:sz w:val="22"/>
        </w:rPr>
        <w:t>296448</w:t>
      </w:r>
      <w:r>
        <w:rPr>
          <w:b/>
          <w:sz w:val="22"/>
        </w:rPr>
        <w:t xml:space="preserve"> = </w:t>
      </w:r>
      <w:r w:rsidR="0088475D">
        <w:rPr>
          <w:b/>
          <w:sz w:val="22"/>
        </w:rPr>
        <w:t>47431680</w:t>
      </w:r>
      <w:r>
        <w:rPr>
          <w:b/>
          <w:sz w:val="22"/>
        </w:rPr>
        <w:t>.</w:t>
      </w:r>
    </w:p>
    <w:p w:rsidR="009A076F" w:rsidRPr="00DF05C8" w:rsidRDefault="009A076F" w:rsidP="006A7283">
      <w:pPr>
        <w:rPr>
          <w:lang w:val="en-US"/>
        </w:rPr>
      </w:pPr>
    </w:p>
    <w:p w:rsidR="00DE2561" w:rsidRDefault="00DE2561" w:rsidP="00E429F2">
      <w:pPr>
        <w:pStyle w:val="Heading1"/>
        <w:rPr>
          <w:lang w:val="en-US"/>
        </w:rPr>
      </w:pPr>
      <w:r>
        <w:rPr>
          <w:lang w:val="en-US"/>
        </w:rPr>
        <w:t>Conclusion</w:t>
      </w:r>
    </w:p>
    <w:p w:rsidR="002B54F0" w:rsidRDefault="002B54F0" w:rsidP="004666E3">
      <w:r>
        <w:rPr>
          <w:noProof/>
        </w:rPr>
        <w:t>In this contribution we discus</w:t>
      </w:r>
      <w:r w:rsidR="000509AD">
        <w:rPr>
          <w:noProof/>
        </w:rPr>
        <w:t xml:space="preserve">sed </w:t>
      </w:r>
      <w:r w:rsidR="00C640D3">
        <w:rPr>
          <w:iCs/>
        </w:rPr>
        <w:t xml:space="preserve">soft buffer management to </w:t>
      </w:r>
      <w:r w:rsidR="003E2444">
        <w:rPr>
          <w:iCs/>
        </w:rPr>
        <w:t xml:space="preserve">support </w:t>
      </w:r>
      <w:r w:rsidR="00C640D3">
        <w:rPr>
          <w:iCs/>
        </w:rPr>
        <w:t xml:space="preserve">Rel-13 </w:t>
      </w:r>
      <w:r w:rsidR="003E2444">
        <w:rPr>
          <w:iCs/>
        </w:rPr>
        <w:t xml:space="preserve">carrier aggregation with up to 32 </w:t>
      </w:r>
      <w:r w:rsidR="00C640D3">
        <w:rPr>
          <w:iCs/>
        </w:rPr>
        <w:t>CCs</w:t>
      </w:r>
      <w:r w:rsidR="00ED52A7">
        <w:rPr>
          <w:iCs/>
        </w:rPr>
        <w:t>.</w:t>
      </w:r>
      <w:r w:rsidR="00246F2C">
        <w:t xml:space="preserve"> The above discussion is summarized with the following</w:t>
      </w:r>
      <w:r w:rsidR="003F25CA">
        <w:t xml:space="preserve"> observations and</w:t>
      </w:r>
      <w:r w:rsidR="00246F2C">
        <w:t xml:space="preserve"> </w:t>
      </w:r>
      <w:r w:rsidR="006B09AD">
        <w:t>proposals</w:t>
      </w:r>
      <w:r w:rsidR="00246F2C">
        <w:t>:</w:t>
      </w:r>
    </w:p>
    <w:p w:rsidR="00855039" w:rsidRPr="00B361F5" w:rsidRDefault="00A05D90" w:rsidP="004666E3">
      <w:pPr>
        <w:rPr>
          <w:b/>
          <w:szCs w:val="22"/>
          <w:lang w:val="en-US"/>
        </w:rPr>
      </w:pPr>
      <w:r w:rsidRPr="00B361F5">
        <w:rPr>
          <w:b/>
          <w:szCs w:val="22"/>
          <w:lang w:val="en-US"/>
        </w:rPr>
        <w:t>Observation</w:t>
      </w:r>
      <w:r w:rsidR="00B361F5">
        <w:rPr>
          <w:b/>
          <w:szCs w:val="22"/>
          <w:lang w:val="en-US"/>
        </w:rPr>
        <w:t>s</w:t>
      </w:r>
      <w:r w:rsidRPr="00B361F5">
        <w:rPr>
          <w:b/>
          <w:szCs w:val="22"/>
          <w:lang w:val="en-US"/>
        </w:rPr>
        <w:t>:</w:t>
      </w:r>
    </w:p>
    <w:p w:rsidR="00FA09D3" w:rsidRPr="00FA09D3" w:rsidRDefault="00FA09D3" w:rsidP="00246EE2">
      <w:pPr>
        <w:pStyle w:val="ListParagraph"/>
        <w:numPr>
          <w:ilvl w:val="0"/>
          <w:numId w:val="26"/>
        </w:numPr>
        <w:spacing w:after="120"/>
        <w:jc w:val="both"/>
        <w:rPr>
          <w:b/>
        </w:rPr>
      </w:pPr>
      <w:r>
        <w:rPr>
          <w:b/>
          <w:sz w:val="22"/>
        </w:rPr>
        <w:t>It is beneficial to apply soft buffer pooling in Rel-13 CA for 32 CCs, as it reduces buffer blocking probabilities substantially and enhances the effectiveness of HARQ operation.</w:t>
      </w:r>
    </w:p>
    <w:p w:rsidR="00B361F5" w:rsidRPr="00DF05C8" w:rsidRDefault="00B361F5" w:rsidP="00246EE2">
      <w:pPr>
        <w:pStyle w:val="ListParagraph"/>
        <w:numPr>
          <w:ilvl w:val="0"/>
          <w:numId w:val="26"/>
        </w:numPr>
        <w:spacing w:after="120"/>
        <w:rPr>
          <w:b/>
          <w:sz w:val="22"/>
          <w:szCs w:val="22"/>
        </w:rPr>
      </w:pPr>
      <w:r w:rsidRPr="00B361F5">
        <w:rPr>
          <w:b/>
          <w:sz w:val="22"/>
          <w:szCs w:val="22"/>
        </w:rPr>
        <w:t>For Rel-13 UE with 32 CCs, 160 HARQ process soft buffers should be supported.</w:t>
      </w:r>
    </w:p>
    <w:p w:rsidR="00A05D90" w:rsidRPr="00B361F5" w:rsidRDefault="00A05D90" w:rsidP="004666E3">
      <w:pPr>
        <w:rPr>
          <w:b/>
          <w:szCs w:val="22"/>
          <w:lang w:val="en-US"/>
        </w:rPr>
      </w:pPr>
    </w:p>
    <w:p w:rsidR="00A05D90" w:rsidRPr="00B361F5" w:rsidRDefault="00A05D90" w:rsidP="004666E3">
      <w:pPr>
        <w:rPr>
          <w:b/>
          <w:szCs w:val="22"/>
          <w:lang w:val="en-US"/>
        </w:rPr>
      </w:pPr>
      <w:r w:rsidRPr="00B361F5">
        <w:rPr>
          <w:b/>
          <w:szCs w:val="22"/>
          <w:lang w:val="en-US"/>
        </w:rPr>
        <w:t>Proposals:</w:t>
      </w:r>
    </w:p>
    <w:p w:rsidR="00B361F5" w:rsidRPr="00B361F5" w:rsidRDefault="00B361F5" w:rsidP="00B361F5">
      <w:pPr>
        <w:pStyle w:val="ListParagraph"/>
        <w:numPr>
          <w:ilvl w:val="0"/>
          <w:numId w:val="26"/>
        </w:numPr>
        <w:rPr>
          <w:b/>
          <w:sz w:val="22"/>
          <w:szCs w:val="22"/>
          <w:lang w:eastAsia="ja-JP"/>
        </w:rPr>
      </w:pPr>
      <w:r w:rsidRPr="00B361F5">
        <w:rPr>
          <w:b/>
          <w:sz w:val="22"/>
          <w:szCs w:val="22"/>
        </w:rPr>
        <w:t>For a Rel-13 UE with more than 5 CCs,</w:t>
      </w:r>
      <w:r w:rsidRPr="00B361F5">
        <w:rPr>
          <w:b/>
          <w:sz w:val="22"/>
          <w:szCs w:val="22"/>
          <w:lang w:eastAsia="ja-JP"/>
        </w:rPr>
        <w:t xml:space="preserve"> the rate matching parameter </w:t>
      </w:r>
      <w:r w:rsidRPr="00B361F5">
        <w:rPr>
          <w:b/>
          <w:i/>
          <w:sz w:val="22"/>
          <w:szCs w:val="22"/>
          <w:lang w:eastAsia="ja-JP"/>
        </w:rPr>
        <w:t>N</w:t>
      </w:r>
      <w:r w:rsidRPr="00B361F5">
        <w:rPr>
          <w:b/>
          <w:sz w:val="22"/>
          <w:szCs w:val="22"/>
          <w:vertAlign w:val="subscript"/>
          <w:lang w:eastAsia="ja-JP"/>
        </w:rPr>
        <w:t>IR</w:t>
      </w:r>
      <w:r w:rsidRPr="00B361F5">
        <w:rPr>
          <w:b/>
          <w:sz w:val="22"/>
          <w:szCs w:val="22"/>
          <w:lang w:eastAsia="ja-JP"/>
        </w:rPr>
        <w:t xml:space="preserve"> on the </w:t>
      </w:r>
      <w:proofErr w:type="spellStart"/>
      <w:r w:rsidRPr="00B361F5">
        <w:rPr>
          <w:b/>
          <w:sz w:val="22"/>
          <w:szCs w:val="22"/>
          <w:lang w:eastAsia="ja-JP"/>
        </w:rPr>
        <w:t>eNB</w:t>
      </w:r>
      <w:proofErr w:type="spellEnd"/>
      <w:r w:rsidRPr="00B361F5">
        <w:rPr>
          <w:b/>
          <w:sz w:val="22"/>
          <w:szCs w:val="22"/>
          <w:lang w:eastAsia="ja-JP"/>
        </w:rPr>
        <w:t xml:space="preserve"> side in TS 36.212 is set to</w:t>
      </w:r>
    </w:p>
    <w:p w:rsidR="00B361F5" w:rsidRPr="00741E8F" w:rsidRDefault="00B361F5" w:rsidP="00DF05C8">
      <w:pPr>
        <w:pStyle w:val="ListParagraph"/>
        <w:jc w:val="center"/>
        <w:rPr>
          <w:b/>
          <w:szCs w:val="22"/>
        </w:rPr>
      </w:pPr>
      <w:r w:rsidRPr="00DF05C8">
        <w:rPr>
          <w:b/>
          <w:position w:val="-30"/>
          <w:sz w:val="22"/>
          <w:szCs w:val="22"/>
        </w:rPr>
        <w:object w:dxaOrig="1460" w:dyaOrig="680">
          <v:shape id="_x0000_i1030" type="#_x0000_t75" style="width:73.5pt;height:34.5pt" o:ole="">
            <v:imagedata r:id="rId17" o:title=""/>
          </v:shape>
          <o:OLEObject Type="Embed" ProgID="Equation.3" ShapeID="_x0000_i1030" DrawAspect="Content" ObjectID="_1508309959" r:id="rId19"/>
        </w:object>
      </w:r>
    </w:p>
    <w:p w:rsidR="00B361F5" w:rsidRPr="00B361F5" w:rsidRDefault="00B361F5" w:rsidP="00B361F5">
      <w:pPr>
        <w:pStyle w:val="BodyText"/>
        <w:numPr>
          <w:ilvl w:val="0"/>
          <w:numId w:val="26"/>
        </w:numPr>
        <w:rPr>
          <w:b/>
          <w:szCs w:val="22"/>
        </w:rPr>
      </w:pPr>
      <w:r w:rsidRPr="00B361F5">
        <w:rPr>
          <w:b/>
          <w:szCs w:val="22"/>
        </w:rPr>
        <w:t xml:space="preserve">For a Rel-13 UE with more than 5 CCs, </w:t>
      </w:r>
      <w:proofErr w:type="spellStart"/>
      <w:r w:rsidRPr="00B361F5">
        <w:rPr>
          <w:rFonts w:eastAsia="MS PGothic"/>
          <w:b/>
          <w:i/>
          <w:color w:val="000000"/>
          <w:szCs w:val="22"/>
        </w:rPr>
        <w:t>n</w:t>
      </w:r>
      <w:r w:rsidRPr="00B361F5">
        <w:rPr>
          <w:rFonts w:eastAsia="MS PGothic"/>
          <w:b/>
          <w:color w:val="000000"/>
          <w:szCs w:val="22"/>
          <w:vertAlign w:val="subscript"/>
        </w:rPr>
        <w:t>SB</w:t>
      </w:r>
      <w:proofErr w:type="spellEnd"/>
      <w:r w:rsidRPr="00B361F5">
        <w:rPr>
          <w:rFonts w:eastAsia="MS PGothic"/>
          <w:b/>
          <w:color w:val="000000"/>
          <w:szCs w:val="22"/>
        </w:rPr>
        <w:t xml:space="preserve"> in TS 36.213 </w:t>
      </w:r>
      <w:r w:rsidRPr="00B361F5">
        <w:rPr>
          <w:b/>
          <w:szCs w:val="22"/>
        </w:rPr>
        <w:t xml:space="preserve">is set to </w:t>
      </w:r>
    </w:p>
    <w:p w:rsidR="00B361F5" w:rsidRPr="00B361F5" w:rsidRDefault="00B361F5" w:rsidP="00B361F5">
      <w:pPr>
        <w:pStyle w:val="BodyText"/>
        <w:jc w:val="center"/>
        <w:rPr>
          <w:b/>
          <w:szCs w:val="22"/>
        </w:rPr>
      </w:pPr>
      <w:proofErr w:type="spellStart"/>
      <w:proofErr w:type="gramStart"/>
      <w:r w:rsidRPr="00B361F5">
        <w:rPr>
          <w:rFonts w:eastAsia="MS PGothic"/>
          <w:b/>
          <w:i/>
          <w:color w:val="000000"/>
          <w:szCs w:val="22"/>
        </w:rPr>
        <w:t>n</w:t>
      </w:r>
      <w:r w:rsidRPr="00B361F5">
        <w:rPr>
          <w:rFonts w:eastAsia="MS PGothic"/>
          <w:b/>
          <w:color w:val="000000"/>
          <w:szCs w:val="22"/>
          <w:vertAlign w:val="subscript"/>
        </w:rPr>
        <w:t>SB</w:t>
      </w:r>
      <w:proofErr w:type="spellEnd"/>
      <w:proofErr w:type="gramEnd"/>
      <w:r w:rsidRPr="00B361F5">
        <w:rPr>
          <w:b/>
          <w:szCs w:val="22"/>
        </w:rPr>
        <w:t xml:space="preserve"> = </w:t>
      </w:r>
      <w:proofErr w:type="spellStart"/>
      <w:r w:rsidRPr="00B361F5">
        <w:rPr>
          <w:b/>
          <w:i/>
          <w:szCs w:val="22"/>
        </w:rPr>
        <w:t>N</w:t>
      </w:r>
      <w:r w:rsidRPr="00B361F5">
        <w:rPr>
          <w:b/>
          <w:i/>
          <w:szCs w:val="22"/>
          <w:vertAlign w:val="subscript"/>
        </w:rPr>
        <w:t>cb</w:t>
      </w:r>
      <w:proofErr w:type="spellEnd"/>
    </w:p>
    <w:p w:rsidR="00B361F5" w:rsidRPr="00DF05C8" w:rsidRDefault="00B361F5" w:rsidP="00DF05C8">
      <w:pPr>
        <w:pStyle w:val="ListParagraph"/>
        <w:numPr>
          <w:ilvl w:val="0"/>
          <w:numId w:val="26"/>
        </w:numPr>
        <w:jc w:val="both"/>
        <w:rPr>
          <w:b/>
          <w:szCs w:val="22"/>
        </w:rPr>
      </w:pPr>
      <w:r w:rsidRPr="00DF05C8">
        <w:rPr>
          <w:b/>
          <w:sz w:val="22"/>
          <w:szCs w:val="22"/>
        </w:rPr>
        <w:t>For the Rel-13 UE category capable of 32 CCs, the total soft buffer size is specified to 160 × 296448 = 47431680.</w:t>
      </w:r>
    </w:p>
    <w:p w:rsidR="00855039" w:rsidRDefault="00855039" w:rsidP="004666E3">
      <w:pPr>
        <w:rPr>
          <w:b/>
          <w:lang w:val="en-US"/>
        </w:rPr>
      </w:pPr>
    </w:p>
    <w:p w:rsidR="00B67E6C" w:rsidRPr="00A742FA" w:rsidRDefault="00B67E6C" w:rsidP="00B67E6C">
      <w:pPr>
        <w:pStyle w:val="Heading1"/>
        <w:rPr>
          <w:lang w:val="en-US"/>
        </w:rPr>
      </w:pPr>
      <w:r w:rsidRPr="00A742FA">
        <w:rPr>
          <w:lang w:val="en-US"/>
        </w:rPr>
        <w:t>Reference</w:t>
      </w:r>
      <w:r w:rsidR="00E3500B">
        <w:rPr>
          <w:lang w:val="en-US"/>
        </w:rPr>
        <w:t>s</w:t>
      </w:r>
    </w:p>
    <w:p w:rsidR="00F318A9" w:rsidRDefault="005E4540" w:rsidP="009307A6">
      <w:pPr>
        <w:pStyle w:val="Reference"/>
        <w:rPr>
          <w:lang w:val="en-US"/>
        </w:rPr>
      </w:pPr>
      <w:bookmarkStart w:id="6" w:name="_Ref415666081"/>
      <w:bookmarkStart w:id="7" w:name="_Ref363567898"/>
      <w:bookmarkStart w:id="8" w:name="_Ref367350341"/>
      <w:bookmarkStart w:id="9" w:name="_Ref370111837"/>
      <w:bookmarkStart w:id="10" w:name="_Ref370203071"/>
      <w:bookmarkStart w:id="11" w:name="_Ref377571746"/>
      <w:bookmarkStart w:id="12" w:name="_Ref386564944"/>
      <w:bookmarkStart w:id="13" w:name="_Ref386565146"/>
      <w:bookmarkStart w:id="14" w:name="_Ref395083208"/>
      <w:r w:rsidRPr="005E4540">
        <w:rPr>
          <w:lang w:val="en-US"/>
        </w:rPr>
        <w:t>R</w:t>
      </w:r>
      <w:r w:rsidR="009307A6">
        <w:rPr>
          <w:lang w:val="en-US"/>
        </w:rPr>
        <w:t>1</w:t>
      </w:r>
      <w:r w:rsidRPr="005E4540">
        <w:rPr>
          <w:lang w:val="en-US"/>
        </w:rPr>
        <w:t>-</w:t>
      </w:r>
      <w:r w:rsidR="00500AD8">
        <w:rPr>
          <w:lang w:val="en-US"/>
        </w:rPr>
        <w:t>155719</w:t>
      </w:r>
      <w:r w:rsidRPr="005E4540">
        <w:rPr>
          <w:lang w:val="en-US"/>
        </w:rPr>
        <w:t>, “</w:t>
      </w:r>
      <w:r w:rsidR="009307A6" w:rsidRPr="009307A6">
        <w:rPr>
          <w:lang w:val="en-US"/>
        </w:rPr>
        <w:t>Potential enhancements to physical layer procedure other than DL and UL control</w:t>
      </w:r>
      <w:r>
        <w:rPr>
          <w:lang w:val="en-US"/>
        </w:rPr>
        <w:t>”</w:t>
      </w:r>
      <w:r w:rsidR="009307A6">
        <w:rPr>
          <w:lang w:val="en-US"/>
        </w:rPr>
        <w:t>, Qualcomm</w:t>
      </w:r>
      <w:r w:rsidR="00F41AA6">
        <w:rPr>
          <w:lang w:val="en-US"/>
        </w:rPr>
        <w:t>.</w:t>
      </w:r>
      <w:bookmarkEnd w:id="6"/>
    </w:p>
    <w:p w:rsidR="009307A6" w:rsidRDefault="009307A6" w:rsidP="009307A6">
      <w:pPr>
        <w:pStyle w:val="Reference"/>
        <w:rPr>
          <w:lang w:val="en-US"/>
        </w:rPr>
      </w:pPr>
      <w:bookmarkStart w:id="15" w:name="_Ref429986791"/>
      <w:r>
        <w:rPr>
          <w:lang w:val="en-US"/>
        </w:rPr>
        <w:t>R1-15</w:t>
      </w:r>
      <w:r w:rsidR="00500AD8">
        <w:rPr>
          <w:lang w:val="en-US"/>
        </w:rPr>
        <w:t>5309</w:t>
      </w:r>
      <w:r>
        <w:rPr>
          <w:lang w:val="en-US"/>
        </w:rPr>
        <w:t>, “</w:t>
      </w:r>
      <w:r w:rsidR="00500AD8" w:rsidRPr="00C32C35">
        <w:rPr>
          <w:rFonts w:eastAsia="MS Mincho"/>
          <w:lang w:eastAsia="ja-JP"/>
        </w:rPr>
        <w:t>On soft buffer management for Rel-13 UEs with up to 32 CCs</w:t>
      </w:r>
      <w:r>
        <w:rPr>
          <w:lang w:val="en-US"/>
        </w:rPr>
        <w:t>”, Intel.</w:t>
      </w:r>
      <w:bookmarkEnd w:id="15"/>
    </w:p>
    <w:p w:rsidR="00500AD8" w:rsidRDefault="00500AD8" w:rsidP="00500AD8">
      <w:pPr>
        <w:pStyle w:val="Reference"/>
        <w:rPr>
          <w:lang w:val="en-US"/>
        </w:rPr>
      </w:pPr>
      <w:bookmarkStart w:id="16" w:name="_Ref434225544"/>
      <w:r>
        <w:rPr>
          <w:lang w:val="en-US"/>
        </w:rPr>
        <w:t>R1-155596, “</w:t>
      </w:r>
      <w:r w:rsidRPr="00500AD8">
        <w:rPr>
          <w:lang w:val="en-US"/>
        </w:rPr>
        <w:t>On UE soft-buffer management for increasing number of CCs</w:t>
      </w:r>
      <w:r>
        <w:rPr>
          <w:lang w:val="en-US"/>
        </w:rPr>
        <w:t>”, Nokia Networks.</w:t>
      </w:r>
      <w:bookmarkEnd w:id="16"/>
    </w:p>
    <w:p w:rsidR="00151103" w:rsidRDefault="006E7272" w:rsidP="00151103">
      <w:pPr>
        <w:pStyle w:val="Reference"/>
        <w:rPr>
          <w:lang w:val="en-US"/>
        </w:rPr>
      </w:pPr>
      <w:bookmarkStart w:id="17" w:name="_Ref429987976"/>
      <w:bookmarkEnd w:id="7"/>
      <w:bookmarkEnd w:id="8"/>
      <w:bookmarkEnd w:id="9"/>
      <w:bookmarkEnd w:id="10"/>
      <w:bookmarkEnd w:id="11"/>
      <w:bookmarkEnd w:id="12"/>
      <w:bookmarkEnd w:id="13"/>
      <w:bookmarkEnd w:id="14"/>
      <w:r>
        <w:rPr>
          <w:lang w:val="en-US"/>
        </w:rPr>
        <w:t>R1-081475, “Soft buffer allocation”, Nokia, Nokia Siemens Networks.</w:t>
      </w:r>
      <w:bookmarkEnd w:id="17"/>
    </w:p>
    <w:p w:rsidR="004330E9" w:rsidRDefault="00EF1382" w:rsidP="00A82BAF">
      <w:pPr>
        <w:pStyle w:val="Reference"/>
        <w:rPr>
          <w:lang w:val="en-US"/>
        </w:rPr>
      </w:pPr>
      <w:bookmarkStart w:id="18" w:name="_Ref430009697"/>
      <w:r w:rsidRPr="00A82BAF">
        <w:rPr>
          <w:lang w:val="en-US"/>
        </w:rPr>
        <w:t>R1-124147, “Soft buffer operations in aggregation of TDD carriers with different UL/DL configurations”, Ericsson, ST-Ericsson.</w:t>
      </w:r>
      <w:bookmarkEnd w:id="18"/>
    </w:p>
    <w:p w:rsidR="00500AD8" w:rsidRDefault="00500AD8" w:rsidP="00514F58">
      <w:pPr>
        <w:pStyle w:val="Heading1"/>
        <w:rPr>
          <w:lang w:val="en-US"/>
        </w:rPr>
      </w:pPr>
      <w:bookmarkStart w:id="19" w:name="_GoBack"/>
      <w:bookmarkEnd w:id="19"/>
      <w:r>
        <w:rPr>
          <w:lang w:val="en-US"/>
        </w:rPr>
        <w:t>Appendix</w:t>
      </w:r>
    </w:p>
    <w:p w:rsidR="00500AD8" w:rsidRDefault="00500AD8" w:rsidP="00514F58">
      <w:pPr>
        <w:rPr>
          <w:lang w:val="en-US"/>
        </w:rPr>
      </w:pPr>
      <w:r>
        <w:rPr>
          <w:lang w:val="en-US"/>
        </w:rPr>
        <w:t>Study has</w:t>
      </w:r>
      <w:r w:rsidR="00284B77">
        <w:rPr>
          <w:lang w:val="en-US"/>
        </w:rPr>
        <w:t xml:space="preserve"> also</w:t>
      </w:r>
      <w:r>
        <w:rPr>
          <w:lang w:val="en-US"/>
        </w:rPr>
        <w:t xml:space="preserve"> been performed assuming that there are </w:t>
      </w:r>
      <w:r w:rsidR="00284B77">
        <w:rPr>
          <w:lang w:val="en-US"/>
        </w:rPr>
        <w:t xml:space="preserve">carriers both in licensed and unlicensed band, e.g., </w:t>
      </w:r>
      <w:r>
        <w:rPr>
          <w:lang w:val="en-US"/>
        </w:rPr>
        <w:t xml:space="preserve">16 carriers in unlicensed band and </w:t>
      </w:r>
      <w:r w:rsidR="00284B77">
        <w:rPr>
          <w:lang w:val="en-US"/>
        </w:rPr>
        <w:t xml:space="preserve">16 carriers </w:t>
      </w:r>
      <w:r>
        <w:rPr>
          <w:lang w:val="en-US"/>
        </w:rPr>
        <w:t xml:space="preserve">in licensed band, </w:t>
      </w:r>
      <w:r w:rsidR="00284B77">
        <w:rPr>
          <w:lang w:val="en-US"/>
        </w:rPr>
        <w:t>respectively</w:t>
      </w:r>
      <w:r>
        <w:rPr>
          <w:lang w:val="en-US"/>
        </w:rPr>
        <w:t xml:space="preserve">. </w:t>
      </w:r>
      <w:r w:rsidR="009C3FEC">
        <w:rPr>
          <w:lang w:val="en-US"/>
        </w:rPr>
        <w:t xml:space="preserve">The simulation results of soft buffer reduction assuming carriers in both licensed and unlicensed band is provided in </w:t>
      </w:r>
      <w:r w:rsidR="009C3FEC">
        <w:rPr>
          <w:lang w:val="en-US"/>
        </w:rPr>
        <w:lastRenderedPageBreak/>
        <w:fldChar w:fldCharType="begin"/>
      </w:r>
      <w:r w:rsidR="009C3FEC">
        <w:rPr>
          <w:lang w:val="en-US"/>
        </w:rPr>
        <w:instrText xml:space="preserve"> REF _Ref434226580 \h </w:instrText>
      </w:r>
      <w:r w:rsidR="009C3FEC">
        <w:rPr>
          <w:lang w:val="en-US"/>
        </w:rPr>
      </w:r>
      <w:r w:rsidR="009C3FEC">
        <w:rPr>
          <w:lang w:val="en-US"/>
        </w:rPr>
        <w:fldChar w:fldCharType="separate"/>
      </w:r>
      <w:r w:rsidR="009C3FEC">
        <w:t xml:space="preserve">Table </w:t>
      </w:r>
      <w:r w:rsidR="009C3FEC">
        <w:rPr>
          <w:noProof/>
        </w:rPr>
        <w:t>3</w:t>
      </w:r>
      <w:r w:rsidR="009C3FEC">
        <w:rPr>
          <w:lang w:val="en-US"/>
        </w:rPr>
        <w:fldChar w:fldCharType="end"/>
      </w:r>
      <w:r w:rsidR="009C3FEC">
        <w:rPr>
          <w:lang w:val="en-US"/>
        </w:rPr>
        <w:t xml:space="preserve"> in comparison with the case where </w:t>
      </w:r>
      <w:r w:rsidR="00284B77">
        <w:rPr>
          <w:lang w:val="en-US"/>
        </w:rPr>
        <w:t xml:space="preserve">all </w:t>
      </w:r>
      <w:r w:rsidR="009C3FEC">
        <w:rPr>
          <w:lang w:val="en-US"/>
        </w:rPr>
        <w:t xml:space="preserve">carriers are in unlicensed band. </w:t>
      </w:r>
      <w:r>
        <w:rPr>
          <w:lang w:val="en-US"/>
        </w:rPr>
        <w:t xml:space="preserve">For carriers in licensed band, a TB BLER of 30% is assumed </w:t>
      </w:r>
      <w:r w:rsidR="007A6EDF">
        <w:rPr>
          <w:lang w:val="en-US"/>
        </w:rPr>
        <w:t>same</w:t>
      </w:r>
      <w:r>
        <w:rPr>
          <w:lang w:val="en-US"/>
        </w:rPr>
        <w:t xml:space="preserve"> as the study assumption in Rel-10. For carriers in unlicensed band, both TB BLER and collision due to LBT have been </w:t>
      </w:r>
      <w:r w:rsidR="007A6EDF">
        <w:rPr>
          <w:lang w:val="en-US"/>
        </w:rPr>
        <w:t>assumed</w:t>
      </w:r>
      <w:r>
        <w:rPr>
          <w:lang w:val="en-US"/>
        </w:rPr>
        <w:t xml:space="preserve"> as described in section 2.2. </w:t>
      </w:r>
    </w:p>
    <w:p w:rsidR="00500AD8" w:rsidRDefault="00500AD8" w:rsidP="00500AD8">
      <w:pPr>
        <w:pStyle w:val="Caption"/>
      </w:pPr>
      <w:bookmarkStart w:id="20" w:name="_Ref434226580"/>
      <w:r>
        <w:t xml:space="preserve">Table </w:t>
      </w:r>
      <w:r>
        <w:fldChar w:fldCharType="begin"/>
      </w:r>
      <w:r>
        <w:instrText xml:space="preserve"> SEQ Table \* ARABIC </w:instrText>
      </w:r>
      <w:r>
        <w:fldChar w:fldCharType="separate"/>
      </w:r>
      <w:r w:rsidR="009C3FEC">
        <w:rPr>
          <w:noProof/>
        </w:rPr>
        <w:t>3</w:t>
      </w:r>
      <w:r>
        <w:fldChar w:fldCharType="end"/>
      </w:r>
      <w:bookmarkEnd w:id="20"/>
      <w:r>
        <w:t xml:space="preserve"> The percentage of soft buffer reduction </w:t>
      </w:r>
      <w:r w:rsidRPr="007A6EDF">
        <w:t xml:space="preserve">with </w:t>
      </w:r>
      <w:r w:rsidR="009C3FEC" w:rsidRPr="00514F58">
        <w:t>2/4</w:t>
      </w:r>
      <w:r w:rsidRPr="00514F58">
        <w:t xml:space="preserve"> </w:t>
      </w:r>
      <w:r w:rsidRPr="007A6EDF">
        <w:t>other nodes</w:t>
      </w:r>
      <w:r>
        <w:t xml:space="preserve"> trying to access channels at the same time, 1/2/4/8/16 CCs involved for each transmission, TXOP of 4/10 </w:t>
      </w:r>
      <w:proofErr w:type="spellStart"/>
      <w:r>
        <w:t>ms</w:t>
      </w:r>
      <w:proofErr w:type="spellEnd"/>
      <w:r w:rsidR="009C3FEC">
        <w:t>, and 16 carriers in licensed and unlicensed band/32 carriers only in unlicensed band.</w:t>
      </w:r>
    </w:p>
    <w:tbl>
      <w:tblPr>
        <w:tblStyle w:val="TableGrid"/>
        <w:tblW w:w="0" w:type="auto"/>
        <w:jc w:val="center"/>
        <w:tblInd w:w="558" w:type="dxa"/>
        <w:tblLayout w:type="fixed"/>
        <w:tblLook w:val="04A0" w:firstRow="1" w:lastRow="0" w:firstColumn="1" w:lastColumn="0" w:noHBand="0" w:noVBand="1"/>
      </w:tblPr>
      <w:tblGrid>
        <w:gridCol w:w="1530"/>
        <w:gridCol w:w="1473"/>
        <w:gridCol w:w="1217"/>
        <w:gridCol w:w="1217"/>
        <w:gridCol w:w="1223"/>
        <w:gridCol w:w="1260"/>
      </w:tblGrid>
      <w:tr w:rsidR="00500AD8" w:rsidRPr="005834E1" w:rsidTr="005966E3">
        <w:trPr>
          <w:trHeight w:val="269"/>
          <w:jc w:val="center"/>
        </w:trPr>
        <w:tc>
          <w:tcPr>
            <w:tcW w:w="1530" w:type="dxa"/>
            <w:hideMark/>
          </w:tcPr>
          <w:p w:rsidR="00500AD8" w:rsidRPr="005834E1" w:rsidRDefault="00500AD8" w:rsidP="005966E3">
            <w:pPr>
              <w:jc w:val="center"/>
              <w:rPr>
                <w:lang w:val="en-US"/>
              </w:rPr>
            </w:pPr>
          </w:p>
        </w:tc>
        <w:tc>
          <w:tcPr>
            <w:tcW w:w="1473" w:type="dxa"/>
            <w:hideMark/>
          </w:tcPr>
          <w:p w:rsidR="00500AD8" w:rsidRPr="005834E1" w:rsidRDefault="00500AD8" w:rsidP="005966E3">
            <w:pPr>
              <w:jc w:val="center"/>
              <w:rPr>
                <w:lang w:val="en-US"/>
              </w:rPr>
            </w:pPr>
          </w:p>
        </w:tc>
        <w:tc>
          <w:tcPr>
            <w:tcW w:w="1217" w:type="dxa"/>
            <w:hideMark/>
          </w:tcPr>
          <w:p w:rsidR="00500AD8" w:rsidRPr="005834E1" w:rsidRDefault="00500AD8" w:rsidP="005966E3">
            <w:pPr>
              <w:jc w:val="center"/>
              <w:rPr>
                <w:lang w:val="en-US"/>
              </w:rPr>
            </w:pPr>
            <w:r w:rsidRPr="00DF05C8">
              <w:rPr>
                <w:b/>
                <w:bCs/>
                <w:i/>
                <w:lang w:val="en-US"/>
              </w:rPr>
              <w:t>n</w:t>
            </w:r>
            <w:r>
              <w:rPr>
                <w:b/>
                <w:bCs/>
                <w:lang w:val="en-US"/>
              </w:rPr>
              <w:t>=4</w:t>
            </w:r>
            <w:r w:rsidR="0044785F">
              <w:rPr>
                <w:b/>
                <w:bCs/>
                <w:lang w:val="en-US"/>
              </w:rPr>
              <w:t xml:space="preserve"> (CCs in licensed and unlicensed band)</w:t>
            </w:r>
          </w:p>
        </w:tc>
        <w:tc>
          <w:tcPr>
            <w:tcW w:w="1217" w:type="dxa"/>
            <w:hideMark/>
          </w:tcPr>
          <w:p w:rsidR="00500AD8" w:rsidRPr="005834E1" w:rsidRDefault="00500AD8" w:rsidP="0044785F">
            <w:pPr>
              <w:jc w:val="center"/>
              <w:rPr>
                <w:lang w:val="en-US"/>
              </w:rPr>
            </w:pPr>
            <w:r w:rsidRPr="00DF05C8">
              <w:rPr>
                <w:b/>
                <w:bCs/>
                <w:i/>
                <w:lang w:val="en-US"/>
              </w:rPr>
              <w:t>n</w:t>
            </w:r>
            <w:r w:rsidRPr="005834E1">
              <w:rPr>
                <w:b/>
                <w:bCs/>
                <w:lang w:val="en-US"/>
              </w:rPr>
              <w:t>=4</w:t>
            </w:r>
            <w:r w:rsidR="0044785F">
              <w:rPr>
                <w:b/>
                <w:bCs/>
                <w:lang w:val="en-US"/>
              </w:rPr>
              <w:t xml:space="preserve"> (CCs only in unlicensed band)</w:t>
            </w:r>
          </w:p>
        </w:tc>
        <w:tc>
          <w:tcPr>
            <w:tcW w:w="1223" w:type="dxa"/>
            <w:hideMark/>
          </w:tcPr>
          <w:p w:rsidR="00500AD8" w:rsidRPr="005834E1" w:rsidRDefault="00500AD8" w:rsidP="005966E3">
            <w:pPr>
              <w:jc w:val="center"/>
              <w:rPr>
                <w:lang w:val="en-US"/>
              </w:rPr>
            </w:pPr>
            <w:r w:rsidRPr="00DF05C8">
              <w:rPr>
                <w:b/>
                <w:bCs/>
                <w:i/>
                <w:lang w:val="en-US"/>
              </w:rPr>
              <w:t>n</w:t>
            </w:r>
            <w:r w:rsidR="0044785F">
              <w:rPr>
                <w:b/>
                <w:bCs/>
                <w:lang w:val="en-US"/>
              </w:rPr>
              <w:t>=2 (CCs in licensed and unlicensed band)</w:t>
            </w:r>
          </w:p>
        </w:tc>
        <w:tc>
          <w:tcPr>
            <w:tcW w:w="1260" w:type="dxa"/>
            <w:hideMark/>
          </w:tcPr>
          <w:p w:rsidR="00500AD8" w:rsidRPr="005834E1" w:rsidRDefault="00500AD8" w:rsidP="005966E3">
            <w:pPr>
              <w:jc w:val="center"/>
              <w:rPr>
                <w:lang w:val="en-US"/>
              </w:rPr>
            </w:pPr>
            <w:r w:rsidRPr="00DF05C8">
              <w:rPr>
                <w:b/>
                <w:bCs/>
                <w:i/>
                <w:lang w:val="en-US"/>
              </w:rPr>
              <w:t>n</w:t>
            </w:r>
            <w:r w:rsidRPr="005834E1">
              <w:rPr>
                <w:b/>
                <w:bCs/>
                <w:lang w:val="en-US"/>
              </w:rPr>
              <w:t>=2</w:t>
            </w:r>
            <w:r w:rsidR="0044785F">
              <w:rPr>
                <w:b/>
                <w:bCs/>
                <w:lang w:val="en-US"/>
              </w:rPr>
              <w:t xml:space="preserve"> (CCs only in unlicensed band)</w:t>
            </w:r>
          </w:p>
        </w:tc>
      </w:tr>
      <w:tr w:rsidR="00500AD8" w:rsidRPr="005834E1" w:rsidTr="005966E3">
        <w:trPr>
          <w:trHeight w:val="251"/>
          <w:jc w:val="center"/>
        </w:trPr>
        <w:tc>
          <w:tcPr>
            <w:tcW w:w="1530" w:type="dxa"/>
            <w:vMerge w:val="restart"/>
            <w:hideMark/>
          </w:tcPr>
          <w:p w:rsidR="00500AD8" w:rsidRPr="00DF05C8" w:rsidRDefault="00500AD8" w:rsidP="005966E3">
            <w:pPr>
              <w:jc w:val="center"/>
              <w:rPr>
                <w:b/>
                <w:lang w:val="en-US"/>
              </w:rPr>
            </w:pPr>
            <w:r w:rsidRPr="00DF05C8">
              <w:rPr>
                <w:b/>
                <w:lang w:val="en-US"/>
              </w:rPr>
              <w:t>TXOP 4ms</w:t>
            </w:r>
          </w:p>
        </w:tc>
        <w:tc>
          <w:tcPr>
            <w:tcW w:w="1473" w:type="dxa"/>
            <w:hideMark/>
          </w:tcPr>
          <w:p w:rsidR="00500AD8" w:rsidRPr="00DF05C8" w:rsidRDefault="00500AD8" w:rsidP="005966E3">
            <w:pPr>
              <w:jc w:val="center"/>
              <w:rPr>
                <w:b/>
                <w:lang w:val="en-US"/>
              </w:rPr>
            </w:pPr>
            <w:r w:rsidRPr="00DF05C8">
              <w:rPr>
                <w:b/>
                <w:lang w:val="en-US"/>
              </w:rPr>
              <w:t>16 CCs</w:t>
            </w:r>
          </w:p>
        </w:tc>
        <w:tc>
          <w:tcPr>
            <w:tcW w:w="1217" w:type="dxa"/>
            <w:hideMark/>
          </w:tcPr>
          <w:p w:rsidR="00500AD8" w:rsidRPr="00DF05C8" w:rsidRDefault="0044785F" w:rsidP="005966E3">
            <w:pPr>
              <w:spacing w:before="20" w:after="20"/>
              <w:jc w:val="center"/>
            </w:pPr>
            <w:r>
              <w:t>-*</w:t>
            </w:r>
          </w:p>
        </w:tc>
        <w:tc>
          <w:tcPr>
            <w:tcW w:w="1217" w:type="dxa"/>
            <w:hideMark/>
          </w:tcPr>
          <w:p w:rsidR="00500AD8" w:rsidRPr="00DF05C8" w:rsidRDefault="00500AD8" w:rsidP="005966E3">
            <w:pPr>
              <w:spacing w:before="20" w:after="20"/>
              <w:jc w:val="center"/>
            </w:pPr>
            <w:r w:rsidRPr="00DF05C8">
              <w:t>22%</w:t>
            </w:r>
          </w:p>
        </w:tc>
        <w:tc>
          <w:tcPr>
            <w:tcW w:w="1223" w:type="dxa"/>
            <w:hideMark/>
          </w:tcPr>
          <w:p w:rsidR="00500AD8" w:rsidRPr="00DF05C8" w:rsidRDefault="0044785F" w:rsidP="005966E3">
            <w:pPr>
              <w:spacing w:before="20" w:after="20"/>
              <w:jc w:val="center"/>
            </w:pPr>
            <w:r>
              <w:t>37</w:t>
            </w:r>
            <w:r w:rsidR="00500AD8" w:rsidRPr="00DF05C8">
              <w:t>%</w:t>
            </w:r>
          </w:p>
        </w:tc>
        <w:tc>
          <w:tcPr>
            <w:tcW w:w="1260" w:type="dxa"/>
            <w:hideMark/>
          </w:tcPr>
          <w:p w:rsidR="00500AD8" w:rsidRPr="00DF05C8" w:rsidRDefault="00500AD8" w:rsidP="005966E3">
            <w:pPr>
              <w:spacing w:before="20" w:after="20"/>
              <w:jc w:val="center"/>
            </w:pPr>
            <w:r w:rsidRPr="00DF05C8">
              <w:t>42%</w:t>
            </w:r>
          </w:p>
        </w:tc>
      </w:tr>
      <w:tr w:rsidR="00500AD8" w:rsidRPr="005834E1" w:rsidTr="005966E3">
        <w:trPr>
          <w:trHeight w:val="215"/>
          <w:jc w:val="center"/>
        </w:trPr>
        <w:tc>
          <w:tcPr>
            <w:tcW w:w="1530" w:type="dxa"/>
            <w:vMerge/>
            <w:hideMark/>
          </w:tcPr>
          <w:p w:rsidR="00500AD8" w:rsidRPr="00DF05C8" w:rsidRDefault="00500AD8" w:rsidP="005966E3">
            <w:pPr>
              <w:jc w:val="center"/>
              <w:rPr>
                <w:b/>
                <w:lang w:val="en-US"/>
              </w:rPr>
            </w:pPr>
          </w:p>
        </w:tc>
        <w:tc>
          <w:tcPr>
            <w:tcW w:w="1473" w:type="dxa"/>
            <w:hideMark/>
          </w:tcPr>
          <w:p w:rsidR="00500AD8" w:rsidRPr="00DF05C8" w:rsidRDefault="00500AD8" w:rsidP="005966E3">
            <w:pPr>
              <w:jc w:val="center"/>
              <w:rPr>
                <w:b/>
                <w:lang w:val="en-US"/>
              </w:rPr>
            </w:pPr>
            <w:r w:rsidRPr="00DF05C8">
              <w:rPr>
                <w:b/>
                <w:lang w:val="en-US"/>
              </w:rPr>
              <w:t>8 CCs</w:t>
            </w:r>
          </w:p>
        </w:tc>
        <w:tc>
          <w:tcPr>
            <w:tcW w:w="1217" w:type="dxa"/>
            <w:hideMark/>
          </w:tcPr>
          <w:p w:rsidR="00500AD8" w:rsidRPr="00DF05C8" w:rsidRDefault="0044785F" w:rsidP="005966E3">
            <w:pPr>
              <w:spacing w:before="20" w:after="20"/>
              <w:jc w:val="center"/>
            </w:pPr>
            <w:r>
              <w:t>41</w:t>
            </w:r>
            <w:r w:rsidR="00500AD8" w:rsidRPr="00DF05C8">
              <w:t>%</w:t>
            </w:r>
          </w:p>
        </w:tc>
        <w:tc>
          <w:tcPr>
            <w:tcW w:w="1217" w:type="dxa"/>
            <w:hideMark/>
          </w:tcPr>
          <w:p w:rsidR="00500AD8" w:rsidRPr="00DF05C8" w:rsidRDefault="00500AD8" w:rsidP="005966E3">
            <w:pPr>
              <w:spacing w:before="20" w:after="20"/>
              <w:jc w:val="center"/>
            </w:pPr>
            <w:r w:rsidRPr="00DF05C8">
              <w:t>3</w:t>
            </w:r>
            <w:r>
              <w:t>5</w:t>
            </w:r>
            <w:r w:rsidRPr="00DF05C8">
              <w:t>%</w:t>
            </w:r>
          </w:p>
        </w:tc>
        <w:tc>
          <w:tcPr>
            <w:tcW w:w="1223" w:type="dxa"/>
            <w:hideMark/>
          </w:tcPr>
          <w:p w:rsidR="00500AD8" w:rsidRPr="00DF05C8" w:rsidRDefault="0044785F" w:rsidP="005966E3">
            <w:pPr>
              <w:spacing w:before="20" w:after="20"/>
              <w:jc w:val="center"/>
            </w:pPr>
            <w:r>
              <w:t>50</w:t>
            </w:r>
            <w:r w:rsidR="00500AD8" w:rsidRPr="00DF05C8">
              <w:t>%</w:t>
            </w:r>
          </w:p>
        </w:tc>
        <w:tc>
          <w:tcPr>
            <w:tcW w:w="1260" w:type="dxa"/>
            <w:hideMark/>
          </w:tcPr>
          <w:p w:rsidR="00500AD8" w:rsidRPr="00DF05C8" w:rsidRDefault="00500AD8" w:rsidP="005966E3">
            <w:pPr>
              <w:spacing w:before="20" w:after="20"/>
              <w:jc w:val="center"/>
            </w:pPr>
            <w:r>
              <w:t>50</w:t>
            </w:r>
            <w:r w:rsidRPr="00DF05C8">
              <w:t>%</w:t>
            </w:r>
          </w:p>
        </w:tc>
      </w:tr>
      <w:tr w:rsidR="00500AD8" w:rsidRPr="005834E1" w:rsidTr="005966E3">
        <w:trPr>
          <w:trHeight w:val="368"/>
          <w:jc w:val="center"/>
        </w:trPr>
        <w:tc>
          <w:tcPr>
            <w:tcW w:w="1530" w:type="dxa"/>
            <w:vMerge/>
            <w:hideMark/>
          </w:tcPr>
          <w:p w:rsidR="00500AD8" w:rsidRPr="00DF05C8" w:rsidRDefault="00500AD8" w:rsidP="005966E3">
            <w:pPr>
              <w:jc w:val="center"/>
              <w:rPr>
                <w:b/>
                <w:lang w:val="en-US"/>
              </w:rPr>
            </w:pPr>
          </w:p>
        </w:tc>
        <w:tc>
          <w:tcPr>
            <w:tcW w:w="1473" w:type="dxa"/>
            <w:hideMark/>
          </w:tcPr>
          <w:p w:rsidR="00500AD8" w:rsidRPr="00DF05C8" w:rsidRDefault="00500AD8" w:rsidP="005966E3">
            <w:pPr>
              <w:jc w:val="center"/>
              <w:rPr>
                <w:b/>
                <w:lang w:val="en-US"/>
              </w:rPr>
            </w:pPr>
            <w:r w:rsidRPr="00DF05C8">
              <w:rPr>
                <w:b/>
                <w:lang w:val="en-US"/>
              </w:rPr>
              <w:t>4 CCs</w:t>
            </w:r>
          </w:p>
        </w:tc>
        <w:tc>
          <w:tcPr>
            <w:tcW w:w="1217" w:type="dxa"/>
            <w:hideMark/>
          </w:tcPr>
          <w:p w:rsidR="00500AD8" w:rsidRPr="00DF05C8" w:rsidRDefault="0044785F" w:rsidP="005966E3">
            <w:pPr>
              <w:spacing w:before="20" w:after="20"/>
              <w:jc w:val="center"/>
            </w:pPr>
            <w:r>
              <w:t>47</w:t>
            </w:r>
            <w:r w:rsidR="00500AD8" w:rsidRPr="00DF05C8">
              <w:t>%</w:t>
            </w:r>
          </w:p>
        </w:tc>
        <w:tc>
          <w:tcPr>
            <w:tcW w:w="1217" w:type="dxa"/>
            <w:hideMark/>
          </w:tcPr>
          <w:p w:rsidR="00500AD8" w:rsidRPr="00DF05C8" w:rsidRDefault="00500AD8" w:rsidP="005966E3">
            <w:pPr>
              <w:spacing w:before="20" w:after="20"/>
              <w:jc w:val="center"/>
            </w:pPr>
            <w:r w:rsidRPr="00DF05C8">
              <w:t>45%</w:t>
            </w:r>
          </w:p>
        </w:tc>
        <w:tc>
          <w:tcPr>
            <w:tcW w:w="1223" w:type="dxa"/>
            <w:hideMark/>
          </w:tcPr>
          <w:p w:rsidR="00500AD8" w:rsidRPr="00DF05C8" w:rsidRDefault="0044785F" w:rsidP="005966E3">
            <w:pPr>
              <w:spacing w:before="20" w:after="20"/>
              <w:jc w:val="center"/>
            </w:pPr>
            <w:r>
              <w:t>55</w:t>
            </w:r>
            <w:r w:rsidR="00500AD8" w:rsidRPr="00DF05C8">
              <w:t>%</w:t>
            </w:r>
          </w:p>
        </w:tc>
        <w:tc>
          <w:tcPr>
            <w:tcW w:w="1260" w:type="dxa"/>
            <w:hideMark/>
          </w:tcPr>
          <w:p w:rsidR="00500AD8" w:rsidRPr="00DF05C8" w:rsidRDefault="00500AD8" w:rsidP="005966E3">
            <w:pPr>
              <w:spacing w:before="20" w:after="20"/>
              <w:jc w:val="center"/>
            </w:pPr>
            <w:r w:rsidRPr="00DF05C8">
              <w:t>60%</w:t>
            </w:r>
          </w:p>
        </w:tc>
      </w:tr>
      <w:tr w:rsidR="00500AD8" w:rsidRPr="005834E1" w:rsidTr="005966E3">
        <w:trPr>
          <w:trHeight w:val="350"/>
          <w:jc w:val="center"/>
        </w:trPr>
        <w:tc>
          <w:tcPr>
            <w:tcW w:w="1530" w:type="dxa"/>
            <w:vMerge/>
            <w:hideMark/>
          </w:tcPr>
          <w:p w:rsidR="00500AD8" w:rsidRPr="00DF05C8" w:rsidRDefault="00500AD8" w:rsidP="005966E3">
            <w:pPr>
              <w:jc w:val="center"/>
              <w:rPr>
                <w:b/>
                <w:lang w:val="en-US"/>
              </w:rPr>
            </w:pPr>
          </w:p>
        </w:tc>
        <w:tc>
          <w:tcPr>
            <w:tcW w:w="1473" w:type="dxa"/>
            <w:hideMark/>
          </w:tcPr>
          <w:p w:rsidR="00500AD8" w:rsidRPr="00DF05C8" w:rsidRDefault="00500AD8" w:rsidP="005966E3">
            <w:pPr>
              <w:jc w:val="center"/>
              <w:rPr>
                <w:b/>
                <w:lang w:val="en-US"/>
              </w:rPr>
            </w:pPr>
            <w:r w:rsidRPr="00DF05C8">
              <w:rPr>
                <w:b/>
                <w:lang w:val="en-US"/>
              </w:rPr>
              <w:t>2 CCs</w:t>
            </w:r>
          </w:p>
        </w:tc>
        <w:tc>
          <w:tcPr>
            <w:tcW w:w="1217" w:type="dxa"/>
            <w:hideMark/>
          </w:tcPr>
          <w:p w:rsidR="00500AD8" w:rsidRPr="00DF05C8" w:rsidRDefault="0044785F" w:rsidP="005966E3">
            <w:pPr>
              <w:spacing w:before="20" w:after="20"/>
              <w:jc w:val="center"/>
            </w:pPr>
            <w:r>
              <w:t>52</w:t>
            </w:r>
            <w:r w:rsidR="00500AD8" w:rsidRPr="00DF05C8">
              <w:t>%</w:t>
            </w:r>
          </w:p>
        </w:tc>
        <w:tc>
          <w:tcPr>
            <w:tcW w:w="1217" w:type="dxa"/>
            <w:hideMark/>
          </w:tcPr>
          <w:p w:rsidR="00500AD8" w:rsidRPr="00DF05C8" w:rsidRDefault="00500AD8" w:rsidP="005966E3">
            <w:pPr>
              <w:spacing w:before="20" w:after="20"/>
              <w:jc w:val="center"/>
            </w:pPr>
            <w:r w:rsidRPr="00DF05C8">
              <w:t>53%</w:t>
            </w:r>
          </w:p>
        </w:tc>
        <w:tc>
          <w:tcPr>
            <w:tcW w:w="1223" w:type="dxa"/>
            <w:hideMark/>
          </w:tcPr>
          <w:p w:rsidR="00500AD8" w:rsidRPr="00DF05C8" w:rsidRDefault="0044785F" w:rsidP="005966E3">
            <w:pPr>
              <w:spacing w:before="20" w:after="20"/>
              <w:jc w:val="center"/>
            </w:pPr>
            <w:r>
              <w:t>59</w:t>
            </w:r>
            <w:r w:rsidR="00500AD8" w:rsidRPr="00DF05C8">
              <w:t>%</w:t>
            </w:r>
          </w:p>
        </w:tc>
        <w:tc>
          <w:tcPr>
            <w:tcW w:w="1260" w:type="dxa"/>
            <w:hideMark/>
          </w:tcPr>
          <w:p w:rsidR="00500AD8" w:rsidRPr="00DF05C8" w:rsidRDefault="00500AD8" w:rsidP="005966E3">
            <w:pPr>
              <w:spacing w:before="20" w:after="20"/>
              <w:jc w:val="center"/>
            </w:pPr>
            <w:r w:rsidRPr="00DF05C8">
              <w:t>65%</w:t>
            </w:r>
          </w:p>
        </w:tc>
      </w:tr>
      <w:tr w:rsidR="00500AD8" w:rsidRPr="005834E1" w:rsidTr="005966E3">
        <w:trPr>
          <w:trHeight w:val="64"/>
          <w:jc w:val="center"/>
        </w:trPr>
        <w:tc>
          <w:tcPr>
            <w:tcW w:w="1530" w:type="dxa"/>
            <w:vMerge/>
            <w:hideMark/>
          </w:tcPr>
          <w:p w:rsidR="00500AD8" w:rsidRPr="00DF05C8" w:rsidRDefault="00500AD8" w:rsidP="005966E3">
            <w:pPr>
              <w:jc w:val="center"/>
              <w:rPr>
                <w:b/>
                <w:lang w:val="en-US"/>
              </w:rPr>
            </w:pPr>
          </w:p>
        </w:tc>
        <w:tc>
          <w:tcPr>
            <w:tcW w:w="1473" w:type="dxa"/>
            <w:hideMark/>
          </w:tcPr>
          <w:p w:rsidR="00500AD8" w:rsidRPr="00DF05C8" w:rsidRDefault="00500AD8" w:rsidP="005966E3">
            <w:pPr>
              <w:jc w:val="center"/>
              <w:rPr>
                <w:b/>
                <w:lang w:val="en-US"/>
              </w:rPr>
            </w:pPr>
            <w:r w:rsidRPr="00DF05C8">
              <w:rPr>
                <w:b/>
                <w:lang w:val="en-US"/>
              </w:rPr>
              <w:t>1 CC</w:t>
            </w:r>
          </w:p>
        </w:tc>
        <w:tc>
          <w:tcPr>
            <w:tcW w:w="1217" w:type="dxa"/>
            <w:hideMark/>
          </w:tcPr>
          <w:p w:rsidR="00500AD8" w:rsidRPr="00DF05C8" w:rsidRDefault="0044785F" w:rsidP="005966E3">
            <w:pPr>
              <w:spacing w:before="20" w:after="20"/>
              <w:jc w:val="center"/>
            </w:pPr>
            <w:r>
              <w:t>56</w:t>
            </w:r>
            <w:r w:rsidR="00500AD8" w:rsidRPr="00DF05C8">
              <w:t>%</w:t>
            </w:r>
          </w:p>
        </w:tc>
        <w:tc>
          <w:tcPr>
            <w:tcW w:w="1217" w:type="dxa"/>
            <w:hideMark/>
          </w:tcPr>
          <w:p w:rsidR="00500AD8" w:rsidRPr="00DF05C8" w:rsidRDefault="00500AD8" w:rsidP="005966E3">
            <w:pPr>
              <w:spacing w:before="20" w:after="20"/>
              <w:jc w:val="center"/>
            </w:pPr>
            <w:r w:rsidRPr="00DF05C8">
              <w:t>57%</w:t>
            </w:r>
          </w:p>
        </w:tc>
        <w:tc>
          <w:tcPr>
            <w:tcW w:w="1223" w:type="dxa"/>
            <w:hideMark/>
          </w:tcPr>
          <w:p w:rsidR="00500AD8" w:rsidRPr="00DF05C8" w:rsidRDefault="0044785F" w:rsidP="005966E3">
            <w:pPr>
              <w:spacing w:before="20" w:after="20"/>
              <w:jc w:val="center"/>
            </w:pPr>
            <w:r>
              <w:t>62</w:t>
            </w:r>
            <w:r w:rsidR="00500AD8" w:rsidRPr="00DF05C8">
              <w:t>%</w:t>
            </w:r>
          </w:p>
        </w:tc>
        <w:tc>
          <w:tcPr>
            <w:tcW w:w="1260" w:type="dxa"/>
            <w:hideMark/>
          </w:tcPr>
          <w:p w:rsidR="00500AD8" w:rsidRPr="00DF05C8" w:rsidRDefault="00500AD8" w:rsidP="005966E3">
            <w:pPr>
              <w:spacing w:before="20" w:after="20"/>
              <w:jc w:val="center"/>
            </w:pPr>
            <w:r w:rsidRPr="00DF05C8">
              <w:t>69%</w:t>
            </w:r>
          </w:p>
        </w:tc>
      </w:tr>
      <w:tr w:rsidR="00500AD8" w:rsidRPr="005834E1" w:rsidTr="005966E3">
        <w:trPr>
          <w:trHeight w:val="296"/>
          <w:jc w:val="center"/>
        </w:trPr>
        <w:tc>
          <w:tcPr>
            <w:tcW w:w="1530" w:type="dxa"/>
            <w:vMerge w:val="restart"/>
            <w:hideMark/>
          </w:tcPr>
          <w:p w:rsidR="00500AD8" w:rsidRPr="00DF05C8" w:rsidRDefault="00500AD8" w:rsidP="005966E3">
            <w:pPr>
              <w:jc w:val="center"/>
              <w:rPr>
                <w:b/>
                <w:lang w:val="en-US"/>
              </w:rPr>
            </w:pPr>
            <w:r w:rsidRPr="00DF05C8">
              <w:rPr>
                <w:b/>
                <w:lang w:val="en-US"/>
              </w:rPr>
              <w:t>TXOP 10ms</w:t>
            </w:r>
          </w:p>
        </w:tc>
        <w:tc>
          <w:tcPr>
            <w:tcW w:w="1473" w:type="dxa"/>
            <w:hideMark/>
          </w:tcPr>
          <w:p w:rsidR="00500AD8" w:rsidRPr="00DF05C8" w:rsidRDefault="00500AD8" w:rsidP="005966E3">
            <w:pPr>
              <w:jc w:val="center"/>
              <w:rPr>
                <w:b/>
                <w:lang w:val="en-US"/>
              </w:rPr>
            </w:pPr>
            <w:r w:rsidRPr="00DF05C8">
              <w:rPr>
                <w:b/>
                <w:lang w:val="en-US"/>
              </w:rPr>
              <w:t>16 CCs</w:t>
            </w:r>
          </w:p>
        </w:tc>
        <w:tc>
          <w:tcPr>
            <w:tcW w:w="1217" w:type="dxa"/>
            <w:hideMark/>
          </w:tcPr>
          <w:p w:rsidR="00500AD8" w:rsidRPr="00DF05C8" w:rsidRDefault="00500AD8" w:rsidP="005966E3">
            <w:pPr>
              <w:spacing w:before="20" w:after="20"/>
              <w:jc w:val="center"/>
            </w:pPr>
            <w:r w:rsidRPr="00DF05C8">
              <w:t>-*</w:t>
            </w:r>
          </w:p>
        </w:tc>
        <w:tc>
          <w:tcPr>
            <w:tcW w:w="1217" w:type="dxa"/>
            <w:hideMark/>
          </w:tcPr>
          <w:p w:rsidR="00500AD8" w:rsidRPr="00DF05C8" w:rsidRDefault="00500AD8" w:rsidP="005966E3">
            <w:pPr>
              <w:spacing w:before="20" w:after="20"/>
              <w:jc w:val="center"/>
            </w:pPr>
            <w:r w:rsidRPr="00DF05C8">
              <w:t>-*</w:t>
            </w:r>
          </w:p>
        </w:tc>
        <w:tc>
          <w:tcPr>
            <w:tcW w:w="1223" w:type="dxa"/>
            <w:hideMark/>
          </w:tcPr>
          <w:p w:rsidR="00500AD8" w:rsidRPr="00DF05C8" w:rsidRDefault="00500AD8" w:rsidP="005966E3">
            <w:pPr>
              <w:spacing w:before="20" w:after="20"/>
              <w:jc w:val="center"/>
            </w:pPr>
            <w:r w:rsidRPr="00DF05C8">
              <w:t>-*</w:t>
            </w:r>
          </w:p>
        </w:tc>
        <w:tc>
          <w:tcPr>
            <w:tcW w:w="1260" w:type="dxa"/>
            <w:hideMark/>
          </w:tcPr>
          <w:p w:rsidR="00500AD8" w:rsidRPr="00DF05C8" w:rsidRDefault="00500AD8" w:rsidP="005966E3">
            <w:pPr>
              <w:spacing w:before="20" w:after="20"/>
              <w:jc w:val="center"/>
            </w:pPr>
            <w:r w:rsidRPr="00DF05C8">
              <w:t>7%</w:t>
            </w:r>
          </w:p>
        </w:tc>
      </w:tr>
      <w:tr w:rsidR="00500AD8" w:rsidRPr="005834E1" w:rsidTr="005966E3">
        <w:trPr>
          <w:trHeight w:val="278"/>
          <w:jc w:val="center"/>
        </w:trPr>
        <w:tc>
          <w:tcPr>
            <w:tcW w:w="1530" w:type="dxa"/>
            <w:vMerge/>
            <w:hideMark/>
          </w:tcPr>
          <w:p w:rsidR="00500AD8" w:rsidRPr="005834E1" w:rsidRDefault="00500AD8" w:rsidP="005966E3">
            <w:pPr>
              <w:jc w:val="center"/>
              <w:rPr>
                <w:lang w:val="en-US"/>
              </w:rPr>
            </w:pPr>
          </w:p>
        </w:tc>
        <w:tc>
          <w:tcPr>
            <w:tcW w:w="1473" w:type="dxa"/>
            <w:hideMark/>
          </w:tcPr>
          <w:p w:rsidR="00500AD8" w:rsidRPr="00DF05C8" w:rsidRDefault="00500AD8" w:rsidP="005966E3">
            <w:pPr>
              <w:jc w:val="center"/>
              <w:rPr>
                <w:b/>
                <w:lang w:val="en-US"/>
              </w:rPr>
            </w:pPr>
            <w:r w:rsidRPr="00DF05C8">
              <w:rPr>
                <w:b/>
                <w:lang w:val="en-US"/>
              </w:rPr>
              <w:t>8 CCs</w:t>
            </w:r>
          </w:p>
        </w:tc>
        <w:tc>
          <w:tcPr>
            <w:tcW w:w="1217" w:type="dxa"/>
            <w:hideMark/>
          </w:tcPr>
          <w:p w:rsidR="00500AD8" w:rsidRPr="00DF05C8" w:rsidRDefault="0044785F" w:rsidP="005966E3">
            <w:pPr>
              <w:spacing w:before="20" w:after="20"/>
              <w:jc w:val="center"/>
            </w:pPr>
            <w:r>
              <w:t>-*</w:t>
            </w:r>
          </w:p>
        </w:tc>
        <w:tc>
          <w:tcPr>
            <w:tcW w:w="1217" w:type="dxa"/>
            <w:hideMark/>
          </w:tcPr>
          <w:p w:rsidR="00500AD8" w:rsidRPr="00DF05C8" w:rsidRDefault="00500AD8" w:rsidP="005966E3">
            <w:pPr>
              <w:spacing w:before="20" w:after="20"/>
              <w:jc w:val="center"/>
            </w:pPr>
            <w:r w:rsidRPr="00DF05C8">
              <w:t>14%</w:t>
            </w:r>
          </w:p>
        </w:tc>
        <w:tc>
          <w:tcPr>
            <w:tcW w:w="1223" w:type="dxa"/>
            <w:hideMark/>
          </w:tcPr>
          <w:p w:rsidR="00500AD8" w:rsidRPr="00DF05C8" w:rsidRDefault="0044785F" w:rsidP="005966E3">
            <w:pPr>
              <w:spacing w:before="20" w:after="20"/>
              <w:jc w:val="center"/>
            </w:pPr>
            <w:r>
              <w:t>34</w:t>
            </w:r>
            <w:r w:rsidR="00500AD8" w:rsidRPr="00DF05C8">
              <w:t>%</w:t>
            </w:r>
          </w:p>
        </w:tc>
        <w:tc>
          <w:tcPr>
            <w:tcW w:w="1260" w:type="dxa"/>
            <w:hideMark/>
          </w:tcPr>
          <w:p w:rsidR="00500AD8" w:rsidRPr="00DF05C8" w:rsidRDefault="00500AD8" w:rsidP="005966E3">
            <w:pPr>
              <w:spacing w:before="20" w:after="20"/>
              <w:jc w:val="center"/>
            </w:pPr>
            <w:r w:rsidRPr="00DF05C8">
              <w:t>33%</w:t>
            </w:r>
          </w:p>
        </w:tc>
      </w:tr>
      <w:tr w:rsidR="00500AD8" w:rsidRPr="005834E1" w:rsidTr="005966E3">
        <w:trPr>
          <w:trHeight w:val="242"/>
          <w:jc w:val="center"/>
        </w:trPr>
        <w:tc>
          <w:tcPr>
            <w:tcW w:w="1530" w:type="dxa"/>
            <w:vMerge/>
            <w:hideMark/>
          </w:tcPr>
          <w:p w:rsidR="00500AD8" w:rsidRPr="005834E1" w:rsidRDefault="00500AD8" w:rsidP="005966E3">
            <w:pPr>
              <w:jc w:val="center"/>
              <w:rPr>
                <w:lang w:val="en-US"/>
              </w:rPr>
            </w:pPr>
          </w:p>
        </w:tc>
        <w:tc>
          <w:tcPr>
            <w:tcW w:w="1473" w:type="dxa"/>
            <w:hideMark/>
          </w:tcPr>
          <w:p w:rsidR="00500AD8" w:rsidRPr="00DF05C8" w:rsidRDefault="00500AD8" w:rsidP="005966E3">
            <w:pPr>
              <w:jc w:val="center"/>
              <w:rPr>
                <w:b/>
                <w:lang w:val="en-US"/>
              </w:rPr>
            </w:pPr>
            <w:r w:rsidRPr="00DF05C8">
              <w:rPr>
                <w:b/>
                <w:lang w:val="en-US"/>
              </w:rPr>
              <w:t>4 CCs</w:t>
            </w:r>
          </w:p>
        </w:tc>
        <w:tc>
          <w:tcPr>
            <w:tcW w:w="1217" w:type="dxa"/>
            <w:hideMark/>
          </w:tcPr>
          <w:p w:rsidR="00500AD8" w:rsidRPr="00DF05C8" w:rsidRDefault="0044785F" w:rsidP="005966E3">
            <w:pPr>
              <w:spacing w:before="20" w:after="20"/>
              <w:jc w:val="center"/>
            </w:pPr>
            <w:r>
              <w:t>3</w:t>
            </w:r>
            <w:r w:rsidR="00500AD8" w:rsidRPr="00DF05C8">
              <w:t>7%</w:t>
            </w:r>
          </w:p>
        </w:tc>
        <w:tc>
          <w:tcPr>
            <w:tcW w:w="1217" w:type="dxa"/>
            <w:hideMark/>
          </w:tcPr>
          <w:p w:rsidR="00500AD8" w:rsidRPr="00DF05C8" w:rsidRDefault="00500AD8" w:rsidP="005966E3">
            <w:pPr>
              <w:spacing w:before="20" w:after="20"/>
              <w:jc w:val="center"/>
            </w:pPr>
            <w:r w:rsidRPr="00DF05C8">
              <w:t>32%</w:t>
            </w:r>
          </w:p>
        </w:tc>
        <w:tc>
          <w:tcPr>
            <w:tcW w:w="1223" w:type="dxa"/>
            <w:hideMark/>
          </w:tcPr>
          <w:p w:rsidR="00500AD8" w:rsidRPr="00DF05C8" w:rsidRDefault="0044785F" w:rsidP="005966E3">
            <w:pPr>
              <w:spacing w:before="20" w:after="20"/>
              <w:jc w:val="center"/>
            </w:pPr>
            <w:r>
              <w:t>46</w:t>
            </w:r>
            <w:r w:rsidR="00500AD8" w:rsidRPr="00DF05C8">
              <w:t>%</w:t>
            </w:r>
          </w:p>
        </w:tc>
        <w:tc>
          <w:tcPr>
            <w:tcW w:w="1260" w:type="dxa"/>
            <w:hideMark/>
          </w:tcPr>
          <w:p w:rsidR="00500AD8" w:rsidRPr="00DF05C8" w:rsidRDefault="00500AD8" w:rsidP="005966E3">
            <w:pPr>
              <w:spacing w:before="20" w:after="20"/>
              <w:jc w:val="center"/>
            </w:pPr>
            <w:r w:rsidRPr="00DF05C8">
              <w:t>47%</w:t>
            </w:r>
          </w:p>
        </w:tc>
      </w:tr>
      <w:tr w:rsidR="00500AD8" w:rsidRPr="005834E1" w:rsidTr="005966E3">
        <w:trPr>
          <w:trHeight w:val="224"/>
          <w:jc w:val="center"/>
        </w:trPr>
        <w:tc>
          <w:tcPr>
            <w:tcW w:w="1530" w:type="dxa"/>
            <w:vMerge/>
            <w:hideMark/>
          </w:tcPr>
          <w:p w:rsidR="00500AD8" w:rsidRPr="005834E1" w:rsidRDefault="00500AD8" w:rsidP="005966E3">
            <w:pPr>
              <w:jc w:val="center"/>
              <w:rPr>
                <w:lang w:val="en-US"/>
              </w:rPr>
            </w:pPr>
          </w:p>
        </w:tc>
        <w:tc>
          <w:tcPr>
            <w:tcW w:w="1473" w:type="dxa"/>
            <w:hideMark/>
          </w:tcPr>
          <w:p w:rsidR="00500AD8" w:rsidRPr="00DF05C8" w:rsidRDefault="00500AD8" w:rsidP="005966E3">
            <w:pPr>
              <w:jc w:val="center"/>
              <w:rPr>
                <w:b/>
                <w:lang w:val="en-US"/>
              </w:rPr>
            </w:pPr>
            <w:r w:rsidRPr="00DF05C8">
              <w:rPr>
                <w:b/>
                <w:lang w:val="en-US"/>
              </w:rPr>
              <w:t>2 CCs</w:t>
            </w:r>
          </w:p>
        </w:tc>
        <w:tc>
          <w:tcPr>
            <w:tcW w:w="1217" w:type="dxa"/>
            <w:hideMark/>
          </w:tcPr>
          <w:p w:rsidR="00500AD8" w:rsidRPr="00DF05C8" w:rsidRDefault="0044785F" w:rsidP="005966E3">
            <w:pPr>
              <w:spacing w:before="20" w:after="20"/>
              <w:jc w:val="center"/>
            </w:pPr>
            <w:r>
              <w:t>46</w:t>
            </w:r>
            <w:r w:rsidR="00500AD8" w:rsidRPr="00DF05C8">
              <w:t>%</w:t>
            </w:r>
          </w:p>
        </w:tc>
        <w:tc>
          <w:tcPr>
            <w:tcW w:w="1217" w:type="dxa"/>
            <w:hideMark/>
          </w:tcPr>
          <w:p w:rsidR="00500AD8" w:rsidRPr="00DF05C8" w:rsidRDefault="00500AD8" w:rsidP="005966E3">
            <w:pPr>
              <w:spacing w:before="20" w:after="20"/>
              <w:jc w:val="center"/>
            </w:pPr>
            <w:r w:rsidRPr="00DF05C8">
              <w:t>43%</w:t>
            </w:r>
          </w:p>
        </w:tc>
        <w:tc>
          <w:tcPr>
            <w:tcW w:w="1223" w:type="dxa"/>
            <w:hideMark/>
          </w:tcPr>
          <w:p w:rsidR="00500AD8" w:rsidRPr="00DF05C8" w:rsidRDefault="0044785F" w:rsidP="005966E3">
            <w:pPr>
              <w:spacing w:before="20" w:after="20"/>
              <w:jc w:val="center"/>
            </w:pPr>
            <w:r>
              <w:t>54</w:t>
            </w:r>
            <w:r w:rsidR="00500AD8" w:rsidRPr="00DF05C8">
              <w:t>%</w:t>
            </w:r>
          </w:p>
        </w:tc>
        <w:tc>
          <w:tcPr>
            <w:tcW w:w="1260" w:type="dxa"/>
            <w:hideMark/>
          </w:tcPr>
          <w:p w:rsidR="00500AD8" w:rsidRPr="00DF05C8" w:rsidRDefault="00500AD8" w:rsidP="005966E3">
            <w:pPr>
              <w:spacing w:before="20" w:after="20"/>
              <w:jc w:val="center"/>
            </w:pPr>
            <w:r w:rsidRPr="00DF05C8">
              <w:t>56%</w:t>
            </w:r>
          </w:p>
        </w:tc>
      </w:tr>
      <w:tr w:rsidR="00500AD8" w:rsidRPr="005834E1" w:rsidTr="005966E3">
        <w:trPr>
          <w:trHeight w:val="64"/>
          <w:jc w:val="center"/>
        </w:trPr>
        <w:tc>
          <w:tcPr>
            <w:tcW w:w="1530" w:type="dxa"/>
            <w:vMerge/>
            <w:hideMark/>
          </w:tcPr>
          <w:p w:rsidR="00500AD8" w:rsidRPr="005834E1" w:rsidRDefault="00500AD8" w:rsidP="005966E3">
            <w:pPr>
              <w:jc w:val="center"/>
              <w:rPr>
                <w:lang w:val="en-US"/>
              </w:rPr>
            </w:pPr>
          </w:p>
        </w:tc>
        <w:tc>
          <w:tcPr>
            <w:tcW w:w="1473" w:type="dxa"/>
            <w:hideMark/>
          </w:tcPr>
          <w:p w:rsidR="00500AD8" w:rsidRPr="00DF05C8" w:rsidRDefault="00500AD8" w:rsidP="005966E3">
            <w:pPr>
              <w:jc w:val="center"/>
              <w:rPr>
                <w:b/>
                <w:lang w:val="en-US"/>
              </w:rPr>
            </w:pPr>
            <w:r w:rsidRPr="00DF05C8">
              <w:rPr>
                <w:b/>
                <w:lang w:val="en-US"/>
              </w:rPr>
              <w:t>1 CC</w:t>
            </w:r>
          </w:p>
        </w:tc>
        <w:tc>
          <w:tcPr>
            <w:tcW w:w="1217" w:type="dxa"/>
            <w:hideMark/>
          </w:tcPr>
          <w:p w:rsidR="00500AD8" w:rsidRPr="00DF05C8" w:rsidRDefault="0044785F" w:rsidP="005966E3">
            <w:pPr>
              <w:spacing w:before="20" w:after="20"/>
              <w:jc w:val="center"/>
            </w:pPr>
            <w:r>
              <w:t>51</w:t>
            </w:r>
            <w:r w:rsidR="00500AD8" w:rsidRPr="00DF05C8">
              <w:t>%</w:t>
            </w:r>
          </w:p>
        </w:tc>
        <w:tc>
          <w:tcPr>
            <w:tcW w:w="1217" w:type="dxa"/>
            <w:hideMark/>
          </w:tcPr>
          <w:p w:rsidR="00500AD8" w:rsidRPr="00DF05C8" w:rsidRDefault="00500AD8" w:rsidP="005966E3">
            <w:pPr>
              <w:spacing w:before="20" w:after="20"/>
              <w:jc w:val="center"/>
            </w:pPr>
            <w:r w:rsidRPr="00DF05C8">
              <w:t>51%</w:t>
            </w:r>
          </w:p>
        </w:tc>
        <w:tc>
          <w:tcPr>
            <w:tcW w:w="1223" w:type="dxa"/>
            <w:hideMark/>
          </w:tcPr>
          <w:p w:rsidR="00500AD8" w:rsidRPr="00DF05C8" w:rsidRDefault="0044785F" w:rsidP="005966E3">
            <w:pPr>
              <w:spacing w:before="20" w:after="20"/>
              <w:jc w:val="center"/>
            </w:pPr>
            <w:r>
              <w:t>58</w:t>
            </w:r>
            <w:r w:rsidR="00500AD8" w:rsidRPr="00DF05C8">
              <w:t>%</w:t>
            </w:r>
          </w:p>
        </w:tc>
        <w:tc>
          <w:tcPr>
            <w:tcW w:w="1260" w:type="dxa"/>
            <w:hideMark/>
          </w:tcPr>
          <w:p w:rsidR="00500AD8" w:rsidRPr="00DF05C8" w:rsidRDefault="00500AD8" w:rsidP="005966E3">
            <w:pPr>
              <w:spacing w:before="20" w:after="20"/>
              <w:jc w:val="center"/>
            </w:pPr>
            <w:r w:rsidRPr="00DF05C8">
              <w:t>64%</w:t>
            </w:r>
          </w:p>
        </w:tc>
      </w:tr>
    </w:tbl>
    <w:p w:rsidR="00500AD8" w:rsidRDefault="00500AD8" w:rsidP="00500AD8">
      <w:pPr>
        <w:ind w:left="720" w:right="600"/>
        <w:jc w:val="right"/>
      </w:pPr>
      <w:r>
        <w:rPr>
          <w:rFonts w:eastAsia="Calibri"/>
          <w:sz w:val="24"/>
          <w:szCs w:val="24"/>
          <w:lang w:val="en-US" w:eastAsia="en-US"/>
        </w:rPr>
        <w:t xml:space="preserve">    </w:t>
      </w:r>
      <w:r w:rsidRPr="00DF05C8">
        <w:rPr>
          <w:rFonts w:eastAsia="Calibri"/>
          <w:sz w:val="24"/>
          <w:szCs w:val="24"/>
          <w:lang w:val="en-US" w:eastAsia="en-US"/>
        </w:rPr>
        <w:t>*</w:t>
      </w:r>
      <w:r>
        <w:t xml:space="preserve"> Blocking probability can never go below 1%</w:t>
      </w:r>
    </w:p>
    <w:p w:rsidR="00500AD8" w:rsidRPr="00514F58" w:rsidRDefault="00500AD8" w:rsidP="00514F58"/>
    <w:sectPr w:rsidR="00500AD8" w:rsidRPr="00514F58" w:rsidSect="005A752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3FDC" w:rsidRDefault="00E03FDC" w:rsidP="000C2022">
      <w:pPr>
        <w:spacing w:after="0"/>
      </w:pPr>
      <w:r>
        <w:separator/>
      </w:r>
    </w:p>
  </w:endnote>
  <w:endnote w:type="continuationSeparator" w:id="0">
    <w:p w:rsidR="00E03FDC" w:rsidRDefault="00E03FDC" w:rsidP="000C20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3FDC" w:rsidRDefault="00E03FDC" w:rsidP="000C2022">
      <w:pPr>
        <w:spacing w:after="0"/>
      </w:pPr>
      <w:r>
        <w:separator/>
      </w:r>
    </w:p>
  </w:footnote>
  <w:footnote w:type="continuationSeparator" w:id="0">
    <w:p w:rsidR="00E03FDC" w:rsidRDefault="00E03FDC" w:rsidP="000C20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5F77FC0"/>
    <w:multiLevelType w:val="hybridMultilevel"/>
    <w:tmpl w:val="67A214BC"/>
    <w:lvl w:ilvl="0" w:tplc="720CB8D2">
      <w:start w:val="1"/>
      <w:numFmt w:val="bullet"/>
      <w:lvlText w:val="•"/>
      <w:lvlJc w:val="left"/>
      <w:pPr>
        <w:ind w:left="420" w:hanging="420"/>
      </w:pPr>
      <w:rPr>
        <w:rFonts w:ascii="Arial" w:hAnsi="Arial" w:cs="Times New Roman"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6883C97"/>
    <w:multiLevelType w:val="hybridMultilevel"/>
    <w:tmpl w:val="CE063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6CF3DB1"/>
    <w:multiLevelType w:val="hybridMultilevel"/>
    <w:tmpl w:val="D5721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CD0345"/>
    <w:multiLevelType w:val="hybridMultilevel"/>
    <w:tmpl w:val="5824BB7A"/>
    <w:lvl w:ilvl="0" w:tplc="BA26E6AC">
      <w:start w:val="1"/>
      <w:numFmt w:val="bullet"/>
      <w:lvlText w:val="•"/>
      <w:lvlJc w:val="left"/>
      <w:pPr>
        <w:tabs>
          <w:tab w:val="num" w:pos="720"/>
        </w:tabs>
        <w:ind w:left="720" w:hanging="360"/>
      </w:pPr>
      <w:rPr>
        <w:rFonts w:ascii="Arial" w:hAnsi="Arial" w:cs="Times New Roman" w:hint="default"/>
      </w:rPr>
    </w:lvl>
    <w:lvl w:ilvl="1" w:tplc="DA72F150">
      <w:start w:val="3443"/>
      <w:numFmt w:val="bullet"/>
      <w:lvlText w:val="–"/>
      <w:lvlJc w:val="left"/>
      <w:pPr>
        <w:tabs>
          <w:tab w:val="num" w:pos="1440"/>
        </w:tabs>
        <w:ind w:left="1440" w:hanging="360"/>
      </w:pPr>
      <w:rPr>
        <w:rFonts w:ascii="Arial" w:hAnsi="Arial" w:cs="Times New Roman" w:hint="default"/>
      </w:rPr>
    </w:lvl>
    <w:lvl w:ilvl="2" w:tplc="33E8D274">
      <w:start w:val="1"/>
      <w:numFmt w:val="bullet"/>
      <w:lvlText w:val="•"/>
      <w:lvlJc w:val="left"/>
      <w:pPr>
        <w:tabs>
          <w:tab w:val="num" w:pos="2160"/>
        </w:tabs>
        <w:ind w:left="2160" w:hanging="360"/>
      </w:pPr>
      <w:rPr>
        <w:rFonts w:ascii="Arial" w:hAnsi="Arial" w:cs="Times New Roman" w:hint="default"/>
      </w:rPr>
    </w:lvl>
    <w:lvl w:ilvl="3" w:tplc="4F14491C">
      <w:start w:val="1"/>
      <w:numFmt w:val="bullet"/>
      <w:lvlText w:val="•"/>
      <w:lvlJc w:val="left"/>
      <w:pPr>
        <w:tabs>
          <w:tab w:val="num" w:pos="2880"/>
        </w:tabs>
        <w:ind w:left="2880" w:hanging="360"/>
      </w:pPr>
      <w:rPr>
        <w:rFonts w:ascii="Arial" w:hAnsi="Arial" w:cs="Times New Roman" w:hint="default"/>
      </w:rPr>
    </w:lvl>
    <w:lvl w:ilvl="4" w:tplc="37C01868">
      <w:start w:val="1"/>
      <w:numFmt w:val="bullet"/>
      <w:lvlText w:val="•"/>
      <w:lvlJc w:val="left"/>
      <w:pPr>
        <w:tabs>
          <w:tab w:val="num" w:pos="3600"/>
        </w:tabs>
        <w:ind w:left="3600" w:hanging="360"/>
      </w:pPr>
      <w:rPr>
        <w:rFonts w:ascii="Arial" w:hAnsi="Arial" w:cs="Times New Roman" w:hint="default"/>
      </w:rPr>
    </w:lvl>
    <w:lvl w:ilvl="5" w:tplc="D5F0D0CE">
      <w:start w:val="1"/>
      <w:numFmt w:val="bullet"/>
      <w:lvlText w:val="•"/>
      <w:lvlJc w:val="left"/>
      <w:pPr>
        <w:tabs>
          <w:tab w:val="num" w:pos="4320"/>
        </w:tabs>
        <w:ind w:left="4320" w:hanging="360"/>
      </w:pPr>
      <w:rPr>
        <w:rFonts w:ascii="Arial" w:hAnsi="Arial" w:cs="Times New Roman" w:hint="default"/>
      </w:rPr>
    </w:lvl>
    <w:lvl w:ilvl="6" w:tplc="E71EECBA">
      <w:start w:val="1"/>
      <w:numFmt w:val="bullet"/>
      <w:lvlText w:val="•"/>
      <w:lvlJc w:val="left"/>
      <w:pPr>
        <w:tabs>
          <w:tab w:val="num" w:pos="5040"/>
        </w:tabs>
        <w:ind w:left="5040" w:hanging="360"/>
      </w:pPr>
      <w:rPr>
        <w:rFonts w:ascii="Arial" w:hAnsi="Arial" w:cs="Times New Roman" w:hint="default"/>
      </w:rPr>
    </w:lvl>
    <w:lvl w:ilvl="7" w:tplc="433E3260">
      <w:start w:val="1"/>
      <w:numFmt w:val="bullet"/>
      <w:lvlText w:val="•"/>
      <w:lvlJc w:val="left"/>
      <w:pPr>
        <w:tabs>
          <w:tab w:val="num" w:pos="5760"/>
        </w:tabs>
        <w:ind w:left="5760" w:hanging="360"/>
      </w:pPr>
      <w:rPr>
        <w:rFonts w:ascii="Arial" w:hAnsi="Arial" w:cs="Times New Roman" w:hint="default"/>
      </w:rPr>
    </w:lvl>
    <w:lvl w:ilvl="8" w:tplc="11D2FC30">
      <w:start w:val="1"/>
      <w:numFmt w:val="bullet"/>
      <w:lvlText w:val="•"/>
      <w:lvlJc w:val="left"/>
      <w:pPr>
        <w:tabs>
          <w:tab w:val="num" w:pos="6480"/>
        </w:tabs>
        <w:ind w:left="6480" w:hanging="360"/>
      </w:pPr>
      <w:rPr>
        <w:rFonts w:ascii="Arial" w:hAnsi="Arial" w:cs="Times New Roman" w:hint="default"/>
      </w:rPr>
    </w:lvl>
  </w:abstractNum>
  <w:abstractNum w:abstractNumId="6">
    <w:nsid w:val="1D335C1E"/>
    <w:multiLevelType w:val="hybridMultilevel"/>
    <w:tmpl w:val="7512CE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26A3781A"/>
    <w:multiLevelType w:val="hybridMultilevel"/>
    <w:tmpl w:val="A1CC8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395BAE"/>
    <w:multiLevelType w:val="hybridMultilevel"/>
    <w:tmpl w:val="DD2444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F32E1D"/>
    <w:multiLevelType w:val="hybridMultilevel"/>
    <w:tmpl w:val="6F58F7FA"/>
    <w:lvl w:ilvl="0" w:tplc="CD7814BE">
      <w:start w:val="1"/>
      <w:numFmt w:val="bullet"/>
      <w:lvlText w:val=""/>
      <w:lvlJc w:val="left"/>
      <w:pPr>
        <w:tabs>
          <w:tab w:val="num" w:pos="1080"/>
        </w:tabs>
        <w:ind w:left="1080" w:hanging="360"/>
      </w:pPr>
      <w:rPr>
        <w:rFonts w:ascii="Symbol" w:hAnsi="Symbol" w:hint="default"/>
        <w:color w:val="auto"/>
      </w:rPr>
    </w:lvl>
    <w:lvl w:ilvl="1" w:tplc="CD7814BE">
      <w:start w:val="1"/>
      <w:numFmt w:val="bullet"/>
      <w:lvlText w:val=""/>
      <w:lvlJc w:val="left"/>
      <w:pPr>
        <w:tabs>
          <w:tab w:val="num" w:pos="1080"/>
        </w:tabs>
        <w:ind w:left="1080" w:hanging="360"/>
      </w:pPr>
      <w:rPr>
        <w:rFonts w:ascii="Symbol" w:hAnsi="Symbol"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0844B1"/>
    <w:multiLevelType w:val="hybridMultilevel"/>
    <w:tmpl w:val="011AB2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366165E1"/>
    <w:multiLevelType w:val="hybridMultilevel"/>
    <w:tmpl w:val="8200D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AC5440"/>
    <w:multiLevelType w:val="hybridMultilevel"/>
    <w:tmpl w:val="DFFE9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3D464F3"/>
    <w:multiLevelType w:val="hybridMultilevel"/>
    <w:tmpl w:val="138E9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792524"/>
    <w:multiLevelType w:val="hybridMultilevel"/>
    <w:tmpl w:val="03786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CD4E8E"/>
    <w:multiLevelType w:val="hybridMultilevel"/>
    <w:tmpl w:val="FFA27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150D77"/>
    <w:multiLevelType w:val="hybridMultilevel"/>
    <w:tmpl w:val="5DC23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340B7"/>
    <w:multiLevelType w:val="hybridMultilevel"/>
    <w:tmpl w:val="FB848BB8"/>
    <w:lvl w:ilvl="0" w:tplc="887C81DC">
      <w:start w:val="1"/>
      <w:numFmt w:val="bullet"/>
      <w:lvlText w:val="›"/>
      <w:lvlJc w:val="left"/>
      <w:pPr>
        <w:tabs>
          <w:tab w:val="num" w:pos="360"/>
        </w:tabs>
        <w:ind w:left="360" w:hanging="360"/>
      </w:pPr>
      <w:rPr>
        <w:rFonts w:ascii="Arial" w:hAnsi="Arial" w:hint="default"/>
      </w:rPr>
    </w:lvl>
    <w:lvl w:ilvl="1" w:tplc="3C7E2E74">
      <w:start w:val="2600"/>
      <w:numFmt w:val="bullet"/>
      <w:lvlText w:val="–"/>
      <w:lvlJc w:val="left"/>
      <w:pPr>
        <w:tabs>
          <w:tab w:val="num" w:pos="1080"/>
        </w:tabs>
        <w:ind w:left="1080" w:hanging="360"/>
      </w:pPr>
      <w:rPr>
        <w:rFonts w:ascii="Ericsson Capital TT" w:hAnsi="Ericsson Capital TT" w:hint="default"/>
      </w:rPr>
    </w:lvl>
    <w:lvl w:ilvl="2" w:tplc="95CC4B2A">
      <w:start w:val="1"/>
      <w:numFmt w:val="bullet"/>
      <w:lvlText w:val="›"/>
      <w:lvlJc w:val="left"/>
      <w:pPr>
        <w:tabs>
          <w:tab w:val="num" w:pos="1800"/>
        </w:tabs>
        <w:ind w:left="1800" w:hanging="360"/>
      </w:pPr>
      <w:rPr>
        <w:rFonts w:ascii="Arial" w:hAnsi="Arial" w:hint="default"/>
      </w:rPr>
    </w:lvl>
    <w:lvl w:ilvl="3" w:tplc="FB4AD2E4" w:tentative="1">
      <w:start w:val="1"/>
      <w:numFmt w:val="bullet"/>
      <w:lvlText w:val="›"/>
      <w:lvlJc w:val="left"/>
      <w:pPr>
        <w:tabs>
          <w:tab w:val="num" w:pos="2520"/>
        </w:tabs>
        <w:ind w:left="2520" w:hanging="360"/>
      </w:pPr>
      <w:rPr>
        <w:rFonts w:ascii="Arial" w:hAnsi="Arial" w:hint="default"/>
      </w:rPr>
    </w:lvl>
    <w:lvl w:ilvl="4" w:tplc="F5BCB67C" w:tentative="1">
      <w:start w:val="1"/>
      <w:numFmt w:val="bullet"/>
      <w:lvlText w:val="›"/>
      <w:lvlJc w:val="left"/>
      <w:pPr>
        <w:tabs>
          <w:tab w:val="num" w:pos="3240"/>
        </w:tabs>
        <w:ind w:left="3240" w:hanging="360"/>
      </w:pPr>
      <w:rPr>
        <w:rFonts w:ascii="Arial" w:hAnsi="Arial" w:hint="default"/>
      </w:rPr>
    </w:lvl>
    <w:lvl w:ilvl="5" w:tplc="630402DE" w:tentative="1">
      <w:start w:val="1"/>
      <w:numFmt w:val="bullet"/>
      <w:lvlText w:val="›"/>
      <w:lvlJc w:val="left"/>
      <w:pPr>
        <w:tabs>
          <w:tab w:val="num" w:pos="3960"/>
        </w:tabs>
        <w:ind w:left="3960" w:hanging="360"/>
      </w:pPr>
      <w:rPr>
        <w:rFonts w:ascii="Arial" w:hAnsi="Arial" w:hint="default"/>
      </w:rPr>
    </w:lvl>
    <w:lvl w:ilvl="6" w:tplc="57AA85D2" w:tentative="1">
      <w:start w:val="1"/>
      <w:numFmt w:val="bullet"/>
      <w:lvlText w:val="›"/>
      <w:lvlJc w:val="left"/>
      <w:pPr>
        <w:tabs>
          <w:tab w:val="num" w:pos="4680"/>
        </w:tabs>
        <w:ind w:left="4680" w:hanging="360"/>
      </w:pPr>
      <w:rPr>
        <w:rFonts w:ascii="Arial" w:hAnsi="Arial" w:hint="default"/>
      </w:rPr>
    </w:lvl>
    <w:lvl w:ilvl="7" w:tplc="2A9C237C" w:tentative="1">
      <w:start w:val="1"/>
      <w:numFmt w:val="bullet"/>
      <w:lvlText w:val="›"/>
      <w:lvlJc w:val="left"/>
      <w:pPr>
        <w:tabs>
          <w:tab w:val="num" w:pos="5400"/>
        </w:tabs>
        <w:ind w:left="5400" w:hanging="360"/>
      </w:pPr>
      <w:rPr>
        <w:rFonts w:ascii="Arial" w:hAnsi="Arial" w:hint="default"/>
      </w:rPr>
    </w:lvl>
    <w:lvl w:ilvl="8" w:tplc="AB78CC96" w:tentative="1">
      <w:start w:val="1"/>
      <w:numFmt w:val="bullet"/>
      <w:lvlText w:val="›"/>
      <w:lvlJc w:val="left"/>
      <w:pPr>
        <w:tabs>
          <w:tab w:val="num" w:pos="6120"/>
        </w:tabs>
        <w:ind w:left="6120" w:hanging="360"/>
      </w:pPr>
      <w:rPr>
        <w:rFonts w:ascii="Arial" w:hAnsi="Arial" w:hint="default"/>
      </w:rPr>
    </w:lvl>
  </w:abstractNum>
  <w:abstractNum w:abstractNumId="19">
    <w:nsid w:val="56EF5B73"/>
    <w:multiLevelType w:val="hybridMultilevel"/>
    <w:tmpl w:val="423C8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064340"/>
    <w:multiLevelType w:val="hybridMultilevel"/>
    <w:tmpl w:val="3A6A68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CD46F7"/>
    <w:multiLevelType w:val="hybridMultilevel"/>
    <w:tmpl w:val="52BAF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F41F6F"/>
    <w:multiLevelType w:val="hybridMultilevel"/>
    <w:tmpl w:val="5F1E7D5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39435F9"/>
    <w:multiLevelType w:val="hybridMultilevel"/>
    <w:tmpl w:val="80E6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651DBC"/>
    <w:multiLevelType w:val="hybridMultilevel"/>
    <w:tmpl w:val="D8E8D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76367A6"/>
    <w:multiLevelType w:val="hybridMultilevel"/>
    <w:tmpl w:val="213A2A8C"/>
    <w:lvl w:ilvl="0" w:tplc="8A44F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C957DB"/>
    <w:multiLevelType w:val="hybridMultilevel"/>
    <w:tmpl w:val="99607EC4"/>
    <w:lvl w:ilvl="0" w:tplc="8A44F8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10"/>
  </w:num>
  <w:num w:numId="4">
    <w:abstractNumId w:val="6"/>
  </w:num>
  <w:num w:numId="5">
    <w:abstractNumId w:val="20"/>
  </w:num>
  <w:num w:numId="6">
    <w:abstractNumId w:val="4"/>
  </w:num>
  <w:num w:numId="7">
    <w:abstractNumId w:val="26"/>
  </w:num>
  <w:num w:numId="8">
    <w:abstractNumId w:val="18"/>
  </w:num>
  <w:num w:numId="9">
    <w:abstractNumId w:val="23"/>
  </w:num>
  <w:num w:numId="10">
    <w:abstractNumId w:val="7"/>
  </w:num>
  <w:num w:numId="11">
    <w:abstractNumId w:val="19"/>
  </w:num>
  <w:num w:numId="12">
    <w:abstractNumId w:val="8"/>
  </w:num>
  <w:num w:numId="13">
    <w:abstractNumId w:val="3"/>
  </w:num>
  <w:num w:numId="14">
    <w:abstractNumId w:val="1"/>
  </w:num>
  <w:num w:numId="15">
    <w:abstractNumId w:val="5"/>
  </w:num>
  <w:num w:numId="16">
    <w:abstractNumId w:val="1"/>
  </w:num>
  <w:num w:numId="17">
    <w:abstractNumId w:val="24"/>
  </w:num>
  <w:num w:numId="18">
    <w:abstractNumId w:val="12"/>
  </w:num>
  <w:num w:numId="19">
    <w:abstractNumId w:val="15"/>
  </w:num>
  <w:num w:numId="20">
    <w:abstractNumId w:val="9"/>
  </w:num>
  <w:num w:numId="21">
    <w:abstractNumId w:val="28"/>
  </w:num>
  <w:num w:numId="22">
    <w:abstractNumId w:val="27"/>
  </w:num>
  <w:num w:numId="23">
    <w:abstractNumId w:val="16"/>
  </w:num>
  <w:num w:numId="24">
    <w:abstractNumId w:val="22"/>
  </w:num>
  <w:num w:numId="25">
    <w:abstractNumId w:val="14"/>
  </w:num>
  <w:num w:numId="26">
    <w:abstractNumId w:val="2"/>
  </w:num>
  <w:num w:numId="27">
    <w:abstractNumId w:val="21"/>
  </w:num>
  <w:num w:numId="28">
    <w:abstractNumId w:val="17"/>
  </w:num>
  <w:num w:numId="29">
    <w:abstractNumId w:val="13"/>
  </w:num>
  <w:num w:numId="30">
    <w:abstractNumId w:val="11"/>
  </w:num>
  <w:num w:numId="31">
    <w:abstractNumId w:val="25"/>
  </w:num>
  <w:num w:numId="3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E6C"/>
    <w:rsid w:val="00002BBE"/>
    <w:rsid w:val="00006C28"/>
    <w:rsid w:val="00006F31"/>
    <w:rsid w:val="00010190"/>
    <w:rsid w:val="00012223"/>
    <w:rsid w:val="00015731"/>
    <w:rsid w:val="00015C65"/>
    <w:rsid w:val="00017365"/>
    <w:rsid w:val="00021C89"/>
    <w:rsid w:val="00023C54"/>
    <w:rsid w:val="00023CF5"/>
    <w:rsid w:val="000248B1"/>
    <w:rsid w:val="00024DA7"/>
    <w:rsid w:val="00025FD9"/>
    <w:rsid w:val="000323DE"/>
    <w:rsid w:val="00036EFD"/>
    <w:rsid w:val="000374CB"/>
    <w:rsid w:val="00037EDB"/>
    <w:rsid w:val="00042674"/>
    <w:rsid w:val="000434E5"/>
    <w:rsid w:val="0004502C"/>
    <w:rsid w:val="00045A96"/>
    <w:rsid w:val="000462B9"/>
    <w:rsid w:val="000509AD"/>
    <w:rsid w:val="000513DB"/>
    <w:rsid w:val="00051FFB"/>
    <w:rsid w:val="00052C52"/>
    <w:rsid w:val="000545C6"/>
    <w:rsid w:val="00055357"/>
    <w:rsid w:val="00055B89"/>
    <w:rsid w:val="000575B0"/>
    <w:rsid w:val="00063371"/>
    <w:rsid w:val="000661EF"/>
    <w:rsid w:val="00066A5A"/>
    <w:rsid w:val="00066C59"/>
    <w:rsid w:val="00070520"/>
    <w:rsid w:val="00070AE9"/>
    <w:rsid w:val="0007460E"/>
    <w:rsid w:val="0007476D"/>
    <w:rsid w:val="00076361"/>
    <w:rsid w:val="000766CC"/>
    <w:rsid w:val="00080E20"/>
    <w:rsid w:val="00082D5A"/>
    <w:rsid w:val="00090129"/>
    <w:rsid w:val="0009036B"/>
    <w:rsid w:val="000903EE"/>
    <w:rsid w:val="000916FA"/>
    <w:rsid w:val="0009172B"/>
    <w:rsid w:val="00093DBF"/>
    <w:rsid w:val="000955EF"/>
    <w:rsid w:val="000A0A13"/>
    <w:rsid w:val="000A375A"/>
    <w:rsid w:val="000A3CBB"/>
    <w:rsid w:val="000A6D95"/>
    <w:rsid w:val="000A716A"/>
    <w:rsid w:val="000B1A2C"/>
    <w:rsid w:val="000B3E0F"/>
    <w:rsid w:val="000C017F"/>
    <w:rsid w:val="000C1373"/>
    <w:rsid w:val="000C2022"/>
    <w:rsid w:val="000C553D"/>
    <w:rsid w:val="000C61AA"/>
    <w:rsid w:val="000C7D43"/>
    <w:rsid w:val="000D1369"/>
    <w:rsid w:val="000D605E"/>
    <w:rsid w:val="000D799A"/>
    <w:rsid w:val="000E08C9"/>
    <w:rsid w:val="000F2A38"/>
    <w:rsid w:val="000F2C29"/>
    <w:rsid w:val="000F6096"/>
    <w:rsid w:val="000F7999"/>
    <w:rsid w:val="00100788"/>
    <w:rsid w:val="00102793"/>
    <w:rsid w:val="00106BC2"/>
    <w:rsid w:val="0011354F"/>
    <w:rsid w:val="00114680"/>
    <w:rsid w:val="00120819"/>
    <w:rsid w:val="001219E0"/>
    <w:rsid w:val="00122B17"/>
    <w:rsid w:val="00122E62"/>
    <w:rsid w:val="00132821"/>
    <w:rsid w:val="001352A3"/>
    <w:rsid w:val="001423F6"/>
    <w:rsid w:val="00143E8C"/>
    <w:rsid w:val="00145CB4"/>
    <w:rsid w:val="00145D1F"/>
    <w:rsid w:val="00145E4A"/>
    <w:rsid w:val="00150D13"/>
    <w:rsid w:val="00151103"/>
    <w:rsid w:val="00154016"/>
    <w:rsid w:val="00156079"/>
    <w:rsid w:val="001622E7"/>
    <w:rsid w:val="00165095"/>
    <w:rsid w:val="00171752"/>
    <w:rsid w:val="00171C9F"/>
    <w:rsid w:val="00172149"/>
    <w:rsid w:val="00172C95"/>
    <w:rsid w:val="0017317C"/>
    <w:rsid w:val="001758D6"/>
    <w:rsid w:val="00176033"/>
    <w:rsid w:val="00176F4D"/>
    <w:rsid w:val="001811DE"/>
    <w:rsid w:val="00181D11"/>
    <w:rsid w:val="00183454"/>
    <w:rsid w:val="001849E3"/>
    <w:rsid w:val="00185F0A"/>
    <w:rsid w:val="00195254"/>
    <w:rsid w:val="00196436"/>
    <w:rsid w:val="001A16DB"/>
    <w:rsid w:val="001A4934"/>
    <w:rsid w:val="001B0678"/>
    <w:rsid w:val="001B1AFF"/>
    <w:rsid w:val="001B243B"/>
    <w:rsid w:val="001B2802"/>
    <w:rsid w:val="001B3E32"/>
    <w:rsid w:val="001B4D6F"/>
    <w:rsid w:val="001C3A4A"/>
    <w:rsid w:val="001C3BE9"/>
    <w:rsid w:val="001C605C"/>
    <w:rsid w:val="001C6C5C"/>
    <w:rsid w:val="001D1488"/>
    <w:rsid w:val="001D1708"/>
    <w:rsid w:val="001D18A2"/>
    <w:rsid w:val="001D2088"/>
    <w:rsid w:val="001D3DA2"/>
    <w:rsid w:val="001D7487"/>
    <w:rsid w:val="001E1D25"/>
    <w:rsid w:val="001E3E04"/>
    <w:rsid w:val="001E412C"/>
    <w:rsid w:val="001E5D99"/>
    <w:rsid w:val="001E6CEA"/>
    <w:rsid w:val="001F3FAA"/>
    <w:rsid w:val="001F4C78"/>
    <w:rsid w:val="001F5FCA"/>
    <w:rsid w:val="00205542"/>
    <w:rsid w:val="00207A80"/>
    <w:rsid w:val="00220517"/>
    <w:rsid w:val="00220960"/>
    <w:rsid w:val="00230DB5"/>
    <w:rsid w:val="00233CDA"/>
    <w:rsid w:val="002438B0"/>
    <w:rsid w:val="00243B7F"/>
    <w:rsid w:val="00243D6D"/>
    <w:rsid w:val="00244AF5"/>
    <w:rsid w:val="00246EE2"/>
    <w:rsid w:val="00246F2C"/>
    <w:rsid w:val="0024710A"/>
    <w:rsid w:val="002475FD"/>
    <w:rsid w:val="002536F6"/>
    <w:rsid w:val="00254F3E"/>
    <w:rsid w:val="0026164E"/>
    <w:rsid w:val="00262477"/>
    <w:rsid w:val="00267263"/>
    <w:rsid w:val="00271199"/>
    <w:rsid w:val="002724AE"/>
    <w:rsid w:val="00273B32"/>
    <w:rsid w:val="002763B9"/>
    <w:rsid w:val="00280F46"/>
    <w:rsid w:val="00284B77"/>
    <w:rsid w:val="002873AE"/>
    <w:rsid w:val="002902F8"/>
    <w:rsid w:val="00291178"/>
    <w:rsid w:val="00292344"/>
    <w:rsid w:val="002976C7"/>
    <w:rsid w:val="002A11BF"/>
    <w:rsid w:val="002A276D"/>
    <w:rsid w:val="002A2990"/>
    <w:rsid w:val="002A3E1F"/>
    <w:rsid w:val="002A4A3D"/>
    <w:rsid w:val="002A5561"/>
    <w:rsid w:val="002A5C38"/>
    <w:rsid w:val="002A7E37"/>
    <w:rsid w:val="002B19A1"/>
    <w:rsid w:val="002B270D"/>
    <w:rsid w:val="002B54F0"/>
    <w:rsid w:val="002B5740"/>
    <w:rsid w:val="002C0275"/>
    <w:rsid w:val="002C1086"/>
    <w:rsid w:val="002C1ECB"/>
    <w:rsid w:val="002C2709"/>
    <w:rsid w:val="002D2663"/>
    <w:rsid w:val="002D5A86"/>
    <w:rsid w:val="002E0B95"/>
    <w:rsid w:val="002E10FF"/>
    <w:rsid w:val="002E4309"/>
    <w:rsid w:val="002E5646"/>
    <w:rsid w:val="002E5EE6"/>
    <w:rsid w:val="002E621C"/>
    <w:rsid w:val="002E7422"/>
    <w:rsid w:val="002F1D4B"/>
    <w:rsid w:val="002F5212"/>
    <w:rsid w:val="002F6F3E"/>
    <w:rsid w:val="002F7180"/>
    <w:rsid w:val="002F7888"/>
    <w:rsid w:val="00300365"/>
    <w:rsid w:val="00306C11"/>
    <w:rsid w:val="00312F31"/>
    <w:rsid w:val="00314E22"/>
    <w:rsid w:val="003163C9"/>
    <w:rsid w:val="00327856"/>
    <w:rsid w:val="003303A5"/>
    <w:rsid w:val="00334E15"/>
    <w:rsid w:val="003379E0"/>
    <w:rsid w:val="00342DBD"/>
    <w:rsid w:val="00343D1D"/>
    <w:rsid w:val="00344E02"/>
    <w:rsid w:val="0034717F"/>
    <w:rsid w:val="00351633"/>
    <w:rsid w:val="003516E0"/>
    <w:rsid w:val="00353292"/>
    <w:rsid w:val="003538F3"/>
    <w:rsid w:val="003679F1"/>
    <w:rsid w:val="0037105A"/>
    <w:rsid w:val="00371529"/>
    <w:rsid w:val="00376018"/>
    <w:rsid w:val="00382360"/>
    <w:rsid w:val="00386414"/>
    <w:rsid w:val="0039469C"/>
    <w:rsid w:val="003954F9"/>
    <w:rsid w:val="003A0C6E"/>
    <w:rsid w:val="003A150D"/>
    <w:rsid w:val="003A3390"/>
    <w:rsid w:val="003A4CF0"/>
    <w:rsid w:val="003A6663"/>
    <w:rsid w:val="003B1067"/>
    <w:rsid w:val="003B12BE"/>
    <w:rsid w:val="003B3042"/>
    <w:rsid w:val="003B3DBC"/>
    <w:rsid w:val="003B5FD2"/>
    <w:rsid w:val="003C0B95"/>
    <w:rsid w:val="003D0546"/>
    <w:rsid w:val="003D1A79"/>
    <w:rsid w:val="003D66C5"/>
    <w:rsid w:val="003E18BC"/>
    <w:rsid w:val="003E2444"/>
    <w:rsid w:val="003E2608"/>
    <w:rsid w:val="003E3822"/>
    <w:rsid w:val="003E674A"/>
    <w:rsid w:val="003E6AE4"/>
    <w:rsid w:val="003E78A4"/>
    <w:rsid w:val="003E7A42"/>
    <w:rsid w:val="003E7FA9"/>
    <w:rsid w:val="003F0362"/>
    <w:rsid w:val="003F0B7A"/>
    <w:rsid w:val="003F1250"/>
    <w:rsid w:val="003F1959"/>
    <w:rsid w:val="003F25CA"/>
    <w:rsid w:val="003F5352"/>
    <w:rsid w:val="003F5886"/>
    <w:rsid w:val="003F6DC1"/>
    <w:rsid w:val="00401A72"/>
    <w:rsid w:val="00403322"/>
    <w:rsid w:val="00403A8E"/>
    <w:rsid w:val="00411A31"/>
    <w:rsid w:val="004123B1"/>
    <w:rsid w:val="00413BB1"/>
    <w:rsid w:val="00415D57"/>
    <w:rsid w:val="00420ADA"/>
    <w:rsid w:val="0042188B"/>
    <w:rsid w:val="00421B71"/>
    <w:rsid w:val="004222C6"/>
    <w:rsid w:val="004234E1"/>
    <w:rsid w:val="00432D5E"/>
    <w:rsid w:val="004330E9"/>
    <w:rsid w:val="004363BA"/>
    <w:rsid w:val="004366BC"/>
    <w:rsid w:val="00436735"/>
    <w:rsid w:val="0044293A"/>
    <w:rsid w:val="004440D5"/>
    <w:rsid w:val="0044785F"/>
    <w:rsid w:val="00450D1B"/>
    <w:rsid w:val="0045271A"/>
    <w:rsid w:val="00454194"/>
    <w:rsid w:val="00454D0A"/>
    <w:rsid w:val="00457AEE"/>
    <w:rsid w:val="00461BC3"/>
    <w:rsid w:val="00464E47"/>
    <w:rsid w:val="004666E3"/>
    <w:rsid w:val="00470832"/>
    <w:rsid w:val="00472F28"/>
    <w:rsid w:val="0047627B"/>
    <w:rsid w:val="0047671A"/>
    <w:rsid w:val="00491FE8"/>
    <w:rsid w:val="00493BCC"/>
    <w:rsid w:val="00493EF6"/>
    <w:rsid w:val="00497C79"/>
    <w:rsid w:val="004A29A4"/>
    <w:rsid w:val="004A37E7"/>
    <w:rsid w:val="004A3C88"/>
    <w:rsid w:val="004A458C"/>
    <w:rsid w:val="004B178F"/>
    <w:rsid w:val="004B2B12"/>
    <w:rsid w:val="004B2C22"/>
    <w:rsid w:val="004B2C34"/>
    <w:rsid w:val="004B68DC"/>
    <w:rsid w:val="004C191C"/>
    <w:rsid w:val="004C3C4C"/>
    <w:rsid w:val="004C5334"/>
    <w:rsid w:val="004D1500"/>
    <w:rsid w:val="004D24E3"/>
    <w:rsid w:val="004D2AA8"/>
    <w:rsid w:val="004D37F7"/>
    <w:rsid w:val="004F03E9"/>
    <w:rsid w:val="004F101B"/>
    <w:rsid w:val="004F1226"/>
    <w:rsid w:val="004F4E04"/>
    <w:rsid w:val="004F6284"/>
    <w:rsid w:val="00500AD8"/>
    <w:rsid w:val="005024EA"/>
    <w:rsid w:val="005043CF"/>
    <w:rsid w:val="0050491E"/>
    <w:rsid w:val="0050603A"/>
    <w:rsid w:val="00510BEB"/>
    <w:rsid w:val="00512450"/>
    <w:rsid w:val="00514F58"/>
    <w:rsid w:val="0051694C"/>
    <w:rsid w:val="005209E0"/>
    <w:rsid w:val="00524832"/>
    <w:rsid w:val="0052793E"/>
    <w:rsid w:val="0053717E"/>
    <w:rsid w:val="00537727"/>
    <w:rsid w:val="005379FE"/>
    <w:rsid w:val="00541D0A"/>
    <w:rsid w:val="005440D2"/>
    <w:rsid w:val="00544D3C"/>
    <w:rsid w:val="00547578"/>
    <w:rsid w:val="00550D3B"/>
    <w:rsid w:val="005510E4"/>
    <w:rsid w:val="0056116A"/>
    <w:rsid w:val="005620C5"/>
    <w:rsid w:val="00563939"/>
    <w:rsid w:val="0057203A"/>
    <w:rsid w:val="005723AB"/>
    <w:rsid w:val="0057376C"/>
    <w:rsid w:val="00573D17"/>
    <w:rsid w:val="00574CE5"/>
    <w:rsid w:val="00577988"/>
    <w:rsid w:val="0058097B"/>
    <w:rsid w:val="0058129C"/>
    <w:rsid w:val="005834E1"/>
    <w:rsid w:val="00584828"/>
    <w:rsid w:val="00584D0F"/>
    <w:rsid w:val="005854D3"/>
    <w:rsid w:val="0059079F"/>
    <w:rsid w:val="0059498A"/>
    <w:rsid w:val="00596CE3"/>
    <w:rsid w:val="005A2B54"/>
    <w:rsid w:val="005A6DD3"/>
    <w:rsid w:val="005A7521"/>
    <w:rsid w:val="005B128C"/>
    <w:rsid w:val="005B1A07"/>
    <w:rsid w:val="005B2933"/>
    <w:rsid w:val="005B30DC"/>
    <w:rsid w:val="005B31A3"/>
    <w:rsid w:val="005B71E6"/>
    <w:rsid w:val="005C1E47"/>
    <w:rsid w:val="005C4EB4"/>
    <w:rsid w:val="005C59F5"/>
    <w:rsid w:val="005D327D"/>
    <w:rsid w:val="005D341B"/>
    <w:rsid w:val="005D5E82"/>
    <w:rsid w:val="005D6ACE"/>
    <w:rsid w:val="005D77D6"/>
    <w:rsid w:val="005D7ED8"/>
    <w:rsid w:val="005E1B83"/>
    <w:rsid w:val="005E4540"/>
    <w:rsid w:val="005E4AFC"/>
    <w:rsid w:val="005E63A5"/>
    <w:rsid w:val="005E66DC"/>
    <w:rsid w:val="005E755F"/>
    <w:rsid w:val="005E7623"/>
    <w:rsid w:val="005E7E94"/>
    <w:rsid w:val="005F0256"/>
    <w:rsid w:val="005F06BF"/>
    <w:rsid w:val="005F1028"/>
    <w:rsid w:val="005F10F0"/>
    <w:rsid w:val="005F366A"/>
    <w:rsid w:val="005F4B92"/>
    <w:rsid w:val="005F69D4"/>
    <w:rsid w:val="005F6C35"/>
    <w:rsid w:val="005F736C"/>
    <w:rsid w:val="006011FA"/>
    <w:rsid w:val="006076BA"/>
    <w:rsid w:val="00612CCC"/>
    <w:rsid w:val="00614DF9"/>
    <w:rsid w:val="0062343F"/>
    <w:rsid w:val="0062526A"/>
    <w:rsid w:val="00631569"/>
    <w:rsid w:val="00631F6D"/>
    <w:rsid w:val="006324FD"/>
    <w:rsid w:val="00632AA0"/>
    <w:rsid w:val="006336CA"/>
    <w:rsid w:val="00637CE4"/>
    <w:rsid w:val="0064138E"/>
    <w:rsid w:val="006415FD"/>
    <w:rsid w:val="00642A91"/>
    <w:rsid w:val="00645491"/>
    <w:rsid w:val="00647D52"/>
    <w:rsid w:val="00652A89"/>
    <w:rsid w:val="00656BEC"/>
    <w:rsid w:val="00657A20"/>
    <w:rsid w:val="00657EDB"/>
    <w:rsid w:val="0066038E"/>
    <w:rsid w:val="006626B1"/>
    <w:rsid w:val="006635EE"/>
    <w:rsid w:val="006668FB"/>
    <w:rsid w:val="0067004F"/>
    <w:rsid w:val="006759D4"/>
    <w:rsid w:val="006769AF"/>
    <w:rsid w:val="00677EEA"/>
    <w:rsid w:val="00681011"/>
    <w:rsid w:val="00683238"/>
    <w:rsid w:val="00683798"/>
    <w:rsid w:val="00684536"/>
    <w:rsid w:val="00685DE3"/>
    <w:rsid w:val="00690C6C"/>
    <w:rsid w:val="00690E3C"/>
    <w:rsid w:val="00692E19"/>
    <w:rsid w:val="00697F9D"/>
    <w:rsid w:val="006A1698"/>
    <w:rsid w:val="006A1B35"/>
    <w:rsid w:val="006A356A"/>
    <w:rsid w:val="006A3911"/>
    <w:rsid w:val="006A4162"/>
    <w:rsid w:val="006A7283"/>
    <w:rsid w:val="006B09AD"/>
    <w:rsid w:val="006B1671"/>
    <w:rsid w:val="006B2F1F"/>
    <w:rsid w:val="006B6F07"/>
    <w:rsid w:val="006B7BBC"/>
    <w:rsid w:val="006C10FC"/>
    <w:rsid w:val="006C4334"/>
    <w:rsid w:val="006C4557"/>
    <w:rsid w:val="006C6C6E"/>
    <w:rsid w:val="006D2FCB"/>
    <w:rsid w:val="006D344C"/>
    <w:rsid w:val="006D48A6"/>
    <w:rsid w:val="006D5BE2"/>
    <w:rsid w:val="006D7142"/>
    <w:rsid w:val="006E34FB"/>
    <w:rsid w:val="006E491B"/>
    <w:rsid w:val="006E7199"/>
    <w:rsid w:val="006E7272"/>
    <w:rsid w:val="0070165B"/>
    <w:rsid w:val="00702B09"/>
    <w:rsid w:val="00710D00"/>
    <w:rsid w:val="007118A4"/>
    <w:rsid w:val="00715E98"/>
    <w:rsid w:val="007206B3"/>
    <w:rsid w:val="007227BD"/>
    <w:rsid w:val="00722D67"/>
    <w:rsid w:val="00731AAE"/>
    <w:rsid w:val="00731E26"/>
    <w:rsid w:val="0073395C"/>
    <w:rsid w:val="00733B14"/>
    <w:rsid w:val="007347F0"/>
    <w:rsid w:val="00734D57"/>
    <w:rsid w:val="0073537C"/>
    <w:rsid w:val="00736A5B"/>
    <w:rsid w:val="007378D4"/>
    <w:rsid w:val="00741B81"/>
    <w:rsid w:val="00741DD8"/>
    <w:rsid w:val="00741E8F"/>
    <w:rsid w:val="007468B1"/>
    <w:rsid w:val="0076135D"/>
    <w:rsid w:val="007641DB"/>
    <w:rsid w:val="00764BF9"/>
    <w:rsid w:val="00764E6B"/>
    <w:rsid w:val="00771213"/>
    <w:rsid w:val="00773161"/>
    <w:rsid w:val="00774D67"/>
    <w:rsid w:val="007754C7"/>
    <w:rsid w:val="007755B8"/>
    <w:rsid w:val="007769C4"/>
    <w:rsid w:val="00777FDC"/>
    <w:rsid w:val="00783C53"/>
    <w:rsid w:val="00785AB3"/>
    <w:rsid w:val="00785C78"/>
    <w:rsid w:val="0078702F"/>
    <w:rsid w:val="00790BBC"/>
    <w:rsid w:val="00791076"/>
    <w:rsid w:val="0079186C"/>
    <w:rsid w:val="00796302"/>
    <w:rsid w:val="007A15A1"/>
    <w:rsid w:val="007A68C7"/>
    <w:rsid w:val="007A6EDF"/>
    <w:rsid w:val="007B0F8F"/>
    <w:rsid w:val="007B2611"/>
    <w:rsid w:val="007B3A8A"/>
    <w:rsid w:val="007C241D"/>
    <w:rsid w:val="007C671F"/>
    <w:rsid w:val="007C739B"/>
    <w:rsid w:val="007D3E6E"/>
    <w:rsid w:val="007E1855"/>
    <w:rsid w:val="007E1F3D"/>
    <w:rsid w:val="007E31E2"/>
    <w:rsid w:val="007E7289"/>
    <w:rsid w:val="007F1CC1"/>
    <w:rsid w:val="007F2DC4"/>
    <w:rsid w:val="007F50A4"/>
    <w:rsid w:val="007F748F"/>
    <w:rsid w:val="007F755B"/>
    <w:rsid w:val="00802F3A"/>
    <w:rsid w:val="008058AD"/>
    <w:rsid w:val="0080596A"/>
    <w:rsid w:val="00806C18"/>
    <w:rsid w:val="00811A47"/>
    <w:rsid w:val="00815DFF"/>
    <w:rsid w:val="0081625A"/>
    <w:rsid w:val="00816725"/>
    <w:rsid w:val="008201B4"/>
    <w:rsid w:val="0082021F"/>
    <w:rsid w:val="008216BE"/>
    <w:rsid w:val="00825897"/>
    <w:rsid w:val="008264B1"/>
    <w:rsid w:val="00826C78"/>
    <w:rsid w:val="0082726C"/>
    <w:rsid w:val="008336A1"/>
    <w:rsid w:val="008339C0"/>
    <w:rsid w:val="00835C36"/>
    <w:rsid w:val="008362F8"/>
    <w:rsid w:val="0084117B"/>
    <w:rsid w:val="0084628A"/>
    <w:rsid w:val="008465E4"/>
    <w:rsid w:val="00850B58"/>
    <w:rsid w:val="0085122B"/>
    <w:rsid w:val="00851306"/>
    <w:rsid w:val="00855039"/>
    <w:rsid w:val="008550B2"/>
    <w:rsid w:val="0085627F"/>
    <w:rsid w:val="00860724"/>
    <w:rsid w:val="00860CB9"/>
    <w:rsid w:val="0086135D"/>
    <w:rsid w:val="00862F4B"/>
    <w:rsid w:val="00865064"/>
    <w:rsid w:val="00871068"/>
    <w:rsid w:val="0087250A"/>
    <w:rsid w:val="008725B4"/>
    <w:rsid w:val="00874B0F"/>
    <w:rsid w:val="00876D38"/>
    <w:rsid w:val="00881396"/>
    <w:rsid w:val="00882F81"/>
    <w:rsid w:val="00884662"/>
    <w:rsid w:val="0088475D"/>
    <w:rsid w:val="00885257"/>
    <w:rsid w:val="00885740"/>
    <w:rsid w:val="00887955"/>
    <w:rsid w:val="008907C6"/>
    <w:rsid w:val="008931B3"/>
    <w:rsid w:val="00896C35"/>
    <w:rsid w:val="008A3508"/>
    <w:rsid w:val="008B2053"/>
    <w:rsid w:val="008B371B"/>
    <w:rsid w:val="008B7A21"/>
    <w:rsid w:val="008C3936"/>
    <w:rsid w:val="008D1A69"/>
    <w:rsid w:val="008D4155"/>
    <w:rsid w:val="008E225D"/>
    <w:rsid w:val="008E30C4"/>
    <w:rsid w:val="008E4F69"/>
    <w:rsid w:val="008E67E0"/>
    <w:rsid w:val="008F0545"/>
    <w:rsid w:val="008F43C3"/>
    <w:rsid w:val="008F52B5"/>
    <w:rsid w:val="008F713F"/>
    <w:rsid w:val="009031F8"/>
    <w:rsid w:val="009112B3"/>
    <w:rsid w:val="00914A33"/>
    <w:rsid w:val="00917B4C"/>
    <w:rsid w:val="0092115B"/>
    <w:rsid w:val="009219D9"/>
    <w:rsid w:val="009222F7"/>
    <w:rsid w:val="00922393"/>
    <w:rsid w:val="009307A6"/>
    <w:rsid w:val="00935300"/>
    <w:rsid w:val="0094016B"/>
    <w:rsid w:val="00941B6B"/>
    <w:rsid w:val="00941EC9"/>
    <w:rsid w:val="00942467"/>
    <w:rsid w:val="00942A6E"/>
    <w:rsid w:val="0094625E"/>
    <w:rsid w:val="0094722A"/>
    <w:rsid w:val="009501C2"/>
    <w:rsid w:val="00951588"/>
    <w:rsid w:val="0095266D"/>
    <w:rsid w:val="0095560D"/>
    <w:rsid w:val="0097066C"/>
    <w:rsid w:val="009718CD"/>
    <w:rsid w:val="009719E8"/>
    <w:rsid w:val="00973821"/>
    <w:rsid w:val="00981094"/>
    <w:rsid w:val="00981656"/>
    <w:rsid w:val="00981C03"/>
    <w:rsid w:val="00982B40"/>
    <w:rsid w:val="00983D96"/>
    <w:rsid w:val="00984E6A"/>
    <w:rsid w:val="009858EF"/>
    <w:rsid w:val="00986A7F"/>
    <w:rsid w:val="009879A4"/>
    <w:rsid w:val="00987C14"/>
    <w:rsid w:val="00987DA8"/>
    <w:rsid w:val="009902E0"/>
    <w:rsid w:val="00990DB2"/>
    <w:rsid w:val="00991E60"/>
    <w:rsid w:val="009948BA"/>
    <w:rsid w:val="009A076F"/>
    <w:rsid w:val="009B1D8F"/>
    <w:rsid w:val="009B4D08"/>
    <w:rsid w:val="009B5ADE"/>
    <w:rsid w:val="009C39C4"/>
    <w:rsid w:val="009C3FEC"/>
    <w:rsid w:val="009C514D"/>
    <w:rsid w:val="009D5F5C"/>
    <w:rsid w:val="009E1318"/>
    <w:rsid w:val="009E3784"/>
    <w:rsid w:val="009E4053"/>
    <w:rsid w:val="009E431E"/>
    <w:rsid w:val="009E5676"/>
    <w:rsid w:val="009E76AA"/>
    <w:rsid w:val="009E7CE9"/>
    <w:rsid w:val="009F2E8A"/>
    <w:rsid w:val="009F58B1"/>
    <w:rsid w:val="009F594C"/>
    <w:rsid w:val="00A0104A"/>
    <w:rsid w:val="00A032AF"/>
    <w:rsid w:val="00A03AA7"/>
    <w:rsid w:val="00A0509E"/>
    <w:rsid w:val="00A05360"/>
    <w:rsid w:val="00A05D90"/>
    <w:rsid w:val="00A05E19"/>
    <w:rsid w:val="00A11022"/>
    <w:rsid w:val="00A11D4D"/>
    <w:rsid w:val="00A12573"/>
    <w:rsid w:val="00A13165"/>
    <w:rsid w:val="00A1419D"/>
    <w:rsid w:val="00A16C20"/>
    <w:rsid w:val="00A17E8E"/>
    <w:rsid w:val="00A25822"/>
    <w:rsid w:val="00A25907"/>
    <w:rsid w:val="00A27BCD"/>
    <w:rsid w:val="00A32B50"/>
    <w:rsid w:val="00A41FE4"/>
    <w:rsid w:val="00A433A5"/>
    <w:rsid w:val="00A44420"/>
    <w:rsid w:val="00A45250"/>
    <w:rsid w:val="00A4748B"/>
    <w:rsid w:val="00A50B27"/>
    <w:rsid w:val="00A52252"/>
    <w:rsid w:val="00A55D34"/>
    <w:rsid w:val="00A64AA3"/>
    <w:rsid w:val="00A66BD0"/>
    <w:rsid w:val="00A6754E"/>
    <w:rsid w:val="00A70AEB"/>
    <w:rsid w:val="00A72ABA"/>
    <w:rsid w:val="00A7397A"/>
    <w:rsid w:val="00A742FA"/>
    <w:rsid w:val="00A76A5C"/>
    <w:rsid w:val="00A76C99"/>
    <w:rsid w:val="00A81A0C"/>
    <w:rsid w:val="00A82BAF"/>
    <w:rsid w:val="00A82C6E"/>
    <w:rsid w:val="00A87C1E"/>
    <w:rsid w:val="00A90052"/>
    <w:rsid w:val="00A932DC"/>
    <w:rsid w:val="00A93602"/>
    <w:rsid w:val="00AA2822"/>
    <w:rsid w:val="00AA3CEB"/>
    <w:rsid w:val="00AA63DC"/>
    <w:rsid w:val="00AA70DE"/>
    <w:rsid w:val="00AB2267"/>
    <w:rsid w:val="00AB6F6C"/>
    <w:rsid w:val="00AC0650"/>
    <w:rsid w:val="00AC08C1"/>
    <w:rsid w:val="00AC513E"/>
    <w:rsid w:val="00AC56A1"/>
    <w:rsid w:val="00AD07EB"/>
    <w:rsid w:val="00AD6BEE"/>
    <w:rsid w:val="00AE0BC0"/>
    <w:rsid w:val="00AE1191"/>
    <w:rsid w:val="00AE1AD3"/>
    <w:rsid w:val="00AE6155"/>
    <w:rsid w:val="00AF18BC"/>
    <w:rsid w:val="00AF51F4"/>
    <w:rsid w:val="00B013A9"/>
    <w:rsid w:val="00B031CB"/>
    <w:rsid w:val="00B03371"/>
    <w:rsid w:val="00B0596D"/>
    <w:rsid w:val="00B100FF"/>
    <w:rsid w:val="00B13991"/>
    <w:rsid w:val="00B224A2"/>
    <w:rsid w:val="00B2252B"/>
    <w:rsid w:val="00B23615"/>
    <w:rsid w:val="00B23D20"/>
    <w:rsid w:val="00B250E2"/>
    <w:rsid w:val="00B251C0"/>
    <w:rsid w:val="00B302C2"/>
    <w:rsid w:val="00B31017"/>
    <w:rsid w:val="00B32ACB"/>
    <w:rsid w:val="00B351AE"/>
    <w:rsid w:val="00B361F5"/>
    <w:rsid w:val="00B37468"/>
    <w:rsid w:val="00B40AC3"/>
    <w:rsid w:val="00B43560"/>
    <w:rsid w:val="00B44038"/>
    <w:rsid w:val="00B46811"/>
    <w:rsid w:val="00B46A1C"/>
    <w:rsid w:val="00B50B10"/>
    <w:rsid w:val="00B535B7"/>
    <w:rsid w:val="00B57CAE"/>
    <w:rsid w:val="00B57E64"/>
    <w:rsid w:val="00B6241B"/>
    <w:rsid w:val="00B658F9"/>
    <w:rsid w:val="00B67E6C"/>
    <w:rsid w:val="00B700AB"/>
    <w:rsid w:val="00B71FD6"/>
    <w:rsid w:val="00B72634"/>
    <w:rsid w:val="00B740AB"/>
    <w:rsid w:val="00B77AD4"/>
    <w:rsid w:val="00B77C50"/>
    <w:rsid w:val="00B84582"/>
    <w:rsid w:val="00B863BF"/>
    <w:rsid w:val="00B91B14"/>
    <w:rsid w:val="00B91FCE"/>
    <w:rsid w:val="00B92956"/>
    <w:rsid w:val="00B92AA2"/>
    <w:rsid w:val="00B93AFD"/>
    <w:rsid w:val="00B93B6C"/>
    <w:rsid w:val="00BA05A9"/>
    <w:rsid w:val="00BA13CB"/>
    <w:rsid w:val="00BA40E5"/>
    <w:rsid w:val="00BA4172"/>
    <w:rsid w:val="00BA4785"/>
    <w:rsid w:val="00BA64E8"/>
    <w:rsid w:val="00BB3DFD"/>
    <w:rsid w:val="00BC1EAC"/>
    <w:rsid w:val="00BC43AC"/>
    <w:rsid w:val="00BD1DD3"/>
    <w:rsid w:val="00BD4545"/>
    <w:rsid w:val="00BD549A"/>
    <w:rsid w:val="00BD5705"/>
    <w:rsid w:val="00BD5A37"/>
    <w:rsid w:val="00BD7B3A"/>
    <w:rsid w:val="00BE0510"/>
    <w:rsid w:val="00BE1F19"/>
    <w:rsid w:val="00BE298B"/>
    <w:rsid w:val="00BE4D5A"/>
    <w:rsid w:val="00BE4E5A"/>
    <w:rsid w:val="00BE7608"/>
    <w:rsid w:val="00BE7D9B"/>
    <w:rsid w:val="00BF0289"/>
    <w:rsid w:val="00BF4E20"/>
    <w:rsid w:val="00BF4F67"/>
    <w:rsid w:val="00BF5DB0"/>
    <w:rsid w:val="00C02E55"/>
    <w:rsid w:val="00C032D2"/>
    <w:rsid w:val="00C04481"/>
    <w:rsid w:val="00C0777F"/>
    <w:rsid w:val="00C10227"/>
    <w:rsid w:val="00C11E5B"/>
    <w:rsid w:val="00C130F9"/>
    <w:rsid w:val="00C17ABB"/>
    <w:rsid w:val="00C205F2"/>
    <w:rsid w:val="00C21DAD"/>
    <w:rsid w:val="00C22625"/>
    <w:rsid w:val="00C23A01"/>
    <w:rsid w:val="00C249D0"/>
    <w:rsid w:val="00C257EA"/>
    <w:rsid w:val="00C3016D"/>
    <w:rsid w:val="00C30E4A"/>
    <w:rsid w:val="00C37799"/>
    <w:rsid w:val="00C43A5C"/>
    <w:rsid w:val="00C46BD0"/>
    <w:rsid w:val="00C52450"/>
    <w:rsid w:val="00C5492C"/>
    <w:rsid w:val="00C54FEF"/>
    <w:rsid w:val="00C560D3"/>
    <w:rsid w:val="00C62312"/>
    <w:rsid w:val="00C62619"/>
    <w:rsid w:val="00C62EF3"/>
    <w:rsid w:val="00C640D3"/>
    <w:rsid w:val="00C66278"/>
    <w:rsid w:val="00C77680"/>
    <w:rsid w:val="00C80673"/>
    <w:rsid w:val="00C81FEF"/>
    <w:rsid w:val="00C83CEF"/>
    <w:rsid w:val="00C9378E"/>
    <w:rsid w:val="00C93ECC"/>
    <w:rsid w:val="00C97378"/>
    <w:rsid w:val="00CA01D2"/>
    <w:rsid w:val="00CA1420"/>
    <w:rsid w:val="00CA3E6B"/>
    <w:rsid w:val="00CA5F0B"/>
    <w:rsid w:val="00CA6416"/>
    <w:rsid w:val="00CB23D1"/>
    <w:rsid w:val="00CB7119"/>
    <w:rsid w:val="00CB7D6D"/>
    <w:rsid w:val="00CC02D4"/>
    <w:rsid w:val="00CC02F3"/>
    <w:rsid w:val="00CC12A2"/>
    <w:rsid w:val="00CC2368"/>
    <w:rsid w:val="00CC7000"/>
    <w:rsid w:val="00CD2D71"/>
    <w:rsid w:val="00CD50CA"/>
    <w:rsid w:val="00CD77FE"/>
    <w:rsid w:val="00CE0054"/>
    <w:rsid w:val="00CE0684"/>
    <w:rsid w:val="00CE13E3"/>
    <w:rsid w:val="00CE27B0"/>
    <w:rsid w:val="00CE3791"/>
    <w:rsid w:val="00CE5698"/>
    <w:rsid w:val="00CF081F"/>
    <w:rsid w:val="00CF1F88"/>
    <w:rsid w:val="00CF3F35"/>
    <w:rsid w:val="00CF49AA"/>
    <w:rsid w:val="00CF530A"/>
    <w:rsid w:val="00CF7246"/>
    <w:rsid w:val="00D06301"/>
    <w:rsid w:val="00D07663"/>
    <w:rsid w:val="00D1140C"/>
    <w:rsid w:val="00D1528F"/>
    <w:rsid w:val="00D20A17"/>
    <w:rsid w:val="00D232E6"/>
    <w:rsid w:val="00D24D52"/>
    <w:rsid w:val="00D24F2E"/>
    <w:rsid w:val="00D257B9"/>
    <w:rsid w:val="00D30438"/>
    <w:rsid w:val="00D31D2F"/>
    <w:rsid w:val="00D37BBA"/>
    <w:rsid w:val="00D424D3"/>
    <w:rsid w:val="00D424FC"/>
    <w:rsid w:val="00D44020"/>
    <w:rsid w:val="00D453CF"/>
    <w:rsid w:val="00D52C3E"/>
    <w:rsid w:val="00D55D02"/>
    <w:rsid w:val="00D565EC"/>
    <w:rsid w:val="00D6025E"/>
    <w:rsid w:val="00D62F82"/>
    <w:rsid w:val="00D63272"/>
    <w:rsid w:val="00D65925"/>
    <w:rsid w:val="00D65AA7"/>
    <w:rsid w:val="00D66182"/>
    <w:rsid w:val="00D67910"/>
    <w:rsid w:val="00D751FF"/>
    <w:rsid w:val="00D77F26"/>
    <w:rsid w:val="00D80C4F"/>
    <w:rsid w:val="00D82576"/>
    <w:rsid w:val="00D84E23"/>
    <w:rsid w:val="00D874B9"/>
    <w:rsid w:val="00D879A6"/>
    <w:rsid w:val="00D95A85"/>
    <w:rsid w:val="00D96A10"/>
    <w:rsid w:val="00D96AEA"/>
    <w:rsid w:val="00DA340E"/>
    <w:rsid w:val="00DA7BA8"/>
    <w:rsid w:val="00DB0E16"/>
    <w:rsid w:val="00DB34A6"/>
    <w:rsid w:val="00DB4010"/>
    <w:rsid w:val="00DB7848"/>
    <w:rsid w:val="00DB7CFA"/>
    <w:rsid w:val="00DC250D"/>
    <w:rsid w:val="00DC67C4"/>
    <w:rsid w:val="00DD339A"/>
    <w:rsid w:val="00DD7B80"/>
    <w:rsid w:val="00DE2561"/>
    <w:rsid w:val="00DE5074"/>
    <w:rsid w:val="00DE52B3"/>
    <w:rsid w:val="00DE6959"/>
    <w:rsid w:val="00DE7AB7"/>
    <w:rsid w:val="00DE7CF1"/>
    <w:rsid w:val="00DF05C8"/>
    <w:rsid w:val="00DF163E"/>
    <w:rsid w:val="00DF1FD2"/>
    <w:rsid w:val="00DF2A7B"/>
    <w:rsid w:val="00DF3053"/>
    <w:rsid w:val="00DF570C"/>
    <w:rsid w:val="00E03FDC"/>
    <w:rsid w:val="00E0544A"/>
    <w:rsid w:val="00E05B68"/>
    <w:rsid w:val="00E10C75"/>
    <w:rsid w:val="00E162CE"/>
    <w:rsid w:val="00E168F2"/>
    <w:rsid w:val="00E16CD2"/>
    <w:rsid w:val="00E22C90"/>
    <w:rsid w:val="00E245B4"/>
    <w:rsid w:val="00E2647C"/>
    <w:rsid w:val="00E26E4D"/>
    <w:rsid w:val="00E279B8"/>
    <w:rsid w:val="00E320B6"/>
    <w:rsid w:val="00E32BB9"/>
    <w:rsid w:val="00E338D2"/>
    <w:rsid w:val="00E3500B"/>
    <w:rsid w:val="00E36335"/>
    <w:rsid w:val="00E3649C"/>
    <w:rsid w:val="00E42157"/>
    <w:rsid w:val="00E429F2"/>
    <w:rsid w:val="00E50347"/>
    <w:rsid w:val="00E51787"/>
    <w:rsid w:val="00E53BED"/>
    <w:rsid w:val="00E57C83"/>
    <w:rsid w:val="00E60680"/>
    <w:rsid w:val="00E63160"/>
    <w:rsid w:val="00E63997"/>
    <w:rsid w:val="00E654FD"/>
    <w:rsid w:val="00E6772D"/>
    <w:rsid w:val="00E71A58"/>
    <w:rsid w:val="00E73240"/>
    <w:rsid w:val="00E74575"/>
    <w:rsid w:val="00E75C99"/>
    <w:rsid w:val="00E75F6C"/>
    <w:rsid w:val="00E81D31"/>
    <w:rsid w:val="00E828D7"/>
    <w:rsid w:val="00E82C6F"/>
    <w:rsid w:val="00E8312F"/>
    <w:rsid w:val="00E85BCA"/>
    <w:rsid w:val="00E864A1"/>
    <w:rsid w:val="00E9310D"/>
    <w:rsid w:val="00E93B91"/>
    <w:rsid w:val="00E95F60"/>
    <w:rsid w:val="00EA39F0"/>
    <w:rsid w:val="00EA4DD6"/>
    <w:rsid w:val="00EA4F2A"/>
    <w:rsid w:val="00EA60DA"/>
    <w:rsid w:val="00EB14AF"/>
    <w:rsid w:val="00EB385C"/>
    <w:rsid w:val="00EB4B2B"/>
    <w:rsid w:val="00EB5E8D"/>
    <w:rsid w:val="00EB6B39"/>
    <w:rsid w:val="00EB6DE2"/>
    <w:rsid w:val="00EB78AB"/>
    <w:rsid w:val="00EC1132"/>
    <w:rsid w:val="00EC30CC"/>
    <w:rsid w:val="00EC3FAD"/>
    <w:rsid w:val="00EC5236"/>
    <w:rsid w:val="00ED08C4"/>
    <w:rsid w:val="00ED18DA"/>
    <w:rsid w:val="00ED24F8"/>
    <w:rsid w:val="00ED4540"/>
    <w:rsid w:val="00ED52A7"/>
    <w:rsid w:val="00EE0E8E"/>
    <w:rsid w:val="00EE36B7"/>
    <w:rsid w:val="00EE40E7"/>
    <w:rsid w:val="00EE541F"/>
    <w:rsid w:val="00EF04AE"/>
    <w:rsid w:val="00EF1382"/>
    <w:rsid w:val="00EF2626"/>
    <w:rsid w:val="00EF5B11"/>
    <w:rsid w:val="00F046DE"/>
    <w:rsid w:val="00F20F38"/>
    <w:rsid w:val="00F23A20"/>
    <w:rsid w:val="00F27174"/>
    <w:rsid w:val="00F318A9"/>
    <w:rsid w:val="00F31ED9"/>
    <w:rsid w:val="00F3289B"/>
    <w:rsid w:val="00F34369"/>
    <w:rsid w:val="00F37321"/>
    <w:rsid w:val="00F37552"/>
    <w:rsid w:val="00F41AA6"/>
    <w:rsid w:val="00F4582F"/>
    <w:rsid w:val="00F45C7B"/>
    <w:rsid w:val="00F52092"/>
    <w:rsid w:val="00F52A86"/>
    <w:rsid w:val="00F52EFE"/>
    <w:rsid w:val="00F54256"/>
    <w:rsid w:val="00F563E8"/>
    <w:rsid w:val="00F6172B"/>
    <w:rsid w:val="00F649DD"/>
    <w:rsid w:val="00F64AF3"/>
    <w:rsid w:val="00F65A04"/>
    <w:rsid w:val="00F65E0F"/>
    <w:rsid w:val="00F67C23"/>
    <w:rsid w:val="00F70B2E"/>
    <w:rsid w:val="00F70F6D"/>
    <w:rsid w:val="00F71A00"/>
    <w:rsid w:val="00F71B9D"/>
    <w:rsid w:val="00F72466"/>
    <w:rsid w:val="00F73BE8"/>
    <w:rsid w:val="00F74459"/>
    <w:rsid w:val="00F745E6"/>
    <w:rsid w:val="00F76A7F"/>
    <w:rsid w:val="00F81014"/>
    <w:rsid w:val="00F81C25"/>
    <w:rsid w:val="00F830DF"/>
    <w:rsid w:val="00F863FD"/>
    <w:rsid w:val="00F9047E"/>
    <w:rsid w:val="00F9200E"/>
    <w:rsid w:val="00F95557"/>
    <w:rsid w:val="00F96573"/>
    <w:rsid w:val="00F96B97"/>
    <w:rsid w:val="00FA09D3"/>
    <w:rsid w:val="00FA1150"/>
    <w:rsid w:val="00FA153A"/>
    <w:rsid w:val="00FA3911"/>
    <w:rsid w:val="00FA77E0"/>
    <w:rsid w:val="00FB0DF8"/>
    <w:rsid w:val="00FB6807"/>
    <w:rsid w:val="00FC51C0"/>
    <w:rsid w:val="00FD5354"/>
    <w:rsid w:val="00FD570C"/>
    <w:rsid w:val="00FE31EE"/>
    <w:rsid w:val="00FE512E"/>
    <w:rsid w:val="00FE565C"/>
    <w:rsid w:val="00FE5A30"/>
    <w:rsid w:val="00FE5AF7"/>
    <w:rsid w:val="00FF179B"/>
    <w:rsid w:val="00FF251D"/>
    <w:rsid w:val="00FF4A9B"/>
    <w:rsid w:val="00FF5AD7"/>
    <w:rsid w:val="00FF6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E6C"/>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 w:type="paragraph" w:customStyle="1" w:styleId="EQ">
    <w:name w:val="EQ"/>
    <w:basedOn w:val="Normal"/>
    <w:next w:val="Normal"/>
    <w:rsid w:val="000248B1"/>
    <w:pPr>
      <w:keepLines/>
      <w:tabs>
        <w:tab w:val="center" w:pos="4536"/>
        <w:tab w:val="right" w:pos="9072"/>
      </w:tabs>
      <w:overflowPunct/>
      <w:autoSpaceDE/>
      <w:autoSpaceDN/>
      <w:adjustRightInd/>
      <w:spacing w:after="180"/>
      <w:jc w:val="left"/>
      <w:textAlignment w:val="auto"/>
    </w:pPr>
    <w:rPr>
      <w:noProof/>
      <w:sz w:val="20"/>
      <w:lang w:eastAsia="en-US"/>
    </w:rPr>
  </w:style>
  <w:style w:type="character" w:styleId="PlaceholderText">
    <w:name w:val="Placeholder Text"/>
    <w:basedOn w:val="DefaultParagraphFont"/>
    <w:uiPriority w:val="99"/>
    <w:semiHidden/>
    <w:rsid w:val="00E7324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E6C"/>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 w:type="paragraph" w:customStyle="1" w:styleId="EQ">
    <w:name w:val="EQ"/>
    <w:basedOn w:val="Normal"/>
    <w:next w:val="Normal"/>
    <w:rsid w:val="000248B1"/>
    <w:pPr>
      <w:keepLines/>
      <w:tabs>
        <w:tab w:val="center" w:pos="4536"/>
        <w:tab w:val="right" w:pos="9072"/>
      </w:tabs>
      <w:overflowPunct/>
      <w:autoSpaceDE/>
      <w:autoSpaceDN/>
      <w:adjustRightInd/>
      <w:spacing w:after="180"/>
      <w:jc w:val="left"/>
      <w:textAlignment w:val="auto"/>
    </w:pPr>
    <w:rPr>
      <w:noProof/>
      <w:sz w:val="20"/>
      <w:lang w:eastAsia="en-US"/>
    </w:rPr>
  </w:style>
  <w:style w:type="character" w:styleId="PlaceholderText">
    <w:name w:val="Placeholder Text"/>
    <w:basedOn w:val="DefaultParagraphFont"/>
    <w:uiPriority w:val="99"/>
    <w:semiHidden/>
    <w:rsid w:val="00E732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40237">
      <w:bodyDiv w:val="1"/>
      <w:marLeft w:val="0"/>
      <w:marRight w:val="0"/>
      <w:marTop w:val="0"/>
      <w:marBottom w:val="0"/>
      <w:divBdr>
        <w:top w:val="none" w:sz="0" w:space="0" w:color="auto"/>
        <w:left w:val="none" w:sz="0" w:space="0" w:color="auto"/>
        <w:bottom w:val="none" w:sz="0" w:space="0" w:color="auto"/>
        <w:right w:val="none" w:sz="0" w:space="0" w:color="auto"/>
      </w:divBdr>
      <w:divsChild>
        <w:div w:id="537820450">
          <w:marLeft w:val="274"/>
          <w:marRight w:val="0"/>
          <w:marTop w:val="115"/>
          <w:marBottom w:val="0"/>
          <w:divBdr>
            <w:top w:val="none" w:sz="0" w:space="0" w:color="auto"/>
            <w:left w:val="none" w:sz="0" w:space="0" w:color="auto"/>
            <w:bottom w:val="none" w:sz="0" w:space="0" w:color="auto"/>
            <w:right w:val="none" w:sz="0" w:space="0" w:color="auto"/>
          </w:divBdr>
        </w:div>
        <w:div w:id="552082781">
          <w:marLeft w:val="835"/>
          <w:marRight w:val="0"/>
          <w:marTop w:val="96"/>
          <w:marBottom w:val="0"/>
          <w:divBdr>
            <w:top w:val="none" w:sz="0" w:space="0" w:color="auto"/>
            <w:left w:val="none" w:sz="0" w:space="0" w:color="auto"/>
            <w:bottom w:val="none" w:sz="0" w:space="0" w:color="auto"/>
            <w:right w:val="none" w:sz="0" w:space="0" w:color="auto"/>
          </w:divBdr>
        </w:div>
      </w:divsChild>
    </w:div>
    <w:div w:id="124856754">
      <w:bodyDiv w:val="1"/>
      <w:marLeft w:val="0"/>
      <w:marRight w:val="0"/>
      <w:marTop w:val="0"/>
      <w:marBottom w:val="0"/>
      <w:divBdr>
        <w:top w:val="none" w:sz="0" w:space="0" w:color="auto"/>
        <w:left w:val="none" w:sz="0" w:space="0" w:color="auto"/>
        <w:bottom w:val="none" w:sz="0" w:space="0" w:color="auto"/>
        <w:right w:val="none" w:sz="0" w:space="0" w:color="auto"/>
      </w:divBdr>
    </w:div>
    <w:div w:id="217322907">
      <w:bodyDiv w:val="1"/>
      <w:marLeft w:val="0"/>
      <w:marRight w:val="0"/>
      <w:marTop w:val="0"/>
      <w:marBottom w:val="0"/>
      <w:divBdr>
        <w:top w:val="none" w:sz="0" w:space="0" w:color="auto"/>
        <w:left w:val="none" w:sz="0" w:space="0" w:color="auto"/>
        <w:bottom w:val="none" w:sz="0" w:space="0" w:color="auto"/>
        <w:right w:val="none" w:sz="0" w:space="0" w:color="auto"/>
      </w:divBdr>
    </w:div>
    <w:div w:id="238371564">
      <w:bodyDiv w:val="1"/>
      <w:marLeft w:val="0"/>
      <w:marRight w:val="0"/>
      <w:marTop w:val="0"/>
      <w:marBottom w:val="0"/>
      <w:divBdr>
        <w:top w:val="none" w:sz="0" w:space="0" w:color="auto"/>
        <w:left w:val="none" w:sz="0" w:space="0" w:color="auto"/>
        <w:bottom w:val="none" w:sz="0" w:space="0" w:color="auto"/>
        <w:right w:val="none" w:sz="0" w:space="0" w:color="auto"/>
      </w:divBdr>
      <w:divsChild>
        <w:div w:id="58405532">
          <w:marLeft w:val="274"/>
          <w:marRight w:val="0"/>
          <w:marTop w:val="106"/>
          <w:marBottom w:val="0"/>
          <w:divBdr>
            <w:top w:val="none" w:sz="0" w:space="0" w:color="auto"/>
            <w:left w:val="none" w:sz="0" w:space="0" w:color="auto"/>
            <w:bottom w:val="none" w:sz="0" w:space="0" w:color="auto"/>
            <w:right w:val="none" w:sz="0" w:space="0" w:color="auto"/>
          </w:divBdr>
        </w:div>
        <w:div w:id="467286484">
          <w:marLeft w:val="274"/>
          <w:marRight w:val="0"/>
          <w:marTop w:val="106"/>
          <w:marBottom w:val="0"/>
          <w:divBdr>
            <w:top w:val="none" w:sz="0" w:space="0" w:color="auto"/>
            <w:left w:val="none" w:sz="0" w:space="0" w:color="auto"/>
            <w:bottom w:val="none" w:sz="0" w:space="0" w:color="auto"/>
            <w:right w:val="none" w:sz="0" w:space="0" w:color="auto"/>
          </w:divBdr>
        </w:div>
      </w:divsChild>
    </w:div>
    <w:div w:id="294024228">
      <w:bodyDiv w:val="1"/>
      <w:marLeft w:val="0"/>
      <w:marRight w:val="0"/>
      <w:marTop w:val="0"/>
      <w:marBottom w:val="0"/>
      <w:divBdr>
        <w:top w:val="none" w:sz="0" w:space="0" w:color="auto"/>
        <w:left w:val="none" w:sz="0" w:space="0" w:color="auto"/>
        <w:bottom w:val="none" w:sz="0" w:space="0" w:color="auto"/>
        <w:right w:val="none" w:sz="0" w:space="0" w:color="auto"/>
      </w:divBdr>
      <w:divsChild>
        <w:div w:id="1824814879">
          <w:marLeft w:val="274"/>
          <w:marRight w:val="0"/>
          <w:marTop w:val="106"/>
          <w:marBottom w:val="0"/>
          <w:divBdr>
            <w:top w:val="none" w:sz="0" w:space="0" w:color="auto"/>
            <w:left w:val="none" w:sz="0" w:space="0" w:color="auto"/>
            <w:bottom w:val="none" w:sz="0" w:space="0" w:color="auto"/>
            <w:right w:val="none" w:sz="0" w:space="0" w:color="auto"/>
          </w:divBdr>
        </w:div>
      </w:divsChild>
    </w:div>
    <w:div w:id="465899337">
      <w:bodyDiv w:val="1"/>
      <w:marLeft w:val="0"/>
      <w:marRight w:val="0"/>
      <w:marTop w:val="0"/>
      <w:marBottom w:val="0"/>
      <w:divBdr>
        <w:top w:val="none" w:sz="0" w:space="0" w:color="auto"/>
        <w:left w:val="none" w:sz="0" w:space="0" w:color="auto"/>
        <w:bottom w:val="none" w:sz="0" w:space="0" w:color="auto"/>
        <w:right w:val="none" w:sz="0" w:space="0" w:color="auto"/>
      </w:divBdr>
    </w:div>
    <w:div w:id="492450558">
      <w:bodyDiv w:val="1"/>
      <w:marLeft w:val="0"/>
      <w:marRight w:val="0"/>
      <w:marTop w:val="0"/>
      <w:marBottom w:val="0"/>
      <w:divBdr>
        <w:top w:val="none" w:sz="0" w:space="0" w:color="auto"/>
        <w:left w:val="none" w:sz="0" w:space="0" w:color="auto"/>
        <w:bottom w:val="none" w:sz="0" w:space="0" w:color="auto"/>
        <w:right w:val="none" w:sz="0" w:space="0" w:color="auto"/>
      </w:divBdr>
    </w:div>
    <w:div w:id="505749071">
      <w:bodyDiv w:val="1"/>
      <w:marLeft w:val="0"/>
      <w:marRight w:val="0"/>
      <w:marTop w:val="0"/>
      <w:marBottom w:val="0"/>
      <w:divBdr>
        <w:top w:val="none" w:sz="0" w:space="0" w:color="auto"/>
        <w:left w:val="none" w:sz="0" w:space="0" w:color="auto"/>
        <w:bottom w:val="none" w:sz="0" w:space="0" w:color="auto"/>
        <w:right w:val="none" w:sz="0" w:space="0" w:color="auto"/>
      </w:divBdr>
    </w:div>
    <w:div w:id="522596313">
      <w:bodyDiv w:val="1"/>
      <w:marLeft w:val="0"/>
      <w:marRight w:val="0"/>
      <w:marTop w:val="0"/>
      <w:marBottom w:val="0"/>
      <w:divBdr>
        <w:top w:val="none" w:sz="0" w:space="0" w:color="auto"/>
        <w:left w:val="none" w:sz="0" w:space="0" w:color="auto"/>
        <w:bottom w:val="none" w:sz="0" w:space="0" w:color="auto"/>
        <w:right w:val="none" w:sz="0" w:space="0" w:color="auto"/>
      </w:divBdr>
    </w:div>
    <w:div w:id="576868044">
      <w:bodyDiv w:val="1"/>
      <w:marLeft w:val="0"/>
      <w:marRight w:val="0"/>
      <w:marTop w:val="0"/>
      <w:marBottom w:val="0"/>
      <w:divBdr>
        <w:top w:val="none" w:sz="0" w:space="0" w:color="auto"/>
        <w:left w:val="none" w:sz="0" w:space="0" w:color="auto"/>
        <w:bottom w:val="none" w:sz="0" w:space="0" w:color="auto"/>
        <w:right w:val="none" w:sz="0" w:space="0" w:color="auto"/>
      </w:divBdr>
      <w:divsChild>
        <w:div w:id="1239048760">
          <w:marLeft w:val="274"/>
          <w:marRight w:val="0"/>
          <w:marTop w:val="115"/>
          <w:marBottom w:val="0"/>
          <w:divBdr>
            <w:top w:val="none" w:sz="0" w:space="0" w:color="auto"/>
            <w:left w:val="none" w:sz="0" w:space="0" w:color="auto"/>
            <w:bottom w:val="none" w:sz="0" w:space="0" w:color="auto"/>
            <w:right w:val="none" w:sz="0" w:space="0" w:color="auto"/>
          </w:divBdr>
        </w:div>
        <w:div w:id="1709062626">
          <w:marLeft w:val="274"/>
          <w:marRight w:val="0"/>
          <w:marTop w:val="115"/>
          <w:marBottom w:val="0"/>
          <w:divBdr>
            <w:top w:val="none" w:sz="0" w:space="0" w:color="auto"/>
            <w:left w:val="none" w:sz="0" w:space="0" w:color="auto"/>
            <w:bottom w:val="none" w:sz="0" w:space="0" w:color="auto"/>
            <w:right w:val="none" w:sz="0" w:space="0" w:color="auto"/>
          </w:divBdr>
        </w:div>
      </w:divsChild>
    </w:div>
    <w:div w:id="835607059">
      <w:bodyDiv w:val="1"/>
      <w:marLeft w:val="0"/>
      <w:marRight w:val="0"/>
      <w:marTop w:val="0"/>
      <w:marBottom w:val="0"/>
      <w:divBdr>
        <w:top w:val="none" w:sz="0" w:space="0" w:color="auto"/>
        <w:left w:val="none" w:sz="0" w:space="0" w:color="auto"/>
        <w:bottom w:val="none" w:sz="0" w:space="0" w:color="auto"/>
        <w:right w:val="none" w:sz="0" w:space="0" w:color="auto"/>
      </w:divBdr>
      <w:divsChild>
        <w:div w:id="93089784">
          <w:marLeft w:val="274"/>
          <w:marRight w:val="0"/>
          <w:marTop w:val="96"/>
          <w:marBottom w:val="0"/>
          <w:divBdr>
            <w:top w:val="none" w:sz="0" w:space="0" w:color="auto"/>
            <w:left w:val="none" w:sz="0" w:space="0" w:color="auto"/>
            <w:bottom w:val="none" w:sz="0" w:space="0" w:color="auto"/>
            <w:right w:val="none" w:sz="0" w:space="0" w:color="auto"/>
          </w:divBdr>
        </w:div>
      </w:divsChild>
    </w:div>
    <w:div w:id="1017731136">
      <w:bodyDiv w:val="1"/>
      <w:marLeft w:val="0"/>
      <w:marRight w:val="0"/>
      <w:marTop w:val="0"/>
      <w:marBottom w:val="0"/>
      <w:divBdr>
        <w:top w:val="none" w:sz="0" w:space="0" w:color="auto"/>
        <w:left w:val="none" w:sz="0" w:space="0" w:color="auto"/>
        <w:bottom w:val="none" w:sz="0" w:space="0" w:color="auto"/>
        <w:right w:val="none" w:sz="0" w:space="0" w:color="auto"/>
      </w:divBdr>
    </w:div>
    <w:div w:id="1032539595">
      <w:bodyDiv w:val="1"/>
      <w:marLeft w:val="0"/>
      <w:marRight w:val="0"/>
      <w:marTop w:val="0"/>
      <w:marBottom w:val="0"/>
      <w:divBdr>
        <w:top w:val="none" w:sz="0" w:space="0" w:color="auto"/>
        <w:left w:val="none" w:sz="0" w:space="0" w:color="auto"/>
        <w:bottom w:val="none" w:sz="0" w:space="0" w:color="auto"/>
        <w:right w:val="none" w:sz="0" w:space="0" w:color="auto"/>
      </w:divBdr>
      <w:divsChild>
        <w:div w:id="975842945">
          <w:marLeft w:val="274"/>
          <w:marRight w:val="0"/>
          <w:marTop w:val="106"/>
          <w:marBottom w:val="0"/>
          <w:divBdr>
            <w:top w:val="none" w:sz="0" w:space="0" w:color="auto"/>
            <w:left w:val="none" w:sz="0" w:space="0" w:color="auto"/>
            <w:bottom w:val="none" w:sz="0" w:space="0" w:color="auto"/>
            <w:right w:val="none" w:sz="0" w:space="0" w:color="auto"/>
          </w:divBdr>
        </w:div>
        <w:div w:id="1472820200">
          <w:marLeft w:val="835"/>
          <w:marRight w:val="0"/>
          <w:marTop w:val="91"/>
          <w:marBottom w:val="0"/>
          <w:divBdr>
            <w:top w:val="none" w:sz="0" w:space="0" w:color="auto"/>
            <w:left w:val="none" w:sz="0" w:space="0" w:color="auto"/>
            <w:bottom w:val="none" w:sz="0" w:space="0" w:color="auto"/>
            <w:right w:val="none" w:sz="0" w:space="0" w:color="auto"/>
          </w:divBdr>
        </w:div>
        <w:div w:id="1736705864">
          <w:marLeft w:val="835"/>
          <w:marRight w:val="0"/>
          <w:marTop w:val="91"/>
          <w:marBottom w:val="0"/>
          <w:divBdr>
            <w:top w:val="none" w:sz="0" w:space="0" w:color="auto"/>
            <w:left w:val="none" w:sz="0" w:space="0" w:color="auto"/>
            <w:bottom w:val="none" w:sz="0" w:space="0" w:color="auto"/>
            <w:right w:val="none" w:sz="0" w:space="0" w:color="auto"/>
          </w:divBdr>
        </w:div>
        <w:div w:id="2018530630">
          <w:marLeft w:val="835"/>
          <w:marRight w:val="0"/>
          <w:marTop w:val="91"/>
          <w:marBottom w:val="0"/>
          <w:divBdr>
            <w:top w:val="none" w:sz="0" w:space="0" w:color="auto"/>
            <w:left w:val="none" w:sz="0" w:space="0" w:color="auto"/>
            <w:bottom w:val="none" w:sz="0" w:space="0" w:color="auto"/>
            <w:right w:val="none" w:sz="0" w:space="0" w:color="auto"/>
          </w:divBdr>
        </w:div>
        <w:div w:id="2123720169">
          <w:marLeft w:val="835"/>
          <w:marRight w:val="0"/>
          <w:marTop w:val="91"/>
          <w:marBottom w:val="0"/>
          <w:divBdr>
            <w:top w:val="none" w:sz="0" w:space="0" w:color="auto"/>
            <w:left w:val="none" w:sz="0" w:space="0" w:color="auto"/>
            <w:bottom w:val="none" w:sz="0" w:space="0" w:color="auto"/>
            <w:right w:val="none" w:sz="0" w:space="0" w:color="auto"/>
          </w:divBdr>
        </w:div>
      </w:divsChild>
    </w:div>
    <w:div w:id="1047489741">
      <w:bodyDiv w:val="1"/>
      <w:marLeft w:val="0"/>
      <w:marRight w:val="0"/>
      <w:marTop w:val="0"/>
      <w:marBottom w:val="0"/>
      <w:divBdr>
        <w:top w:val="none" w:sz="0" w:space="0" w:color="auto"/>
        <w:left w:val="none" w:sz="0" w:space="0" w:color="auto"/>
        <w:bottom w:val="none" w:sz="0" w:space="0" w:color="auto"/>
        <w:right w:val="none" w:sz="0" w:space="0" w:color="auto"/>
      </w:divBdr>
      <w:divsChild>
        <w:div w:id="140314685">
          <w:marLeft w:val="3269"/>
          <w:marRight w:val="0"/>
          <w:marTop w:val="82"/>
          <w:marBottom w:val="0"/>
          <w:divBdr>
            <w:top w:val="none" w:sz="0" w:space="0" w:color="auto"/>
            <w:left w:val="none" w:sz="0" w:space="0" w:color="auto"/>
            <w:bottom w:val="none" w:sz="0" w:space="0" w:color="auto"/>
            <w:right w:val="none" w:sz="0" w:space="0" w:color="auto"/>
          </w:divBdr>
        </w:div>
        <w:div w:id="594168337">
          <w:marLeft w:val="274"/>
          <w:marRight w:val="0"/>
          <w:marTop w:val="96"/>
          <w:marBottom w:val="0"/>
          <w:divBdr>
            <w:top w:val="none" w:sz="0" w:space="0" w:color="auto"/>
            <w:left w:val="none" w:sz="0" w:space="0" w:color="auto"/>
            <w:bottom w:val="none" w:sz="0" w:space="0" w:color="auto"/>
            <w:right w:val="none" w:sz="0" w:space="0" w:color="auto"/>
          </w:divBdr>
        </w:div>
        <w:div w:id="672494295">
          <w:marLeft w:val="2549"/>
          <w:marRight w:val="0"/>
          <w:marTop w:val="82"/>
          <w:marBottom w:val="0"/>
          <w:divBdr>
            <w:top w:val="none" w:sz="0" w:space="0" w:color="auto"/>
            <w:left w:val="none" w:sz="0" w:space="0" w:color="auto"/>
            <w:bottom w:val="none" w:sz="0" w:space="0" w:color="auto"/>
            <w:right w:val="none" w:sz="0" w:space="0" w:color="auto"/>
          </w:divBdr>
        </w:div>
        <w:div w:id="1630436245">
          <w:marLeft w:val="3269"/>
          <w:marRight w:val="0"/>
          <w:marTop w:val="82"/>
          <w:marBottom w:val="0"/>
          <w:divBdr>
            <w:top w:val="none" w:sz="0" w:space="0" w:color="auto"/>
            <w:left w:val="none" w:sz="0" w:space="0" w:color="auto"/>
            <w:bottom w:val="none" w:sz="0" w:space="0" w:color="auto"/>
            <w:right w:val="none" w:sz="0" w:space="0" w:color="auto"/>
          </w:divBdr>
        </w:div>
        <w:div w:id="1735736962">
          <w:marLeft w:val="2549"/>
          <w:marRight w:val="0"/>
          <w:marTop w:val="82"/>
          <w:marBottom w:val="0"/>
          <w:divBdr>
            <w:top w:val="none" w:sz="0" w:space="0" w:color="auto"/>
            <w:left w:val="none" w:sz="0" w:space="0" w:color="auto"/>
            <w:bottom w:val="none" w:sz="0" w:space="0" w:color="auto"/>
            <w:right w:val="none" w:sz="0" w:space="0" w:color="auto"/>
          </w:divBdr>
        </w:div>
      </w:divsChild>
    </w:div>
    <w:div w:id="1064722047">
      <w:bodyDiv w:val="1"/>
      <w:marLeft w:val="0"/>
      <w:marRight w:val="0"/>
      <w:marTop w:val="0"/>
      <w:marBottom w:val="0"/>
      <w:divBdr>
        <w:top w:val="none" w:sz="0" w:space="0" w:color="auto"/>
        <w:left w:val="none" w:sz="0" w:space="0" w:color="auto"/>
        <w:bottom w:val="none" w:sz="0" w:space="0" w:color="auto"/>
        <w:right w:val="none" w:sz="0" w:space="0" w:color="auto"/>
      </w:divBdr>
    </w:div>
    <w:div w:id="1083260648">
      <w:bodyDiv w:val="1"/>
      <w:marLeft w:val="0"/>
      <w:marRight w:val="0"/>
      <w:marTop w:val="0"/>
      <w:marBottom w:val="0"/>
      <w:divBdr>
        <w:top w:val="none" w:sz="0" w:space="0" w:color="auto"/>
        <w:left w:val="none" w:sz="0" w:space="0" w:color="auto"/>
        <w:bottom w:val="none" w:sz="0" w:space="0" w:color="auto"/>
        <w:right w:val="none" w:sz="0" w:space="0" w:color="auto"/>
      </w:divBdr>
    </w:div>
    <w:div w:id="1116175580">
      <w:bodyDiv w:val="1"/>
      <w:marLeft w:val="0"/>
      <w:marRight w:val="0"/>
      <w:marTop w:val="0"/>
      <w:marBottom w:val="0"/>
      <w:divBdr>
        <w:top w:val="none" w:sz="0" w:space="0" w:color="auto"/>
        <w:left w:val="none" w:sz="0" w:space="0" w:color="auto"/>
        <w:bottom w:val="none" w:sz="0" w:space="0" w:color="auto"/>
        <w:right w:val="none" w:sz="0" w:space="0" w:color="auto"/>
      </w:divBdr>
      <w:divsChild>
        <w:div w:id="30805453">
          <w:marLeft w:val="835"/>
          <w:marRight w:val="0"/>
          <w:marTop w:val="96"/>
          <w:marBottom w:val="0"/>
          <w:divBdr>
            <w:top w:val="none" w:sz="0" w:space="0" w:color="auto"/>
            <w:left w:val="none" w:sz="0" w:space="0" w:color="auto"/>
            <w:bottom w:val="none" w:sz="0" w:space="0" w:color="auto"/>
            <w:right w:val="none" w:sz="0" w:space="0" w:color="auto"/>
          </w:divBdr>
        </w:div>
        <w:div w:id="1081294258">
          <w:marLeft w:val="835"/>
          <w:marRight w:val="0"/>
          <w:marTop w:val="96"/>
          <w:marBottom w:val="0"/>
          <w:divBdr>
            <w:top w:val="none" w:sz="0" w:space="0" w:color="auto"/>
            <w:left w:val="none" w:sz="0" w:space="0" w:color="auto"/>
            <w:bottom w:val="none" w:sz="0" w:space="0" w:color="auto"/>
            <w:right w:val="none" w:sz="0" w:space="0" w:color="auto"/>
          </w:divBdr>
        </w:div>
        <w:div w:id="1487935773">
          <w:marLeft w:val="1411"/>
          <w:marRight w:val="0"/>
          <w:marTop w:val="96"/>
          <w:marBottom w:val="0"/>
          <w:divBdr>
            <w:top w:val="none" w:sz="0" w:space="0" w:color="auto"/>
            <w:left w:val="none" w:sz="0" w:space="0" w:color="auto"/>
            <w:bottom w:val="none" w:sz="0" w:space="0" w:color="auto"/>
            <w:right w:val="none" w:sz="0" w:space="0" w:color="auto"/>
          </w:divBdr>
        </w:div>
        <w:div w:id="1768231259">
          <w:marLeft w:val="835"/>
          <w:marRight w:val="0"/>
          <w:marTop w:val="96"/>
          <w:marBottom w:val="0"/>
          <w:divBdr>
            <w:top w:val="none" w:sz="0" w:space="0" w:color="auto"/>
            <w:left w:val="none" w:sz="0" w:space="0" w:color="auto"/>
            <w:bottom w:val="none" w:sz="0" w:space="0" w:color="auto"/>
            <w:right w:val="none" w:sz="0" w:space="0" w:color="auto"/>
          </w:divBdr>
        </w:div>
        <w:div w:id="1784684908">
          <w:marLeft w:val="1411"/>
          <w:marRight w:val="0"/>
          <w:marTop w:val="96"/>
          <w:marBottom w:val="0"/>
          <w:divBdr>
            <w:top w:val="none" w:sz="0" w:space="0" w:color="auto"/>
            <w:left w:val="none" w:sz="0" w:space="0" w:color="auto"/>
            <w:bottom w:val="none" w:sz="0" w:space="0" w:color="auto"/>
            <w:right w:val="none" w:sz="0" w:space="0" w:color="auto"/>
          </w:divBdr>
        </w:div>
      </w:divsChild>
    </w:div>
    <w:div w:id="1168709999">
      <w:bodyDiv w:val="1"/>
      <w:marLeft w:val="0"/>
      <w:marRight w:val="0"/>
      <w:marTop w:val="0"/>
      <w:marBottom w:val="0"/>
      <w:divBdr>
        <w:top w:val="none" w:sz="0" w:space="0" w:color="auto"/>
        <w:left w:val="none" w:sz="0" w:space="0" w:color="auto"/>
        <w:bottom w:val="none" w:sz="0" w:space="0" w:color="auto"/>
        <w:right w:val="none" w:sz="0" w:space="0" w:color="auto"/>
      </w:divBdr>
      <w:divsChild>
        <w:div w:id="391392262">
          <w:marLeft w:val="274"/>
          <w:marRight w:val="0"/>
          <w:marTop w:val="86"/>
          <w:marBottom w:val="0"/>
          <w:divBdr>
            <w:top w:val="none" w:sz="0" w:space="0" w:color="auto"/>
            <w:left w:val="none" w:sz="0" w:space="0" w:color="auto"/>
            <w:bottom w:val="none" w:sz="0" w:space="0" w:color="auto"/>
            <w:right w:val="none" w:sz="0" w:space="0" w:color="auto"/>
          </w:divBdr>
        </w:div>
        <w:div w:id="1898121755">
          <w:marLeft w:val="835"/>
          <w:marRight w:val="0"/>
          <w:marTop w:val="77"/>
          <w:marBottom w:val="0"/>
          <w:divBdr>
            <w:top w:val="none" w:sz="0" w:space="0" w:color="auto"/>
            <w:left w:val="none" w:sz="0" w:space="0" w:color="auto"/>
            <w:bottom w:val="none" w:sz="0" w:space="0" w:color="auto"/>
            <w:right w:val="none" w:sz="0" w:space="0" w:color="auto"/>
          </w:divBdr>
        </w:div>
        <w:div w:id="1910311220">
          <w:marLeft w:val="835"/>
          <w:marRight w:val="0"/>
          <w:marTop w:val="77"/>
          <w:marBottom w:val="0"/>
          <w:divBdr>
            <w:top w:val="none" w:sz="0" w:space="0" w:color="auto"/>
            <w:left w:val="none" w:sz="0" w:space="0" w:color="auto"/>
            <w:bottom w:val="none" w:sz="0" w:space="0" w:color="auto"/>
            <w:right w:val="none" w:sz="0" w:space="0" w:color="auto"/>
          </w:divBdr>
        </w:div>
      </w:divsChild>
    </w:div>
    <w:div w:id="1481850622">
      <w:bodyDiv w:val="1"/>
      <w:marLeft w:val="0"/>
      <w:marRight w:val="0"/>
      <w:marTop w:val="0"/>
      <w:marBottom w:val="0"/>
      <w:divBdr>
        <w:top w:val="none" w:sz="0" w:space="0" w:color="auto"/>
        <w:left w:val="none" w:sz="0" w:space="0" w:color="auto"/>
        <w:bottom w:val="none" w:sz="0" w:space="0" w:color="auto"/>
        <w:right w:val="none" w:sz="0" w:space="0" w:color="auto"/>
      </w:divBdr>
    </w:div>
    <w:div w:id="1584682704">
      <w:bodyDiv w:val="1"/>
      <w:marLeft w:val="0"/>
      <w:marRight w:val="0"/>
      <w:marTop w:val="0"/>
      <w:marBottom w:val="0"/>
      <w:divBdr>
        <w:top w:val="none" w:sz="0" w:space="0" w:color="auto"/>
        <w:left w:val="none" w:sz="0" w:space="0" w:color="auto"/>
        <w:bottom w:val="none" w:sz="0" w:space="0" w:color="auto"/>
        <w:right w:val="none" w:sz="0" w:space="0" w:color="auto"/>
      </w:divBdr>
    </w:div>
    <w:div w:id="1693267744">
      <w:bodyDiv w:val="1"/>
      <w:marLeft w:val="0"/>
      <w:marRight w:val="0"/>
      <w:marTop w:val="0"/>
      <w:marBottom w:val="0"/>
      <w:divBdr>
        <w:top w:val="none" w:sz="0" w:space="0" w:color="auto"/>
        <w:left w:val="none" w:sz="0" w:space="0" w:color="auto"/>
        <w:bottom w:val="none" w:sz="0" w:space="0" w:color="auto"/>
        <w:right w:val="none" w:sz="0" w:space="0" w:color="auto"/>
      </w:divBdr>
      <w:divsChild>
        <w:div w:id="1755320487">
          <w:marLeft w:val="835"/>
          <w:marRight w:val="0"/>
          <w:marTop w:val="77"/>
          <w:marBottom w:val="0"/>
          <w:divBdr>
            <w:top w:val="none" w:sz="0" w:space="0" w:color="auto"/>
            <w:left w:val="none" w:sz="0" w:space="0" w:color="auto"/>
            <w:bottom w:val="none" w:sz="0" w:space="0" w:color="auto"/>
            <w:right w:val="none" w:sz="0" w:space="0" w:color="auto"/>
          </w:divBdr>
        </w:div>
      </w:divsChild>
    </w:div>
    <w:div w:id="1718696564">
      <w:bodyDiv w:val="1"/>
      <w:marLeft w:val="0"/>
      <w:marRight w:val="0"/>
      <w:marTop w:val="0"/>
      <w:marBottom w:val="0"/>
      <w:divBdr>
        <w:top w:val="none" w:sz="0" w:space="0" w:color="auto"/>
        <w:left w:val="none" w:sz="0" w:space="0" w:color="auto"/>
        <w:bottom w:val="none" w:sz="0" w:space="0" w:color="auto"/>
        <w:right w:val="none" w:sz="0" w:space="0" w:color="auto"/>
      </w:divBdr>
    </w:div>
    <w:div w:id="182527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0E172-923A-401A-8E80-AB1BB79FF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2129</Words>
  <Characters>12136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 Yang A</dc:creator>
  <cp:lastModifiedBy>Yu Yang A</cp:lastModifiedBy>
  <cp:revision>3</cp:revision>
  <cp:lastPrinted>2014-08-07T13:35:00Z</cp:lastPrinted>
  <dcterms:created xsi:type="dcterms:W3CDTF">2015-11-06T09:04:00Z</dcterms:created>
  <dcterms:modified xsi:type="dcterms:W3CDTF">2015-11-06T09:05:00Z</dcterms:modified>
</cp:coreProperties>
</file>