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3B883B3" w14:textId="51394028" w:rsidR="00FF4A9B" w:rsidRPr="007C1B33" w:rsidRDefault="00FF4A9B" w:rsidP="00FF4A9B">
      <w:pPr>
        <w:pStyle w:val="TdocHeader2"/>
        <w:rPr>
          <w:rFonts w:eastAsia="Times New Roman" w:cs="Arial"/>
          <w:bCs/>
          <w:noProof/>
          <w:sz w:val="20"/>
          <w:szCs w:val="18"/>
          <w:lang w:val="en-US" w:eastAsia="zh-CN"/>
        </w:rPr>
      </w:pPr>
      <w:bookmarkStart w:id="0" w:name="OLE_LINK1"/>
      <w:bookmarkStart w:id="1" w:name="OLE_LINK2"/>
      <w:bookmarkStart w:id="2" w:name="_GoBack"/>
      <w:bookmarkEnd w:id="2"/>
      <w:r>
        <w:rPr>
          <w:rFonts w:eastAsia="Times New Roman" w:cs="Arial"/>
          <w:bCs/>
          <w:noProof/>
          <w:sz w:val="20"/>
          <w:szCs w:val="18"/>
          <w:lang w:val="en-US" w:eastAsia="zh-CN"/>
        </w:rPr>
        <w:t>3GPP TSG RAN WG1 Meeting #8</w:t>
      </w:r>
      <w:r w:rsidR="009802ED">
        <w:rPr>
          <w:rFonts w:eastAsia="Times New Roman" w:cs="Arial"/>
          <w:bCs/>
          <w:noProof/>
          <w:sz w:val="20"/>
          <w:szCs w:val="18"/>
          <w:lang w:val="en-US" w:eastAsia="zh-CN"/>
        </w:rPr>
        <w:t xml:space="preserve">3  </w:t>
      </w:r>
      <w:r w:rsidRPr="007C1B33">
        <w:rPr>
          <w:rFonts w:eastAsia="Times New Roman" w:cs="Arial"/>
          <w:bCs/>
          <w:noProof/>
          <w:sz w:val="20"/>
          <w:szCs w:val="18"/>
          <w:lang w:val="en-US" w:eastAsia="zh-CN"/>
        </w:rPr>
        <w:t xml:space="preserve">                                                      </w:t>
      </w:r>
      <w:r w:rsidR="006D5BE2">
        <w:rPr>
          <w:rFonts w:eastAsia="Times New Roman" w:cs="Arial"/>
          <w:bCs/>
          <w:noProof/>
          <w:sz w:val="20"/>
          <w:szCs w:val="18"/>
          <w:lang w:val="en-US" w:eastAsia="zh-CN"/>
        </w:rPr>
        <w:t xml:space="preserve"> </w:t>
      </w:r>
      <w:r w:rsidRPr="007C1B33">
        <w:rPr>
          <w:rFonts w:eastAsia="Times New Roman" w:cs="Arial"/>
          <w:bCs/>
          <w:noProof/>
          <w:sz w:val="20"/>
          <w:szCs w:val="18"/>
          <w:lang w:val="en-US" w:eastAsia="zh-CN"/>
        </w:rPr>
        <w:t xml:space="preserve">                      </w:t>
      </w:r>
      <w:r w:rsidR="00C66278">
        <w:rPr>
          <w:rFonts w:eastAsia="Times New Roman" w:cs="Arial"/>
          <w:bCs/>
          <w:noProof/>
          <w:sz w:val="20"/>
          <w:szCs w:val="18"/>
          <w:lang w:val="en-US" w:eastAsia="zh-CN"/>
        </w:rPr>
        <w:t xml:space="preserve">    </w:t>
      </w:r>
      <w:r w:rsidRPr="00D96A10">
        <w:rPr>
          <w:rFonts w:eastAsia="Times New Roman" w:cs="Arial"/>
          <w:bCs/>
          <w:noProof/>
          <w:sz w:val="20"/>
          <w:szCs w:val="18"/>
          <w:lang w:val="en-US" w:eastAsia="zh-CN"/>
        </w:rPr>
        <w:t>R1-15</w:t>
      </w:r>
      <w:r w:rsidR="005B6901">
        <w:rPr>
          <w:rFonts w:eastAsia="Times New Roman" w:cs="Arial"/>
          <w:bCs/>
          <w:noProof/>
          <w:sz w:val="20"/>
          <w:szCs w:val="18"/>
          <w:lang w:val="en-US" w:eastAsia="zh-CN"/>
        </w:rPr>
        <w:t>7148</w:t>
      </w:r>
    </w:p>
    <w:p w14:paraId="38A15BFE" w14:textId="46979899" w:rsidR="00FF4A9B" w:rsidRDefault="00011347" w:rsidP="00FF4A9B">
      <w:pPr>
        <w:pStyle w:val="TdocHeader2"/>
        <w:rPr>
          <w:rFonts w:eastAsia="Times New Roman" w:cs="Arial"/>
          <w:bCs/>
          <w:noProof/>
          <w:sz w:val="20"/>
          <w:szCs w:val="18"/>
          <w:lang w:val="en-US" w:eastAsia="zh-CN"/>
        </w:rPr>
      </w:pPr>
      <w:r>
        <w:rPr>
          <w:rFonts w:eastAsia="Times New Roman" w:cs="Arial"/>
          <w:bCs/>
          <w:noProof/>
          <w:sz w:val="20"/>
          <w:szCs w:val="18"/>
          <w:lang w:val="en-US" w:eastAsia="zh-CN"/>
        </w:rPr>
        <w:t>Anaheim</w:t>
      </w:r>
      <w:r w:rsidR="00FF4A9B" w:rsidRPr="00395CD7">
        <w:rPr>
          <w:rFonts w:eastAsia="Times New Roman" w:cs="Arial"/>
          <w:bCs/>
          <w:noProof/>
          <w:sz w:val="20"/>
          <w:szCs w:val="18"/>
          <w:lang w:val="en-US" w:eastAsia="zh-CN"/>
        </w:rPr>
        <w:t xml:space="preserve">, </w:t>
      </w:r>
      <w:r>
        <w:rPr>
          <w:rFonts w:eastAsia="Times New Roman" w:cs="Arial"/>
          <w:bCs/>
          <w:noProof/>
          <w:sz w:val="20"/>
          <w:szCs w:val="18"/>
          <w:lang w:val="en-US" w:eastAsia="zh-CN"/>
        </w:rPr>
        <w:t>USA</w:t>
      </w:r>
      <w:r w:rsidR="00FF4A9B" w:rsidRPr="00395CD7">
        <w:rPr>
          <w:rFonts w:eastAsia="Times New Roman" w:cs="Arial"/>
          <w:bCs/>
          <w:noProof/>
          <w:sz w:val="20"/>
          <w:szCs w:val="18"/>
          <w:lang w:val="en-US" w:eastAsia="zh-CN"/>
        </w:rPr>
        <w:t xml:space="preserve">, </w:t>
      </w:r>
      <w:r w:rsidR="00047BE3">
        <w:rPr>
          <w:rFonts w:eastAsia="Times New Roman" w:cs="Arial"/>
          <w:bCs/>
          <w:noProof/>
          <w:sz w:val="20"/>
          <w:szCs w:val="18"/>
          <w:lang w:val="en-US" w:eastAsia="zh-CN"/>
        </w:rPr>
        <w:t>1</w:t>
      </w:r>
      <w:r>
        <w:rPr>
          <w:rFonts w:eastAsia="Times New Roman" w:cs="Arial"/>
          <w:bCs/>
          <w:noProof/>
          <w:sz w:val="20"/>
          <w:szCs w:val="18"/>
          <w:lang w:val="en-US" w:eastAsia="zh-CN"/>
        </w:rPr>
        <w:t>5</w:t>
      </w:r>
      <w:r w:rsidR="00FF4A9B" w:rsidRPr="00680D0D">
        <w:rPr>
          <w:rFonts w:eastAsia="Times New Roman" w:cs="Arial"/>
          <w:bCs/>
          <w:noProof/>
          <w:sz w:val="20"/>
          <w:szCs w:val="18"/>
          <w:vertAlign w:val="superscript"/>
          <w:lang w:val="en-US" w:eastAsia="zh-CN"/>
        </w:rPr>
        <w:t>th</w:t>
      </w:r>
      <w:r>
        <w:rPr>
          <w:rFonts w:eastAsia="Times New Roman" w:cs="Arial"/>
          <w:bCs/>
          <w:noProof/>
          <w:sz w:val="20"/>
          <w:szCs w:val="18"/>
          <w:lang w:val="en-US" w:eastAsia="zh-CN"/>
        </w:rPr>
        <w:t xml:space="preserve"> -</w:t>
      </w:r>
      <w:r w:rsidR="00FF4A9B" w:rsidRPr="00395CD7">
        <w:rPr>
          <w:rFonts w:eastAsia="Times New Roman" w:cs="Arial"/>
          <w:bCs/>
          <w:noProof/>
          <w:sz w:val="20"/>
          <w:szCs w:val="18"/>
          <w:lang w:val="en-US" w:eastAsia="zh-CN"/>
        </w:rPr>
        <w:t xml:space="preserve"> </w:t>
      </w:r>
      <w:r w:rsidR="00047BE3">
        <w:rPr>
          <w:rFonts w:eastAsia="Times New Roman" w:cs="Arial"/>
          <w:bCs/>
          <w:noProof/>
          <w:sz w:val="20"/>
          <w:szCs w:val="18"/>
          <w:lang w:val="en-US" w:eastAsia="zh-CN"/>
        </w:rPr>
        <w:t>2</w:t>
      </w:r>
      <w:r>
        <w:rPr>
          <w:rFonts w:eastAsia="Times New Roman" w:cs="Arial"/>
          <w:bCs/>
          <w:noProof/>
          <w:sz w:val="20"/>
          <w:szCs w:val="18"/>
          <w:lang w:val="en-US" w:eastAsia="zh-CN"/>
        </w:rPr>
        <w:t>2</w:t>
      </w:r>
      <w:r w:rsidRPr="00680D0D">
        <w:rPr>
          <w:rFonts w:eastAsia="Times New Roman" w:cs="Arial"/>
          <w:bCs/>
          <w:noProof/>
          <w:sz w:val="20"/>
          <w:szCs w:val="18"/>
          <w:vertAlign w:val="superscript"/>
          <w:lang w:val="en-US" w:eastAsia="zh-CN"/>
        </w:rPr>
        <w:t>nd</w:t>
      </w:r>
      <w:r>
        <w:rPr>
          <w:rFonts w:eastAsia="Times New Roman" w:cs="Arial"/>
          <w:bCs/>
          <w:noProof/>
          <w:sz w:val="20"/>
          <w:szCs w:val="18"/>
          <w:lang w:val="en-US" w:eastAsia="zh-CN"/>
        </w:rPr>
        <w:t xml:space="preserve"> </w:t>
      </w:r>
      <w:r w:rsidR="00047BE3">
        <w:rPr>
          <w:rFonts w:eastAsia="Times New Roman" w:cs="Arial"/>
          <w:bCs/>
          <w:noProof/>
          <w:sz w:val="20"/>
          <w:szCs w:val="18"/>
          <w:lang w:val="en-US" w:eastAsia="zh-CN"/>
        </w:rPr>
        <w:t>November</w:t>
      </w:r>
      <w:r w:rsidR="00FF4A9B" w:rsidRPr="00395CD7">
        <w:rPr>
          <w:rFonts w:eastAsia="Times New Roman" w:cs="Arial"/>
          <w:bCs/>
          <w:noProof/>
          <w:sz w:val="20"/>
          <w:szCs w:val="18"/>
          <w:lang w:val="en-US" w:eastAsia="zh-CN"/>
        </w:rPr>
        <w:t xml:space="preserve"> 2015</w:t>
      </w:r>
    </w:p>
    <w:p w14:paraId="215303AE" w14:textId="77777777" w:rsidR="003B5FD2" w:rsidRDefault="003B5FD2" w:rsidP="00B67E6C">
      <w:pPr>
        <w:pStyle w:val="TdocHeader2"/>
        <w:rPr>
          <w:sz w:val="20"/>
          <w:lang w:val="en-US"/>
        </w:rPr>
      </w:pPr>
    </w:p>
    <w:p w14:paraId="08C0ECFA" w14:textId="77777777" w:rsidR="00B67E6C" w:rsidRPr="008979AC" w:rsidRDefault="00B67E6C" w:rsidP="00B67E6C">
      <w:pPr>
        <w:pStyle w:val="TdocHeader2"/>
        <w:rPr>
          <w:sz w:val="20"/>
          <w:lang w:val="en-US"/>
        </w:rPr>
      </w:pPr>
      <w:r w:rsidRPr="008979AC">
        <w:rPr>
          <w:sz w:val="20"/>
          <w:lang w:val="en-US"/>
        </w:rPr>
        <w:t xml:space="preserve">Source: </w:t>
      </w:r>
      <w:r w:rsidRPr="008979AC">
        <w:rPr>
          <w:sz w:val="20"/>
          <w:lang w:val="en-US"/>
        </w:rPr>
        <w:tab/>
        <w:t>Ericsson</w:t>
      </w:r>
    </w:p>
    <w:p w14:paraId="6C4FE039" w14:textId="02CF4340" w:rsidR="00B67E6C" w:rsidRPr="0027658D" w:rsidRDefault="00B67E6C" w:rsidP="00B67E6C">
      <w:pPr>
        <w:pStyle w:val="TdocHeader2"/>
        <w:rPr>
          <w:sz w:val="20"/>
          <w:lang w:val="en-US"/>
        </w:rPr>
      </w:pPr>
      <w:r w:rsidRPr="008979AC">
        <w:rPr>
          <w:sz w:val="20"/>
          <w:lang w:val="en-US"/>
        </w:rPr>
        <w:t>Title:</w:t>
      </w:r>
      <w:bookmarkStart w:id="3" w:name="Title"/>
      <w:bookmarkEnd w:id="3"/>
      <w:r w:rsidRPr="008979AC">
        <w:rPr>
          <w:sz w:val="20"/>
          <w:lang w:val="en-US"/>
        </w:rPr>
        <w:tab/>
      </w:r>
      <w:r w:rsidR="005B6901">
        <w:rPr>
          <w:sz w:val="20"/>
          <w:lang w:val="en-US"/>
        </w:rPr>
        <w:t>Physical layer aspects of TTI shortening for downlink transmissions</w:t>
      </w:r>
    </w:p>
    <w:p w14:paraId="4F59EDC2" w14:textId="525AAC51" w:rsidR="00B67E6C" w:rsidRPr="002D72B0" w:rsidRDefault="00B67E6C" w:rsidP="00B67E6C">
      <w:pPr>
        <w:pStyle w:val="TdocHeader2"/>
        <w:rPr>
          <w:sz w:val="20"/>
          <w:lang w:val="en-US"/>
        </w:rPr>
      </w:pPr>
      <w:r w:rsidRPr="002D72B0">
        <w:rPr>
          <w:sz w:val="20"/>
          <w:lang w:val="en-US"/>
        </w:rPr>
        <w:t>Agenda Item:</w:t>
      </w:r>
      <w:r w:rsidRPr="002D72B0">
        <w:rPr>
          <w:sz w:val="20"/>
          <w:lang w:val="en-US"/>
        </w:rPr>
        <w:tab/>
      </w:r>
      <w:r w:rsidR="00CE501A">
        <w:rPr>
          <w:sz w:val="20"/>
          <w:lang w:val="en-US"/>
        </w:rPr>
        <w:t>6.2.9.2</w:t>
      </w:r>
    </w:p>
    <w:p w14:paraId="4802F97A" w14:textId="77777777" w:rsidR="00B67E6C" w:rsidRPr="0027658D" w:rsidRDefault="00B67E6C" w:rsidP="00B67E6C">
      <w:pPr>
        <w:pStyle w:val="TdocHeader2"/>
        <w:rPr>
          <w:sz w:val="20"/>
          <w:lang w:val="en-US"/>
        </w:rPr>
      </w:pPr>
      <w:r>
        <w:rPr>
          <w:sz w:val="20"/>
          <w:lang w:val="en-US"/>
        </w:rPr>
        <w:t>Document for:</w:t>
      </w:r>
      <w:r>
        <w:rPr>
          <w:sz w:val="20"/>
          <w:lang w:val="en-US"/>
        </w:rPr>
        <w:tab/>
        <w:t>Discussion</w:t>
      </w:r>
      <w:r w:rsidR="00A81A0C">
        <w:rPr>
          <w:sz w:val="20"/>
          <w:lang w:val="en-US"/>
        </w:rPr>
        <w:t xml:space="preserve"> and Decision</w:t>
      </w:r>
    </w:p>
    <w:p w14:paraId="35299A88" w14:textId="77777777" w:rsidR="00B67E6C" w:rsidRDefault="00B67E6C" w:rsidP="00B67E6C">
      <w:pPr>
        <w:pStyle w:val="Heading1"/>
        <w:rPr>
          <w:lang w:val="en-US"/>
        </w:rPr>
      </w:pPr>
      <w:bookmarkStart w:id="4" w:name="_Ref298777854"/>
      <w:bookmarkEnd w:id="0"/>
      <w:bookmarkEnd w:id="1"/>
      <w:r w:rsidRPr="00310B2F">
        <w:rPr>
          <w:lang w:val="en-US"/>
        </w:rPr>
        <w:t>Introduction</w:t>
      </w:r>
      <w:bookmarkEnd w:id="4"/>
    </w:p>
    <w:p w14:paraId="3F0D1E25" w14:textId="5E50AD1C" w:rsidR="009802ED" w:rsidRDefault="00ED3E15" w:rsidP="009802ED">
      <w:r>
        <w:rPr>
          <w:lang w:val="en-US"/>
        </w:rPr>
        <w:t>A</w:t>
      </w:r>
      <w:r>
        <w:t xml:space="preserve"> study item was agreed at RAN #67 to </w:t>
      </w:r>
      <w:r w:rsidR="007B430B">
        <w:t>investigate</w:t>
      </w:r>
      <w:r>
        <w:t xml:space="preserve"> the l</w:t>
      </w:r>
      <w:r w:rsidRPr="00ED3E15">
        <w:t xml:space="preserve">atency reduction </w:t>
      </w:r>
      <w:r>
        <w:t xml:space="preserve">techniques </w:t>
      </w:r>
      <w:r w:rsidRPr="00ED3E15">
        <w:t>for LTE</w:t>
      </w:r>
      <w:r>
        <w:t xml:space="preserve"> [1]. </w:t>
      </w:r>
      <w:r w:rsidR="009802ED">
        <w:t xml:space="preserve">One </w:t>
      </w:r>
      <w:r w:rsidR="002C5397">
        <w:t xml:space="preserve">candidate </w:t>
      </w:r>
      <w:r w:rsidR="006530E3">
        <w:t xml:space="preserve">technique </w:t>
      </w:r>
      <w:r w:rsidR="009802ED">
        <w:t>for latency reduction is TTI shortening and reduction of processing time.</w:t>
      </w:r>
      <w:r w:rsidR="002C5397">
        <w:t xml:space="preserve"> </w:t>
      </w:r>
      <w:r w:rsidR="009802ED">
        <w:t xml:space="preserve">In this contribution we </w:t>
      </w:r>
      <w:r w:rsidR="009542EC">
        <w:t>provide our views</w:t>
      </w:r>
      <w:r w:rsidR="009802ED">
        <w:t xml:space="preserve"> on </w:t>
      </w:r>
      <w:r w:rsidR="00F575EF">
        <w:t xml:space="preserve">the </w:t>
      </w:r>
      <w:r w:rsidR="009542EC">
        <w:t xml:space="preserve">physical layer design for </w:t>
      </w:r>
      <w:r w:rsidR="00D9137D">
        <w:t xml:space="preserve">shortened </w:t>
      </w:r>
      <w:r w:rsidR="009802ED">
        <w:t xml:space="preserve">TTI </w:t>
      </w:r>
      <w:r w:rsidR="009542EC">
        <w:t xml:space="preserve">in </w:t>
      </w:r>
      <w:r w:rsidR="00F575EF">
        <w:t xml:space="preserve">LTE </w:t>
      </w:r>
      <w:r w:rsidR="001C3ED7">
        <w:t>downlink</w:t>
      </w:r>
      <w:r w:rsidR="009802ED">
        <w:t>.</w:t>
      </w:r>
    </w:p>
    <w:p w14:paraId="3F0011C7" w14:textId="77777777" w:rsidR="00E16CD2" w:rsidRPr="00E16CD2" w:rsidRDefault="00070520" w:rsidP="00E16CD2">
      <w:pPr>
        <w:pStyle w:val="Heading1"/>
      </w:pPr>
      <w:r>
        <w:t>D</w:t>
      </w:r>
      <w:r w:rsidR="00436735">
        <w:t>iscussion</w:t>
      </w:r>
    </w:p>
    <w:p w14:paraId="4152DDBA" w14:textId="0B64B8B6" w:rsidR="00DB7848" w:rsidRDefault="001C3ED7" w:rsidP="00037EDB">
      <w:r>
        <w:t>The packet latency can be reduced with a reduction of transport time of data and control by addressing the length of a TTI. Th</w:t>
      </w:r>
      <w:r w:rsidR="00635217">
        <w:t>e</w:t>
      </w:r>
      <w:r>
        <w:t xml:space="preserve"> length of TTI </w:t>
      </w:r>
      <w:r w:rsidR="00635217">
        <w:t>has</w:t>
      </w:r>
      <w:r>
        <w:t xml:space="preserve"> an impact </w:t>
      </w:r>
      <w:r w:rsidR="00635217">
        <w:t xml:space="preserve">on </w:t>
      </w:r>
      <w:r>
        <w:t xml:space="preserve">both the time for transmitting over </w:t>
      </w:r>
      <w:r w:rsidR="00454C18">
        <w:t xml:space="preserve">the </w:t>
      </w:r>
      <w:r>
        <w:t xml:space="preserve">air and </w:t>
      </w:r>
      <w:r w:rsidR="006B3D90">
        <w:t xml:space="preserve">the </w:t>
      </w:r>
      <w:r>
        <w:t xml:space="preserve">processing time </w:t>
      </w:r>
      <w:r w:rsidR="00182F61">
        <w:t>at</w:t>
      </w:r>
      <w:r>
        <w:t xml:space="preserve"> </w:t>
      </w:r>
      <w:r w:rsidR="006B3D90">
        <w:t xml:space="preserve">the </w:t>
      </w:r>
      <w:r>
        <w:t xml:space="preserve">transmitter and </w:t>
      </w:r>
      <w:r w:rsidR="006B3D90">
        <w:t xml:space="preserve">the </w:t>
      </w:r>
      <w:r>
        <w:t xml:space="preserve">receiver. The length of </w:t>
      </w:r>
      <w:r w:rsidR="00DF5848">
        <w:t xml:space="preserve">a </w:t>
      </w:r>
      <w:r>
        <w:t xml:space="preserve">downlink TTI can be reduced, as compared to the 1ms subframe in LTE pre-Release 14, by defining the TTI to be constructed of less than 14 OFDM symbols. In downlink, </w:t>
      </w:r>
      <w:r w:rsidR="0068398B">
        <w:t>the shortened TTI spans from 0.5ms down to 1 OFDM symbol</w:t>
      </w:r>
      <w:r>
        <w:t>.</w:t>
      </w:r>
    </w:p>
    <w:p w14:paraId="2310F90C" w14:textId="320EC65B" w:rsidR="00C52450" w:rsidRDefault="000251B7" w:rsidP="00C52450">
      <w:pPr>
        <w:pStyle w:val="Heading2"/>
      </w:pPr>
      <w:r>
        <w:t>Downlink shared channel</w:t>
      </w:r>
    </w:p>
    <w:p w14:paraId="682F54B6" w14:textId="77777777" w:rsidR="00DA46FB" w:rsidRDefault="00DA46FB" w:rsidP="00680D0D">
      <w:pPr>
        <w:pStyle w:val="Heading3"/>
        <w:tabs>
          <w:tab w:val="clear" w:pos="3150"/>
          <w:tab w:val="num" w:pos="720"/>
        </w:tabs>
        <w:ind w:left="720"/>
      </w:pPr>
      <w:r w:rsidRPr="002A25D1">
        <w:t>Reduced processing and</w:t>
      </w:r>
      <w:r>
        <w:t xml:space="preserve"> </w:t>
      </w:r>
      <w:r w:rsidRPr="002A25D1">
        <w:t>feedback timing</w:t>
      </w:r>
    </w:p>
    <w:p w14:paraId="7AD1C3B9" w14:textId="6A68A622" w:rsidR="00DA46FB" w:rsidRDefault="00DA46FB" w:rsidP="00DA46FB">
      <w:r>
        <w:t xml:space="preserve">At least for </w:t>
      </w:r>
      <w:r w:rsidR="002B2008">
        <w:t xml:space="preserve">the </w:t>
      </w:r>
      <w:r>
        <w:t>DL shared channel</w:t>
      </w:r>
      <w:r w:rsidR="00333A1E">
        <w:t>,</w:t>
      </w:r>
      <w:r w:rsidR="002B2008">
        <w:t xml:space="preserve"> </w:t>
      </w:r>
      <w:r>
        <w:t>the amount of data within</w:t>
      </w:r>
      <w:r w:rsidR="002B2008">
        <w:t xml:space="preserve"> a</w:t>
      </w:r>
      <w:r>
        <w:t xml:space="preserve"> shortened TTI which need</w:t>
      </w:r>
      <w:r w:rsidR="002B2008">
        <w:t>s</w:t>
      </w:r>
      <w:r>
        <w:t xml:space="preserve"> to be processed for transmission and reception can be reduced</w:t>
      </w:r>
      <w:r w:rsidR="00333A1E">
        <w:t xml:space="preserve"> compared to legacy</w:t>
      </w:r>
      <w:r>
        <w:t>. The required time for Turbo encoding and decoding can be assumed to scale with the TTI length. This can also be assumed to hold for the mapping and de-mapping of REs, and more straightforward</w:t>
      </w:r>
      <w:r w:rsidR="00333A1E">
        <w:t>ly</w:t>
      </w:r>
      <w:r>
        <w:t xml:space="preserve"> </w:t>
      </w:r>
      <w:r w:rsidR="00704FD1">
        <w:t xml:space="preserve">the </w:t>
      </w:r>
      <w:r>
        <w:t xml:space="preserve">physical transmission/reception time of a TTI. </w:t>
      </w:r>
    </w:p>
    <w:p w14:paraId="5C4E88D7" w14:textId="7BDC5949" w:rsidR="00DA46FB" w:rsidRDefault="00DA46FB" w:rsidP="00DA46FB">
      <w:r>
        <w:t xml:space="preserve">Given that the UE could decode the data much faster than the legacy PDSCH, the HARQ feedback delay as well as the timing between HARQ feedback and retransmission should be reconsidered such that the HARQ RTT can be reduced. Note that this has a direct impact on the maximum number of supported DL HARQ processes. Currently, the downlink scheduling is based </w:t>
      </w:r>
      <w:r w:rsidR="00333A1E">
        <w:t xml:space="preserve">on </w:t>
      </w:r>
      <w:r>
        <w:t xml:space="preserve">asynchronous HARQ operation. We envision </w:t>
      </w:r>
      <w:r w:rsidR="00333A1E">
        <w:t xml:space="preserve">that </w:t>
      </w:r>
      <w:r>
        <w:t>this can still be used for the shortened TTI and the reduced processing and feedback timing will in the end be exploited by the eNB</w:t>
      </w:r>
      <w:r w:rsidR="00333A1E">
        <w:t>,</w:t>
      </w:r>
      <w:r>
        <w:t xml:space="preserve"> resulting </w:t>
      </w:r>
      <w:r w:rsidR="00333A1E">
        <w:t xml:space="preserve">in </w:t>
      </w:r>
      <w:r>
        <w:t xml:space="preserve">reduced retransmission delay. </w:t>
      </w:r>
    </w:p>
    <w:p w14:paraId="4BE48AE1" w14:textId="77777777" w:rsidR="00DA46FB" w:rsidRDefault="00DA46FB" w:rsidP="00DA46FB">
      <w:pPr>
        <w:rPr>
          <w:b/>
        </w:rPr>
      </w:pPr>
      <w:r>
        <w:rPr>
          <w:b/>
        </w:rPr>
        <w:t>Proposal</w:t>
      </w:r>
      <w:r w:rsidRPr="00273B11">
        <w:rPr>
          <w:b/>
        </w:rPr>
        <w:t>:</w:t>
      </w:r>
    </w:p>
    <w:p w14:paraId="19B0AD5C" w14:textId="4182E5B8" w:rsidR="00DA46FB" w:rsidRDefault="00DA46FB" w:rsidP="00DA46FB">
      <w:pPr>
        <w:pStyle w:val="ListParagraph"/>
        <w:numPr>
          <w:ilvl w:val="0"/>
          <w:numId w:val="36"/>
        </w:numPr>
        <w:spacing w:after="120"/>
        <w:jc w:val="both"/>
        <w:rPr>
          <w:b/>
        </w:rPr>
      </w:pPr>
      <w:r>
        <w:rPr>
          <w:b/>
          <w:sz w:val="22"/>
        </w:rPr>
        <w:t>Study the reduced processing and HARQ feedback timing for DL shared channel with shortened TTI</w:t>
      </w:r>
      <w:r w:rsidR="004D43EE">
        <w:rPr>
          <w:b/>
          <w:sz w:val="22"/>
        </w:rPr>
        <w:t>.</w:t>
      </w:r>
    </w:p>
    <w:p w14:paraId="29F7712C" w14:textId="55B3899A" w:rsidR="00DA46FB" w:rsidRPr="00273B11" w:rsidRDefault="00DA46FB" w:rsidP="00A009A9">
      <w:pPr>
        <w:pStyle w:val="ListParagraph"/>
        <w:numPr>
          <w:ilvl w:val="1"/>
          <w:numId w:val="36"/>
        </w:numPr>
        <w:spacing w:after="120"/>
        <w:jc w:val="both"/>
        <w:rPr>
          <w:b/>
        </w:rPr>
      </w:pPr>
      <w:r>
        <w:rPr>
          <w:b/>
          <w:sz w:val="22"/>
        </w:rPr>
        <w:t>A</w:t>
      </w:r>
      <w:r w:rsidRPr="008A2FBD">
        <w:rPr>
          <w:b/>
          <w:sz w:val="22"/>
        </w:rPr>
        <w:t>synchronous HARQ</w:t>
      </w:r>
      <w:r>
        <w:rPr>
          <w:b/>
          <w:sz w:val="22"/>
        </w:rPr>
        <w:t xml:space="preserve"> </w:t>
      </w:r>
      <w:r w:rsidRPr="008A2FBD">
        <w:rPr>
          <w:b/>
          <w:sz w:val="22"/>
        </w:rPr>
        <w:t xml:space="preserve">can be reused for </w:t>
      </w:r>
      <w:r>
        <w:rPr>
          <w:b/>
          <w:sz w:val="22"/>
        </w:rPr>
        <w:t xml:space="preserve">DL shared channel with </w:t>
      </w:r>
      <w:r w:rsidRPr="008A2FBD">
        <w:rPr>
          <w:b/>
          <w:sz w:val="22"/>
        </w:rPr>
        <w:t>shortened TTI</w:t>
      </w:r>
      <w:r w:rsidR="004D43EE">
        <w:rPr>
          <w:b/>
          <w:sz w:val="22"/>
        </w:rPr>
        <w:t>.</w:t>
      </w:r>
    </w:p>
    <w:p w14:paraId="5D2EF7FB" w14:textId="77777777" w:rsidR="00CA347C" w:rsidRDefault="00CA347C" w:rsidP="00680D0D">
      <w:pPr>
        <w:pStyle w:val="Heading3"/>
        <w:tabs>
          <w:tab w:val="clear" w:pos="3150"/>
          <w:tab w:val="num" w:pos="720"/>
        </w:tabs>
        <w:ind w:left="720"/>
      </w:pPr>
      <w:r>
        <w:t>Transmission modes</w:t>
      </w:r>
    </w:p>
    <w:p w14:paraId="6DEC41FB" w14:textId="4A22FDEC" w:rsidR="00CA347C" w:rsidRDefault="00DB2FAB" w:rsidP="00CA347C">
      <w:r>
        <w:t xml:space="preserve">Another aspect is what transmission mode can be supported for the DL shared channel with shortened TTI. </w:t>
      </w:r>
      <w:r w:rsidR="00CA347C">
        <w:t xml:space="preserve">The </w:t>
      </w:r>
      <w:r w:rsidR="000828D6">
        <w:t>transmission modes</w:t>
      </w:r>
      <w:r w:rsidR="00CA347C">
        <w:t xml:space="preserve"> </w:t>
      </w:r>
      <w:r w:rsidR="008B3961">
        <w:t xml:space="preserve">currently </w:t>
      </w:r>
      <w:r w:rsidR="000828D6">
        <w:t>defined for PDSCH</w:t>
      </w:r>
      <w:r w:rsidR="008B3961">
        <w:t xml:space="preserve"> </w:t>
      </w:r>
      <w:r w:rsidR="00CA347C">
        <w:t>can be categorized as CRS based TMs and DMRS based TMs depending on which reference signals are used for PDSCH demodulation. TM</w:t>
      </w:r>
      <w:r w:rsidR="008B3961">
        <w:t>s</w:t>
      </w:r>
      <w:r w:rsidR="00CA347C">
        <w:t xml:space="preserve"> 1-6 use CRS for PDSCH demodulation and TM</w:t>
      </w:r>
      <w:r w:rsidR="008B3961">
        <w:t>s</w:t>
      </w:r>
      <w:r w:rsidR="00F369EF">
        <w:t xml:space="preserve"> </w:t>
      </w:r>
      <w:r w:rsidR="00CA347C">
        <w:t>7-10 use DMRS for demodulation.</w:t>
      </w:r>
      <w:r w:rsidR="00C11FD8">
        <w:t xml:space="preserve"> In general, the selection of transmission mode</w:t>
      </w:r>
      <w:r w:rsidR="008B3961">
        <w:t>s</w:t>
      </w:r>
      <w:r w:rsidR="00C11FD8">
        <w:t xml:space="preserve"> depends on </w:t>
      </w:r>
      <w:r w:rsidR="008B3961">
        <w:t>many</w:t>
      </w:r>
      <w:r w:rsidR="00881CCA">
        <w:t xml:space="preserve"> factors such as </w:t>
      </w:r>
      <w:r w:rsidR="00C11FD8">
        <w:t>antenna configuration, channel environment</w:t>
      </w:r>
      <w:r w:rsidR="00881CCA">
        <w:t>,</w:t>
      </w:r>
      <w:r w:rsidR="00C11FD8">
        <w:t xml:space="preserve"> UE mobility etc </w:t>
      </w:r>
      <w:r w:rsidR="00333A1E">
        <w:t xml:space="preserve">and is </w:t>
      </w:r>
      <w:r w:rsidR="00881CCA">
        <w:t>hence</w:t>
      </w:r>
      <w:r w:rsidR="00C11FD8">
        <w:t xml:space="preserve"> rather independent of UE application requirement</w:t>
      </w:r>
      <w:r w:rsidR="00333A1E">
        <w:t>s</w:t>
      </w:r>
      <w:r w:rsidR="00C11FD8">
        <w:t xml:space="preserve"> such as latency. Therefore, it is preferred that all transmission modes can be supported with </w:t>
      </w:r>
      <w:r w:rsidR="00881CCA">
        <w:t>shortened</w:t>
      </w:r>
      <w:r w:rsidR="00C11FD8">
        <w:t xml:space="preserve"> TTI.</w:t>
      </w:r>
    </w:p>
    <w:p w14:paraId="1BAC264F" w14:textId="3B7424FF" w:rsidR="00CA347C" w:rsidRPr="00DF05C8" w:rsidRDefault="00A009A9" w:rsidP="00CA347C">
      <w:pPr>
        <w:rPr>
          <w:b/>
          <w:szCs w:val="22"/>
        </w:rPr>
      </w:pPr>
      <w:r>
        <w:rPr>
          <w:b/>
          <w:szCs w:val="22"/>
        </w:rPr>
        <w:lastRenderedPageBreak/>
        <w:t>Proposal</w:t>
      </w:r>
      <w:r w:rsidR="00CA347C" w:rsidRPr="00DF05C8">
        <w:rPr>
          <w:b/>
          <w:szCs w:val="22"/>
        </w:rPr>
        <w:t>:</w:t>
      </w:r>
    </w:p>
    <w:p w14:paraId="23250340" w14:textId="56457C93" w:rsidR="004464F1" w:rsidRDefault="00725AED" w:rsidP="00680D0D">
      <w:pPr>
        <w:pStyle w:val="ListParagraph"/>
        <w:numPr>
          <w:ilvl w:val="0"/>
          <w:numId w:val="26"/>
        </w:numPr>
        <w:spacing w:after="120"/>
        <w:jc w:val="both"/>
        <w:rPr>
          <w:b/>
          <w:sz w:val="22"/>
        </w:rPr>
      </w:pPr>
      <w:r>
        <w:rPr>
          <w:b/>
          <w:sz w:val="22"/>
        </w:rPr>
        <w:t>Sh</w:t>
      </w:r>
      <w:r w:rsidR="004E3346">
        <w:rPr>
          <w:b/>
          <w:sz w:val="22"/>
        </w:rPr>
        <w:t>ortened TTI should be considered for a</w:t>
      </w:r>
      <w:r w:rsidR="004464F1">
        <w:rPr>
          <w:b/>
          <w:sz w:val="22"/>
        </w:rPr>
        <w:t xml:space="preserve">ll </w:t>
      </w:r>
      <w:r w:rsidR="00D54B6E">
        <w:rPr>
          <w:b/>
          <w:sz w:val="22"/>
        </w:rPr>
        <w:t xml:space="preserve">DL </w:t>
      </w:r>
      <w:r w:rsidR="004464F1">
        <w:rPr>
          <w:b/>
          <w:sz w:val="22"/>
        </w:rPr>
        <w:t xml:space="preserve">transmission modes </w:t>
      </w:r>
    </w:p>
    <w:p w14:paraId="36465C5F" w14:textId="42C8EFB7" w:rsidR="00CA347C" w:rsidRPr="00680D0D" w:rsidRDefault="00CA347C" w:rsidP="00680D0D">
      <w:pPr>
        <w:pStyle w:val="ListParagraph"/>
        <w:numPr>
          <w:ilvl w:val="1"/>
          <w:numId w:val="26"/>
        </w:numPr>
        <w:spacing w:after="120"/>
        <w:jc w:val="both"/>
        <w:rPr>
          <w:b/>
          <w:sz w:val="22"/>
        </w:rPr>
      </w:pPr>
      <w:r w:rsidRPr="00680D0D">
        <w:rPr>
          <w:b/>
          <w:sz w:val="22"/>
        </w:rPr>
        <w:t>Demodulation of data channel with shortened TTI can use either CRS or DMRS</w:t>
      </w:r>
      <w:r w:rsidR="004D43EE">
        <w:rPr>
          <w:b/>
          <w:sz w:val="22"/>
        </w:rPr>
        <w:t>.</w:t>
      </w:r>
    </w:p>
    <w:p w14:paraId="2C232B16" w14:textId="0FA9EFD4" w:rsidR="00CA347C" w:rsidRDefault="00756AB3" w:rsidP="00254FA4">
      <w:r>
        <w:t xml:space="preserve">As a baseline, </w:t>
      </w:r>
      <w:r w:rsidR="008271BF">
        <w:t>the existing</w:t>
      </w:r>
      <w:r w:rsidR="00607B5B">
        <w:t xml:space="preserve"> CRS </w:t>
      </w:r>
      <w:r w:rsidR="008271BF">
        <w:t>can be considered</w:t>
      </w:r>
      <w:r w:rsidR="00607B5B">
        <w:t xml:space="preserve"> </w:t>
      </w:r>
      <w:r w:rsidR="008271BF">
        <w:t xml:space="preserve">to be </w:t>
      </w:r>
      <w:r w:rsidR="00607B5B">
        <w:t xml:space="preserve">used also for shortened </w:t>
      </w:r>
      <w:r w:rsidR="00CA347C">
        <w:t xml:space="preserve">TTIs. As CRS is not precoded, a UE may average the channel estimate also over legacy subframe borders, leading to channel estimation performance that is comparable with </w:t>
      </w:r>
      <w:r w:rsidR="00333A1E">
        <w:t>the</w:t>
      </w:r>
      <w:r w:rsidR="00CA347C">
        <w:t xml:space="preserve"> legacy 1ms TTI. Channel estimation filtering typically includes buffering and filtering a certain amount forward in time. However, having tighter timing constraints, it can be expected that there is some performance degradation when limiting channel filtering. </w:t>
      </w:r>
    </w:p>
    <w:p w14:paraId="5C38A7D5" w14:textId="77777777" w:rsidR="00CA347C" w:rsidRPr="00DF05C8" w:rsidRDefault="00CA347C" w:rsidP="00CA347C">
      <w:pPr>
        <w:rPr>
          <w:b/>
          <w:szCs w:val="22"/>
        </w:rPr>
      </w:pPr>
      <w:r w:rsidRPr="00DF05C8">
        <w:rPr>
          <w:b/>
          <w:szCs w:val="22"/>
        </w:rPr>
        <w:t>Observation:</w:t>
      </w:r>
    </w:p>
    <w:p w14:paraId="048B831B" w14:textId="77777777" w:rsidR="00CA347C" w:rsidRPr="00680D0D" w:rsidRDefault="00CA347C" w:rsidP="00680D0D">
      <w:pPr>
        <w:pStyle w:val="ListParagraph"/>
        <w:numPr>
          <w:ilvl w:val="0"/>
          <w:numId w:val="26"/>
        </w:numPr>
        <w:spacing w:after="120"/>
        <w:jc w:val="both"/>
        <w:rPr>
          <w:b/>
          <w:sz w:val="22"/>
        </w:rPr>
      </w:pPr>
      <w:r w:rsidRPr="00680D0D">
        <w:rPr>
          <w:b/>
          <w:sz w:val="22"/>
        </w:rPr>
        <w:t xml:space="preserve">Tighter timing budget may limit </w:t>
      </w:r>
      <w:r w:rsidR="006B3D90" w:rsidRPr="00680D0D">
        <w:rPr>
          <w:b/>
          <w:sz w:val="22"/>
        </w:rPr>
        <w:t xml:space="preserve">CRS-based </w:t>
      </w:r>
      <w:r w:rsidRPr="00680D0D">
        <w:rPr>
          <w:b/>
          <w:sz w:val="22"/>
        </w:rPr>
        <w:t xml:space="preserve">channel estimation performance, </w:t>
      </w:r>
      <w:r w:rsidR="00AE133F" w:rsidRPr="00680D0D">
        <w:rPr>
          <w:b/>
          <w:sz w:val="22"/>
        </w:rPr>
        <w:t>since</w:t>
      </w:r>
      <w:r w:rsidRPr="00680D0D">
        <w:rPr>
          <w:b/>
          <w:sz w:val="22"/>
        </w:rPr>
        <w:t xml:space="preserve"> not as much buffering and filtering can be done.</w:t>
      </w:r>
    </w:p>
    <w:p w14:paraId="75C1E0AA" w14:textId="6B5ED5B0" w:rsidR="004E3346" w:rsidRDefault="00CA347C" w:rsidP="00CA347C">
      <w:r w:rsidRPr="00397EE5">
        <w:t xml:space="preserve">DMRS based transmission modes (TM7 and TM8) were introduced already in Release 8 and Release 9 to support </w:t>
      </w:r>
      <w:r w:rsidR="00962304">
        <w:t xml:space="preserve">single-layer and dual-layer </w:t>
      </w:r>
      <w:r w:rsidRPr="00397EE5">
        <w:t>beamforming. In later releases</w:t>
      </w:r>
      <w:r>
        <w:t>,</w:t>
      </w:r>
      <w:r w:rsidRPr="00397EE5">
        <w:t xml:space="preserve"> new enhanced DMRS based </w:t>
      </w:r>
      <w:r>
        <w:t xml:space="preserve">transmission modes </w:t>
      </w:r>
      <w:r w:rsidRPr="00397EE5">
        <w:t>(TM9 and TM10) have been introduced, and DMRS based transmission will be used for elevation beamforming/FD-MIMO</w:t>
      </w:r>
      <w:r>
        <w:t>,</w:t>
      </w:r>
      <w:r w:rsidRPr="00397EE5">
        <w:t xml:space="preserve"> which is currently being defined </w:t>
      </w:r>
      <w:r>
        <w:t>in</w:t>
      </w:r>
      <w:r w:rsidRPr="00397EE5">
        <w:t xml:space="preserve"> Rel-13. DMRS based transmission does not only allow for downlink beamforming</w:t>
      </w:r>
      <w:r w:rsidR="005A4F57">
        <w:t xml:space="preserve">, its flexibility allows </w:t>
      </w:r>
      <w:r w:rsidRPr="00397EE5">
        <w:t xml:space="preserve">implementation of a large number of downlink transmission schemes, such as multi-user </w:t>
      </w:r>
      <w:r>
        <w:t>MIMO</w:t>
      </w:r>
      <w:r w:rsidRPr="00397EE5">
        <w:t xml:space="preserve"> (MU-MIMO) and coordinated multipoint (CoMP) </w:t>
      </w:r>
      <w:r>
        <w:t xml:space="preserve">transmission </w:t>
      </w:r>
      <w:r w:rsidRPr="00397EE5">
        <w:t>in addition to shar</w:t>
      </w:r>
      <w:r>
        <w:t>ed cell (where e.g.</w:t>
      </w:r>
      <w:r w:rsidRPr="00397EE5">
        <w:t xml:space="preserve"> a macro cell and multiple remote radio heads share a common cell identity).</w:t>
      </w:r>
      <w:r>
        <w:t xml:space="preserve"> In light of these features, </w:t>
      </w:r>
      <w:r w:rsidRPr="00397EE5">
        <w:t xml:space="preserve">DMRS based transmission modes </w:t>
      </w:r>
      <w:r>
        <w:t>should also be considered for s</w:t>
      </w:r>
      <w:r w:rsidR="00607B5B">
        <w:t>hort</w:t>
      </w:r>
      <w:r w:rsidR="0083240F">
        <w:t>ened</w:t>
      </w:r>
      <w:r w:rsidR="00607B5B">
        <w:t xml:space="preserve"> </w:t>
      </w:r>
      <w:r>
        <w:t>TTI.</w:t>
      </w:r>
      <w:r w:rsidR="004E3346">
        <w:t xml:space="preserve"> Furthermore,</w:t>
      </w:r>
      <w:r w:rsidR="00FF22A9">
        <w:t xml:space="preserve"> </w:t>
      </w:r>
      <w:r w:rsidR="004E3346">
        <w:t xml:space="preserve">the benefit of the features enabled </w:t>
      </w:r>
      <w:r w:rsidR="00D3764E">
        <w:t xml:space="preserve">needs to </w:t>
      </w:r>
      <w:r w:rsidR="00FF22A9">
        <w:t>be considered as well as the additional DMRS overhead.</w:t>
      </w:r>
    </w:p>
    <w:p w14:paraId="59A85546" w14:textId="5B132995" w:rsidR="006B3D90" w:rsidRPr="00DF05C8" w:rsidRDefault="00992E33" w:rsidP="006B3D90">
      <w:pPr>
        <w:rPr>
          <w:b/>
          <w:szCs w:val="22"/>
        </w:rPr>
      </w:pPr>
      <w:r>
        <w:rPr>
          <w:b/>
          <w:szCs w:val="22"/>
        </w:rPr>
        <w:t>Observation</w:t>
      </w:r>
      <w:r w:rsidR="006B3D90" w:rsidRPr="00DF05C8">
        <w:rPr>
          <w:b/>
          <w:szCs w:val="22"/>
        </w:rPr>
        <w:t>:</w:t>
      </w:r>
    </w:p>
    <w:p w14:paraId="0430F0D9" w14:textId="78A345F3" w:rsidR="00D3764E" w:rsidRPr="00680D0D" w:rsidRDefault="00D3764E" w:rsidP="00D3764E">
      <w:pPr>
        <w:pStyle w:val="ListParagraph"/>
        <w:numPr>
          <w:ilvl w:val="0"/>
          <w:numId w:val="26"/>
        </w:numPr>
        <w:spacing w:after="120"/>
        <w:jc w:val="both"/>
        <w:rPr>
          <w:b/>
          <w:bCs/>
          <w:sz w:val="22"/>
        </w:rPr>
      </w:pPr>
      <w:r w:rsidRPr="00680D0D">
        <w:rPr>
          <w:b/>
          <w:bCs/>
          <w:sz w:val="22"/>
        </w:rPr>
        <w:t xml:space="preserve">For DMRS based transmission, the benefits of features enabled by such transmission </w:t>
      </w:r>
      <w:r w:rsidR="00725AED" w:rsidRPr="00680D0D">
        <w:rPr>
          <w:b/>
          <w:bCs/>
          <w:sz w:val="22"/>
        </w:rPr>
        <w:t>needs to be</w:t>
      </w:r>
      <w:r w:rsidRPr="00680D0D">
        <w:rPr>
          <w:b/>
          <w:bCs/>
          <w:sz w:val="22"/>
        </w:rPr>
        <w:t xml:space="preserve"> considered</w:t>
      </w:r>
      <w:r w:rsidR="00725AED" w:rsidRPr="00680D0D">
        <w:rPr>
          <w:b/>
          <w:bCs/>
          <w:sz w:val="22"/>
        </w:rPr>
        <w:t>.</w:t>
      </w:r>
    </w:p>
    <w:p w14:paraId="21CB1691" w14:textId="5C1035B6" w:rsidR="00AE133F" w:rsidRDefault="00AE133F" w:rsidP="00680D0D">
      <w:r>
        <w:t>The current DMRS density for the case of one or two reference signals supporting up to two layer transmission is 6 REs per resource block. These DMRS symbols are placed on 3 subcarriers in frequency and on the last 2 symbols of each time slot in time (for normal cyclic prefix). The DMRS overhead is therefore 7% of the radio resources. With release 10</w:t>
      </w:r>
      <w:r w:rsidR="004E3346">
        <w:t>,</w:t>
      </w:r>
      <w:r>
        <w:t xml:space="preserve"> support of up to 8 layers there is 12 DMRS REs per resource block which results in 14% overhead.</w:t>
      </w:r>
    </w:p>
    <w:p w14:paraId="072D8EFF" w14:textId="45C376B5" w:rsidR="00AE133F" w:rsidRDefault="00AE133F" w:rsidP="00AE133F">
      <w:r>
        <w:t>Although it can be discussed how many layers the specification for s</w:t>
      </w:r>
      <w:r w:rsidR="00607B5B">
        <w:t xml:space="preserve">hort </w:t>
      </w:r>
      <w:r>
        <w:t>TTI transmission should support the baseline assumption is likely one or two. For up to two layer transmission in current LTE there are DMRS resource elements in the last two symbols in each slot. Hence, it is in principle possible to reduce the TTI to a single slot and re-use existing DMRS resource elements. A slot based s</w:t>
      </w:r>
      <w:r w:rsidR="0065546B">
        <w:t xml:space="preserve">hortened </w:t>
      </w:r>
      <w:r>
        <w:t xml:space="preserve">TTI supporting up to two layer transmission would therefore have less overhead than legacy TTI supporting 8 layer transmission. However, if the TTI length is reduced further, below one slot, then there will not be any legacy DMRS REs available in all shorter TTIs. </w:t>
      </w:r>
    </w:p>
    <w:p w14:paraId="1DF099C4" w14:textId="29518F4D" w:rsidR="00FF22A9" w:rsidRDefault="00FF22A9" w:rsidP="00AE133F">
      <w:r>
        <w:t>However,</w:t>
      </w:r>
      <w:r w:rsidR="00992E33">
        <w:t xml:space="preserve"> </w:t>
      </w:r>
      <w:r>
        <w:t xml:space="preserve">since DMRS resources are taken from resource elements that would otherwise be used for PDSCH transmission to a certain UE, the DMRS positions and density may be changed without impact on backward compatibility. </w:t>
      </w:r>
    </w:p>
    <w:p w14:paraId="79D389B3" w14:textId="77777777" w:rsidR="00AE133F" w:rsidRPr="00DF05C8" w:rsidRDefault="00AE133F" w:rsidP="00AE133F">
      <w:pPr>
        <w:rPr>
          <w:b/>
          <w:szCs w:val="22"/>
        </w:rPr>
      </w:pPr>
      <w:r w:rsidRPr="00DF05C8">
        <w:rPr>
          <w:b/>
          <w:szCs w:val="22"/>
        </w:rPr>
        <w:t>Observation:</w:t>
      </w:r>
    </w:p>
    <w:p w14:paraId="6C517ECC" w14:textId="74E979C1" w:rsidR="00AE133F" w:rsidRPr="007D686F" w:rsidRDefault="00AE133F" w:rsidP="00680D0D">
      <w:pPr>
        <w:pStyle w:val="ListParagraph"/>
        <w:numPr>
          <w:ilvl w:val="0"/>
          <w:numId w:val="26"/>
        </w:numPr>
        <w:spacing w:after="120"/>
        <w:jc w:val="both"/>
        <w:rPr>
          <w:b/>
        </w:rPr>
      </w:pPr>
      <w:r w:rsidRPr="00680D0D">
        <w:rPr>
          <w:b/>
          <w:sz w:val="22"/>
        </w:rPr>
        <w:t xml:space="preserve">When </w:t>
      </w:r>
      <w:r w:rsidR="00FE419A" w:rsidRPr="00680D0D">
        <w:rPr>
          <w:b/>
          <w:sz w:val="22"/>
        </w:rPr>
        <w:t xml:space="preserve">the </w:t>
      </w:r>
      <w:r w:rsidRPr="00680D0D">
        <w:rPr>
          <w:b/>
          <w:sz w:val="22"/>
        </w:rPr>
        <w:t>TTI length is reduced below one slot, the DL DMRS positions need to be redesigned.</w:t>
      </w:r>
    </w:p>
    <w:p w14:paraId="0D7A3DDE" w14:textId="3BF0DDDF" w:rsidR="00AE133F" w:rsidRDefault="00AE133F" w:rsidP="00AE133F">
      <w:r>
        <w:t>To design a pattern for short TTIs, the same CDM-based DMRS scheme as in TM8 and TM9 in LTE</w:t>
      </w:r>
      <w:r w:rsidR="0016216C">
        <w:t xml:space="preserve"> can be reused</w:t>
      </w:r>
      <w:r>
        <w:t>.</w:t>
      </w:r>
      <w:r w:rsidR="0016216C">
        <w:t xml:space="preserve"> The DMRS spans two symbols and will thus work for TTIs of </w:t>
      </w:r>
      <w:r w:rsidR="00725AED">
        <w:t>two</w:t>
      </w:r>
      <w:r w:rsidR="0016216C">
        <w:t xml:space="preserve"> symbol length or more. For single-symbol TTI, a different scheme needs to be designed, only covering one symbol in time.</w:t>
      </w:r>
    </w:p>
    <w:p w14:paraId="25A4148A" w14:textId="657EA4DF" w:rsidR="00AE133F" w:rsidRDefault="00AE133F" w:rsidP="00AE133F">
      <w:r>
        <w:lastRenderedPageBreak/>
        <w:t xml:space="preserve">Channel estimation performance is expected to depend on the number of resource elements per minimum scheduling unit, the transmit power, as well as the coherence bandwidth and time. Current CRS have a frequency domain density of one RE per six subcarriers and furthermore assuming that physical resource block bundling is applied, the terminal can employ averaging in the frequency domain beyond a single resource block. In addition, power boosting may be applied. </w:t>
      </w:r>
    </w:p>
    <w:p w14:paraId="22B4B007" w14:textId="77777777" w:rsidR="00AE133F" w:rsidRPr="00AE133F" w:rsidRDefault="00AE133F" w:rsidP="00AE133F">
      <w:pPr>
        <w:rPr>
          <w:b/>
        </w:rPr>
      </w:pPr>
      <w:r w:rsidRPr="00AE133F">
        <w:rPr>
          <w:b/>
        </w:rPr>
        <w:t>Observation</w:t>
      </w:r>
      <w:r>
        <w:rPr>
          <w:b/>
        </w:rPr>
        <w:t>:</w:t>
      </w:r>
    </w:p>
    <w:p w14:paraId="6F8E3F28" w14:textId="1C191B60" w:rsidR="00AE133F" w:rsidRPr="00680D0D" w:rsidRDefault="00FE419A" w:rsidP="00680D0D">
      <w:pPr>
        <w:pStyle w:val="ListParagraph"/>
        <w:numPr>
          <w:ilvl w:val="0"/>
          <w:numId w:val="26"/>
        </w:numPr>
        <w:spacing w:after="120"/>
        <w:jc w:val="both"/>
        <w:rPr>
          <w:b/>
        </w:rPr>
      </w:pPr>
      <w:r w:rsidRPr="00680D0D">
        <w:rPr>
          <w:b/>
          <w:sz w:val="22"/>
        </w:rPr>
        <w:t>The n</w:t>
      </w:r>
      <w:r w:rsidR="00AE133F" w:rsidRPr="00680D0D">
        <w:rPr>
          <w:b/>
          <w:sz w:val="22"/>
        </w:rPr>
        <w:t>umber of DL DMRS resource elements per minimum scheduling unit and the RS power impacts channel estimation performance.</w:t>
      </w:r>
    </w:p>
    <w:p w14:paraId="3F19E3D5" w14:textId="032B94F6" w:rsidR="00AE133F" w:rsidRDefault="00AE133F" w:rsidP="00AE133F">
      <w:r>
        <w:t xml:space="preserve">If the same amount of samples, 6 REs, per minimum scheduling unit is kept as for slot based TTI, </w:t>
      </w:r>
      <w:r w:rsidR="00F20E2C">
        <w:t>a</w:t>
      </w:r>
      <w:r>
        <w:t xml:space="preserve"> </w:t>
      </w:r>
      <w:r w:rsidR="00F20E2C">
        <w:t>two</w:t>
      </w:r>
      <w:r>
        <w:t xml:space="preserve"> symbol TTI will have </w:t>
      </w:r>
      <w:r w:rsidR="00F20E2C">
        <w:t>25</w:t>
      </w:r>
      <w:r>
        <w:t xml:space="preserve">% overhead for support of up to two layer transmission. To reduce this overhead without reducing the number of DMRS samples, the minimum scheduling unit may be increased in frequency to e.g. 24 subcarriers. This would lead to </w:t>
      </w:r>
      <w:r w:rsidR="00F20E2C">
        <w:t>12.5</w:t>
      </w:r>
      <w:r>
        <w:t xml:space="preserve">% overhead. </w:t>
      </w:r>
    </w:p>
    <w:p w14:paraId="321A1AD7" w14:textId="66AC1979" w:rsidR="00AE133F" w:rsidRDefault="00AE133F" w:rsidP="00AE133F">
      <w:r>
        <w:t xml:space="preserve">If it is found that we may have even less DMRS samples per minimum scheduling unit, for example 4 REs, these could be placed as two pairs per 6 subcarriers. The resulting overhead assumptions for </w:t>
      </w:r>
      <w:r w:rsidR="00F20E2C">
        <w:t>a two</w:t>
      </w:r>
      <w:r>
        <w:t xml:space="preserve"> symbol TTI with legacy scheduling is then </w:t>
      </w:r>
      <w:r w:rsidR="00F20E2C">
        <w:t>16.7</w:t>
      </w:r>
      <w:r>
        <w:t>%.</w:t>
      </w:r>
    </w:p>
    <w:p w14:paraId="0E259CDF" w14:textId="77777777" w:rsidR="00AE133F" w:rsidRPr="0016216C" w:rsidRDefault="00AE133F" w:rsidP="0016216C">
      <w:r w:rsidRPr="0016216C">
        <w:t>Finally, if the same UE is scheduled on the same frequency resource, the same precoding can be used more than once in a slot, thus there is no need to transmit DMRS in every short TTI.</w:t>
      </w:r>
    </w:p>
    <w:p w14:paraId="53FFD7D3" w14:textId="77777777" w:rsidR="0016216C" w:rsidRPr="0016216C" w:rsidRDefault="0016216C" w:rsidP="00AE133F">
      <w:pPr>
        <w:rPr>
          <w:b/>
        </w:rPr>
      </w:pPr>
      <w:r w:rsidRPr="0016216C">
        <w:rPr>
          <w:b/>
        </w:rPr>
        <w:t>Observation:</w:t>
      </w:r>
    </w:p>
    <w:p w14:paraId="3D0D0506" w14:textId="5E61909E" w:rsidR="00CC3CFC" w:rsidRDefault="00AE133F" w:rsidP="00680D0D">
      <w:pPr>
        <w:pStyle w:val="ListParagraph"/>
        <w:numPr>
          <w:ilvl w:val="0"/>
          <w:numId w:val="26"/>
        </w:numPr>
        <w:spacing w:after="120"/>
        <w:jc w:val="both"/>
        <w:rPr>
          <w:b/>
          <w:sz w:val="22"/>
        </w:rPr>
      </w:pPr>
      <w:r w:rsidRPr="00680D0D">
        <w:rPr>
          <w:b/>
          <w:sz w:val="22"/>
        </w:rPr>
        <w:t>The DMRS DL overhead can be mitigated by not transmitting DMRS in every short TTI when one UE is scheduled multiple times within a legacy subframe.</w:t>
      </w:r>
    </w:p>
    <w:p w14:paraId="3786997D" w14:textId="77777777" w:rsidR="00CC3CFC" w:rsidRDefault="00CC3CFC" w:rsidP="00CC3CFC">
      <w:pPr>
        <w:rPr>
          <w:b/>
        </w:rPr>
      </w:pPr>
      <w:r>
        <w:rPr>
          <w:b/>
        </w:rPr>
        <w:t xml:space="preserve">Proposal: </w:t>
      </w:r>
    </w:p>
    <w:p w14:paraId="66B6CB7A" w14:textId="786B4D01" w:rsidR="00056A06" w:rsidRPr="00680D0D" w:rsidRDefault="00CC3CFC" w:rsidP="00680D0D">
      <w:pPr>
        <w:pStyle w:val="ListParagraph"/>
        <w:numPr>
          <w:ilvl w:val="0"/>
          <w:numId w:val="26"/>
        </w:numPr>
        <w:spacing w:after="120"/>
        <w:jc w:val="both"/>
        <w:rPr>
          <w:b/>
          <w:sz w:val="20"/>
        </w:rPr>
      </w:pPr>
      <w:r w:rsidRPr="00680D0D">
        <w:rPr>
          <w:b/>
          <w:sz w:val="22"/>
        </w:rPr>
        <w:t>Study further DMRS design options for shortened PDSCH considering both overhead</w:t>
      </w:r>
      <w:r w:rsidR="00725AED">
        <w:rPr>
          <w:b/>
          <w:sz w:val="22"/>
        </w:rPr>
        <w:t>,</w:t>
      </w:r>
      <w:r w:rsidRPr="00680D0D">
        <w:rPr>
          <w:b/>
          <w:sz w:val="22"/>
        </w:rPr>
        <w:t xml:space="preserve"> impact on channel estimation</w:t>
      </w:r>
      <w:r w:rsidR="00725AED">
        <w:rPr>
          <w:b/>
          <w:sz w:val="22"/>
        </w:rPr>
        <w:t xml:space="preserve"> and benefit of features enabled by DMRS</w:t>
      </w:r>
      <w:r w:rsidRPr="00680D0D">
        <w:rPr>
          <w:b/>
          <w:sz w:val="22"/>
        </w:rPr>
        <w:t>.</w:t>
      </w:r>
      <w:r w:rsidRPr="00680D0D">
        <w:rPr>
          <w:b/>
          <w:sz w:val="20"/>
        </w:rPr>
        <w:t xml:space="preserve"> </w:t>
      </w:r>
    </w:p>
    <w:p w14:paraId="5361728E" w14:textId="1AFBDFF6" w:rsidR="00BD4C7A" w:rsidRDefault="000251B7" w:rsidP="00BD4C7A">
      <w:pPr>
        <w:pStyle w:val="Heading2"/>
        <w:rPr>
          <w:lang w:eastAsia="ja-JP"/>
        </w:rPr>
      </w:pPr>
      <w:r>
        <w:t>Downlink c</w:t>
      </w:r>
      <w:r w:rsidR="00BD4C7A">
        <w:t>ontrol channel</w:t>
      </w:r>
    </w:p>
    <w:p w14:paraId="5C749C22" w14:textId="5D21698F" w:rsidR="00AE133F" w:rsidRDefault="00CD72BF" w:rsidP="00AE133F">
      <w:r>
        <w:t>To be able to schedule UL and DL in the short TTI</w:t>
      </w:r>
      <w:r w:rsidR="00FC63F1">
        <w:t xml:space="preserve"> scale</w:t>
      </w:r>
      <w:r>
        <w:t>, new control channels may need to be defined</w:t>
      </w:r>
      <w:r w:rsidR="0014092C">
        <w:t xml:space="preserve"> [1]</w:t>
      </w:r>
      <w:r>
        <w:t>. A new short PDCCH</w:t>
      </w:r>
      <w:r w:rsidR="00D85F99">
        <w:t xml:space="preserve"> </w:t>
      </w:r>
      <w:r>
        <w:t>can be introduced to be transmitted in the beginning of each short TTI.</w:t>
      </w:r>
    </w:p>
    <w:p w14:paraId="2D361CF4" w14:textId="658EC88E" w:rsidR="000F47AC" w:rsidRDefault="000F47AC" w:rsidP="000F47AC">
      <w:r>
        <w:t xml:space="preserve">Similarly to the PDCCH and ePDCCH, the </w:t>
      </w:r>
      <w:r w:rsidR="00D85F99">
        <w:t xml:space="preserve">shortened </w:t>
      </w:r>
      <w:r>
        <w:t xml:space="preserve">PDCCH can be built up with a number of CCEs, each consisting of 36 QPSK-modulated REs. The different </w:t>
      </w:r>
      <w:r w:rsidR="002242F7">
        <w:t xml:space="preserve">shortened </w:t>
      </w:r>
      <w:r>
        <w:t>PDCCH then carry DL and UL grants</w:t>
      </w:r>
      <w:r w:rsidR="00AC1B9E">
        <w:t>, see also</w:t>
      </w:r>
      <w:r w:rsidR="009B15EF">
        <w:t xml:space="preserve"> discussions for the UL in</w:t>
      </w:r>
      <w:r w:rsidR="00AC1B9E">
        <w:t xml:space="preserve"> [2].</w:t>
      </w:r>
    </w:p>
    <w:p w14:paraId="1001992E" w14:textId="77777777" w:rsidR="000F47AC" w:rsidRPr="0016216C" w:rsidRDefault="000F47AC" w:rsidP="000F47AC">
      <w:pPr>
        <w:rPr>
          <w:b/>
        </w:rPr>
      </w:pPr>
      <w:r w:rsidRPr="0016216C">
        <w:rPr>
          <w:b/>
        </w:rPr>
        <w:t>Observation:</w:t>
      </w:r>
    </w:p>
    <w:p w14:paraId="285E39B4" w14:textId="6A03400A" w:rsidR="000F47AC" w:rsidRPr="00F9551F" w:rsidRDefault="000F47AC" w:rsidP="000F47AC">
      <w:pPr>
        <w:pStyle w:val="ListParagraph"/>
        <w:numPr>
          <w:ilvl w:val="0"/>
          <w:numId w:val="26"/>
        </w:numPr>
        <w:spacing w:after="120"/>
        <w:jc w:val="both"/>
        <w:rPr>
          <w:b/>
          <w:sz w:val="22"/>
        </w:rPr>
      </w:pPr>
      <w:r w:rsidRPr="00F9551F">
        <w:rPr>
          <w:b/>
          <w:sz w:val="22"/>
        </w:rPr>
        <w:t xml:space="preserve">Due to the frequent transmission of control information in </w:t>
      </w:r>
      <w:r w:rsidR="00725AED" w:rsidRPr="00F9551F">
        <w:rPr>
          <w:b/>
          <w:sz w:val="22"/>
        </w:rPr>
        <w:t xml:space="preserve">every </w:t>
      </w:r>
      <w:r w:rsidR="00725AED">
        <w:rPr>
          <w:b/>
          <w:sz w:val="22"/>
        </w:rPr>
        <w:t xml:space="preserve">shortened </w:t>
      </w:r>
      <w:r w:rsidRPr="00F9551F">
        <w:rPr>
          <w:b/>
          <w:sz w:val="22"/>
        </w:rPr>
        <w:t>TTI, it is important to limit the amount of control overhead.</w:t>
      </w:r>
    </w:p>
    <w:p w14:paraId="0096A96F" w14:textId="380F8A8D" w:rsidR="00D17623" w:rsidRDefault="000F47AC" w:rsidP="00AE133F">
      <w:r>
        <w:rPr>
          <w:lang w:val="en-US"/>
        </w:rPr>
        <w:t xml:space="preserve">In order to reduce the overall control signaling overhead, one possible way to split the scheduling information into two parts: </w:t>
      </w:r>
      <w:r w:rsidR="00FC63F1">
        <w:rPr>
          <w:lang w:val="en-US"/>
        </w:rPr>
        <w:t xml:space="preserve">not all </w:t>
      </w:r>
      <w:r w:rsidR="00D17623">
        <w:t>control information need</w:t>
      </w:r>
      <w:r w:rsidR="00FC63F1">
        <w:t>s</w:t>
      </w:r>
      <w:r w:rsidR="00D17623">
        <w:t xml:space="preserve"> to be transmitted </w:t>
      </w:r>
      <w:r w:rsidR="00725AED">
        <w:t xml:space="preserve">for </w:t>
      </w:r>
      <w:r w:rsidR="00D17623">
        <w:t xml:space="preserve">every </w:t>
      </w:r>
      <w:r w:rsidR="00725AED">
        <w:t xml:space="preserve">shortened </w:t>
      </w:r>
      <w:r w:rsidR="00D17623">
        <w:t xml:space="preserve">TTI, </w:t>
      </w:r>
      <w:r w:rsidR="00FC63F1">
        <w:t xml:space="preserve">some </w:t>
      </w:r>
      <w:r w:rsidR="00D17623">
        <w:t xml:space="preserve">can </w:t>
      </w:r>
      <w:r w:rsidR="00FC63F1">
        <w:t xml:space="preserve">instead </w:t>
      </w:r>
      <w:r w:rsidR="00D17623">
        <w:t>be transmitted once per subframe or configured by higher layers.</w:t>
      </w:r>
    </w:p>
    <w:p w14:paraId="2EEEBC13" w14:textId="474319C4" w:rsidR="00D17623" w:rsidRDefault="0020006F" w:rsidP="00AE133F">
      <w:pPr>
        <w:rPr>
          <w:b/>
        </w:rPr>
      </w:pPr>
      <w:r>
        <w:rPr>
          <w:b/>
        </w:rPr>
        <w:t>Proposal</w:t>
      </w:r>
      <w:r w:rsidR="00D17623">
        <w:rPr>
          <w:b/>
        </w:rPr>
        <w:t>:</w:t>
      </w:r>
    </w:p>
    <w:p w14:paraId="21CEA47A" w14:textId="60D0FB3F" w:rsidR="00D72C1C" w:rsidRPr="00680D0D" w:rsidRDefault="00D17623" w:rsidP="00680D0D">
      <w:pPr>
        <w:pStyle w:val="ListParagraph"/>
        <w:numPr>
          <w:ilvl w:val="0"/>
          <w:numId w:val="26"/>
        </w:numPr>
        <w:spacing w:after="120"/>
        <w:jc w:val="both"/>
        <w:rPr>
          <w:b/>
        </w:rPr>
      </w:pPr>
      <w:r w:rsidRPr="00680D0D">
        <w:rPr>
          <w:b/>
          <w:sz w:val="22"/>
        </w:rPr>
        <w:t xml:space="preserve">The control information </w:t>
      </w:r>
      <w:r w:rsidR="0020006F">
        <w:rPr>
          <w:b/>
          <w:sz w:val="22"/>
        </w:rPr>
        <w:t>is</w:t>
      </w:r>
      <w:r w:rsidRPr="00680D0D">
        <w:rPr>
          <w:b/>
          <w:sz w:val="22"/>
        </w:rPr>
        <w:t xml:space="preserve"> divided into slow DCI (at most once per subframe) and fast DCI (once per short TTI).</w:t>
      </w:r>
    </w:p>
    <w:p w14:paraId="2EEFF953" w14:textId="552E5465" w:rsidR="00D17623" w:rsidRPr="00680D0D" w:rsidRDefault="00D73226" w:rsidP="00680D0D">
      <w:pPr>
        <w:pStyle w:val="ListParagraph"/>
        <w:numPr>
          <w:ilvl w:val="0"/>
          <w:numId w:val="26"/>
        </w:numPr>
        <w:spacing w:after="120"/>
        <w:jc w:val="both"/>
        <w:rPr>
          <w:b/>
        </w:rPr>
      </w:pPr>
      <w:r w:rsidRPr="00680D0D">
        <w:rPr>
          <w:b/>
          <w:sz w:val="22"/>
        </w:rPr>
        <w:t xml:space="preserve">The fast DCI </w:t>
      </w:r>
      <w:r w:rsidR="005F1592">
        <w:rPr>
          <w:b/>
          <w:sz w:val="22"/>
        </w:rPr>
        <w:t xml:space="preserve">for DL </w:t>
      </w:r>
      <w:r w:rsidRPr="00680D0D">
        <w:rPr>
          <w:b/>
          <w:sz w:val="22"/>
        </w:rPr>
        <w:t>can be transmitted in the first symbol of each short TTI</w:t>
      </w:r>
      <w:r w:rsidR="005F1592">
        <w:rPr>
          <w:b/>
          <w:sz w:val="22"/>
        </w:rPr>
        <w:t>.</w:t>
      </w:r>
    </w:p>
    <w:p w14:paraId="19D67598" w14:textId="20589E79" w:rsidR="00D17623" w:rsidRDefault="00D17623" w:rsidP="00D17623">
      <w:r>
        <w:t>Within a frequency band configured for short subframes, there could be a limitation o</w:t>
      </w:r>
      <w:r w:rsidR="005F1592">
        <w:t>f</w:t>
      </w:r>
      <w:r>
        <w:t xml:space="preserve"> only on</w:t>
      </w:r>
      <w:r w:rsidR="009B146A">
        <w:t xml:space="preserve">e </w:t>
      </w:r>
      <w:r w:rsidR="00333A1E">
        <w:t xml:space="preserve">simultaneous </w:t>
      </w:r>
      <w:r w:rsidR="009B146A">
        <w:t xml:space="preserve">DL user. This will then give smaller </w:t>
      </w:r>
      <w:r w:rsidR="005F1592">
        <w:t xml:space="preserve">size of fast </w:t>
      </w:r>
      <w:r w:rsidR="009B146A">
        <w:t xml:space="preserve">DL </w:t>
      </w:r>
      <w:r w:rsidR="005F1592">
        <w:t>DCI</w:t>
      </w:r>
      <w:r w:rsidR="009B146A">
        <w:t>, where frequency allocation does not need to be specified.</w:t>
      </w:r>
      <w:r w:rsidR="001D39C4">
        <w:t xml:space="preserve"> Different DL users could of course still be scheduled in different short TTIs in the same frequency band in the same subframe.</w:t>
      </w:r>
    </w:p>
    <w:p w14:paraId="536A03DC" w14:textId="77777777" w:rsidR="009B146A" w:rsidRDefault="009B146A" w:rsidP="00D17623">
      <w:pPr>
        <w:rPr>
          <w:b/>
        </w:rPr>
      </w:pPr>
      <w:r>
        <w:rPr>
          <w:b/>
        </w:rPr>
        <w:lastRenderedPageBreak/>
        <w:t>Observation:</w:t>
      </w:r>
    </w:p>
    <w:p w14:paraId="2522FF3E" w14:textId="77777777" w:rsidR="009B146A" w:rsidRPr="00680D0D" w:rsidRDefault="009B146A" w:rsidP="00680D0D">
      <w:pPr>
        <w:pStyle w:val="ListParagraph"/>
        <w:numPr>
          <w:ilvl w:val="0"/>
          <w:numId w:val="26"/>
        </w:numPr>
        <w:spacing w:after="120"/>
        <w:jc w:val="both"/>
        <w:rPr>
          <w:b/>
          <w:sz w:val="22"/>
        </w:rPr>
      </w:pPr>
      <w:r w:rsidRPr="00680D0D">
        <w:rPr>
          <w:b/>
          <w:sz w:val="22"/>
        </w:rPr>
        <w:t>To limit control overhead, DL could be limited to schedule a single user at the time.</w:t>
      </w:r>
    </w:p>
    <w:p w14:paraId="77165C2D" w14:textId="4022A0BA" w:rsidR="00CD72BF" w:rsidRDefault="00BF24CE" w:rsidP="00AE133F">
      <w:r>
        <w:t xml:space="preserve">To be able to schedule more </w:t>
      </w:r>
      <w:r w:rsidR="001D39C4">
        <w:t xml:space="preserve">simultaneous </w:t>
      </w:r>
      <w:r>
        <w:t xml:space="preserve">DL users, several DL </w:t>
      </w:r>
      <w:r w:rsidR="00725AED">
        <w:t xml:space="preserve">shortened </w:t>
      </w:r>
      <w:r>
        <w:t>TTI bands could be configured.</w:t>
      </w:r>
    </w:p>
    <w:p w14:paraId="3A08FF0C" w14:textId="6B6FA05B" w:rsidR="007E4206" w:rsidRDefault="007E4206" w:rsidP="00AE133F">
      <w:r>
        <w:t>In addition to limiting the number of transmitted DCIs, the size of the fast DCI should be limited. This can be achieved for example by carrying as much information as possible in the slow DCI, and to infer the location of DL data from the fast DCI location.</w:t>
      </w:r>
      <w:r w:rsidR="005F1592">
        <w:t xml:space="preserve"> </w:t>
      </w:r>
      <w:r w:rsidR="009E49D0">
        <w:t xml:space="preserve">Also, </w:t>
      </w:r>
      <w:r w:rsidR="005674E0">
        <w:t xml:space="preserve">the effect of </w:t>
      </w:r>
      <w:r w:rsidR="009E49D0">
        <w:t>a reduced CRC overhead c</w:t>
      </w:r>
      <w:r w:rsidR="005674E0">
        <w:t>ould be studied.</w:t>
      </w:r>
    </w:p>
    <w:p w14:paraId="0607163B" w14:textId="77777777" w:rsidR="007E4206" w:rsidRDefault="007E4206" w:rsidP="007E4206">
      <w:pPr>
        <w:rPr>
          <w:b/>
        </w:rPr>
      </w:pPr>
      <w:r>
        <w:rPr>
          <w:b/>
        </w:rPr>
        <w:t>Observation:</w:t>
      </w:r>
    </w:p>
    <w:p w14:paraId="58EC9A4B" w14:textId="1CD06921" w:rsidR="007E4206" w:rsidRDefault="007E4206" w:rsidP="00680D0D">
      <w:pPr>
        <w:pStyle w:val="ListParagraph"/>
        <w:numPr>
          <w:ilvl w:val="0"/>
          <w:numId w:val="26"/>
        </w:numPr>
        <w:spacing w:after="120"/>
        <w:jc w:val="both"/>
        <w:rPr>
          <w:b/>
          <w:sz w:val="22"/>
        </w:rPr>
      </w:pPr>
      <w:r w:rsidRPr="00680D0D">
        <w:rPr>
          <w:b/>
          <w:sz w:val="22"/>
        </w:rPr>
        <w:t xml:space="preserve">To limit control overhead, the </w:t>
      </w:r>
      <w:r w:rsidR="009E49D0">
        <w:rPr>
          <w:b/>
          <w:sz w:val="22"/>
        </w:rPr>
        <w:t xml:space="preserve">number and </w:t>
      </w:r>
      <w:r w:rsidRPr="00680D0D">
        <w:rPr>
          <w:b/>
          <w:sz w:val="22"/>
        </w:rPr>
        <w:t>payload of the fast DCI could be limited</w:t>
      </w:r>
      <w:r w:rsidR="009E49D0">
        <w:rPr>
          <w:b/>
          <w:sz w:val="22"/>
          <w:lang w:val="en-GB"/>
        </w:rPr>
        <w:t>.</w:t>
      </w:r>
    </w:p>
    <w:p w14:paraId="79920FEE" w14:textId="77777777" w:rsidR="00947B56" w:rsidRDefault="00947B56" w:rsidP="00680D0D">
      <w:pPr>
        <w:pStyle w:val="Heading2"/>
      </w:pPr>
      <w:r>
        <w:t>Uplink control channel</w:t>
      </w:r>
    </w:p>
    <w:p w14:paraId="737A1CC3" w14:textId="0B7CC70F" w:rsidR="00947B56" w:rsidRPr="00273B11" w:rsidRDefault="00947B56" w:rsidP="00947B56">
      <w:r>
        <w:t xml:space="preserve">As noted in </w:t>
      </w:r>
      <w:r w:rsidRPr="00273B11">
        <w:t>[</w:t>
      </w:r>
      <w:r w:rsidR="00CC1D41">
        <w:t>1</w:t>
      </w:r>
      <w:r w:rsidRPr="00273B11">
        <w:t>], fast HARQ feedback is important to fully realize the potential benefits of shorter TTIs. Shorter TTIs could also allow the eNB to better utilize CSI reports before they become stale. We therefore propose to study ways of shortening the legacy PUCCH design down to 1 – 7 OFDM symbols.</w:t>
      </w:r>
    </w:p>
    <w:p w14:paraId="2EAE560F" w14:textId="62FCE9EF" w:rsidR="00947B56" w:rsidRPr="00273B11" w:rsidRDefault="00947B56" w:rsidP="00947B56">
      <w:r>
        <w:t xml:space="preserve">The simplest </w:t>
      </w:r>
      <w:r w:rsidRPr="00273B11">
        <w:t xml:space="preserve">solution is to shorten the current PUCCH designs. A </w:t>
      </w:r>
      <w:r>
        <w:t xml:space="preserve">shortened PUCCH based on </w:t>
      </w:r>
      <w:r w:rsidR="000A674C">
        <w:t>PUCCH f</w:t>
      </w:r>
      <w:r w:rsidRPr="00273B11">
        <w:t xml:space="preserve">ormat 1/1a/1b would then consist of cyclically shifted length 12 sequences, some of which are multiplied by a </w:t>
      </w:r>
      <w:r w:rsidR="001D39C4">
        <w:t xml:space="preserve">QPSK </w:t>
      </w:r>
      <w:r w:rsidRPr="00273B11">
        <w:t xml:space="preserve">modulated symbol to carry HARQ feedback and/or a SR. </w:t>
      </w:r>
      <w:r w:rsidR="001B2461">
        <w:t>Multiplexing of this</w:t>
      </w:r>
      <w:r w:rsidRPr="00273B11">
        <w:t xml:space="preserve"> format in the legacy format 1 and 2</w:t>
      </w:r>
      <w:r w:rsidR="008F1A16">
        <w:t xml:space="preserve"> </w:t>
      </w:r>
      <w:r w:rsidR="001B2461">
        <w:t>region should be considered.</w:t>
      </w:r>
      <w:r w:rsidRPr="00273B11">
        <w:t xml:space="preserve"> In order to optimize for coverage, the TTI as well as the number of PRBs used for this design can be varied.</w:t>
      </w:r>
    </w:p>
    <w:p w14:paraId="7128429B" w14:textId="46F66A52" w:rsidR="00947B56" w:rsidRPr="00273B11" w:rsidRDefault="00947B56" w:rsidP="00947B56">
      <w:r w:rsidRPr="00273B11">
        <w:t>For higher UCI payloads this format is not satisfactory since it can only carry 2</w:t>
      </w:r>
      <w:r w:rsidR="008F1A16">
        <w:t xml:space="preserve"> </w:t>
      </w:r>
      <w:r w:rsidR="008F1A16" w:rsidRPr="00273B11">
        <w:t>information</w:t>
      </w:r>
      <w:r w:rsidRPr="00273B11">
        <w:t xml:space="preserve"> bits per OFDM symbol used for data. Therefore </w:t>
      </w:r>
      <w:r w:rsidR="0007383D">
        <w:t xml:space="preserve">a </w:t>
      </w:r>
      <w:r w:rsidRPr="00273B11">
        <w:t>PUSCH-like structure using SC-FDMA can be used for higher payloads, reusing the legacy channel codes used in PUCCH format 2 and 3.</w:t>
      </w:r>
    </w:p>
    <w:p w14:paraId="24100FAC" w14:textId="41BCDF6F" w:rsidR="00947B56" w:rsidRDefault="00947B56" w:rsidP="00680D0D">
      <w:r w:rsidRPr="00273B11">
        <w:t xml:space="preserve">Especially for shorter TTIs, these solutions can lead to a large overhead of OFDM symbols used for RS. One way of reducing this overhead is to transmit the </w:t>
      </w:r>
      <w:r w:rsidR="00CF1CF3">
        <w:t xml:space="preserve">shortened </w:t>
      </w:r>
      <w:r w:rsidRPr="00273B11">
        <w:t xml:space="preserve">PUCCH in the same frequency allocation as previous </w:t>
      </w:r>
      <w:r w:rsidR="00CF1CF3">
        <w:t xml:space="preserve">shortened </w:t>
      </w:r>
      <w:r w:rsidRPr="00273B11">
        <w:t xml:space="preserve">PUSCH transmissions from the UE. This would allow the UE to skip the RS transmission which reduces the overhead. Another solution could be RS-multiplexing as mentioned in </w:t>
      </w:r>
      <w:r w:rsidR="00CF1CF3">
        <w:rPr>
          <w:lang w:val="en-US"/>
        </w:rPr>
        <w:t>[</w:t>
      </w:r>
      <w:r w:rsidR="00CC1D41">
        <w:rPr>
          <w:lang w:val="en-US"/>
        </w:rPr>
        <w:t>2</w:t>
      </w:r>
      <w:r w:rsidR="00CF1CF3">
        <w:rPr>
          <w:lang w:val="en-US"/>
        </w:rPr>
        <w:t>]</w:t>
      </w:r>
      <w:r w:rsidRPr="00273B11">
        <w:t xml:space="preserve"> </w:t>
      </w:r>
      <w:r w:rsidR="00CF1CF3">
        <w:t xml:space="preserve">for the </w:t>
      </w:r>
      <w:r w:rsidRPr="00273B11">
        <w:t>PUSCH. This allows for s</w:t>
      </w:r>
      <w:r w:rsidR="00CC1D41">
        <w:t xml:space="preserve">hort </w:t>
      </w:r>
      <w:r w:rsidRPr="00273B11">
        <w:t>PUCCH transmissions with and without RS while removing the risk of</w:t>
      </w:r>
      <w:r w:rsidR="00CF1CF3">
        <w:t xml:space="preserve"> </w:t>
      </w:r>
      <w:r w:rsidRPr="00273B11">
        <w:t>collision between RS from one UE with UCI from another UE.</w:t>
      </w:r>
    </w:p>
    <w:p w14:paraId="71250691" w14:textId="77777777" w:rsidR="00A644DC" w:rsidRPr="00680D0D" w:rsidRDefault="00477499" w:rsidP="00680D0D">
      <w:pPr>
        <w:rPr>
          <w:b/>
        </w:rPr>
      </w:pPr>
      <w:r w:rsidRPr="00680D0D">
        <w:rPr>
          <w:b/>
        </w:rPr>
        <w:t xml:space="preserve">Proposal: </w:t>
      </w:r>
    </w:p>
    <w:p w14:paraId="3F72A4E7" w14:textId="77777777" w:rsidR="00A644DC" w:rsidRPr="00702A99" w:rsidRDefault="00A644DC" w:rsidP="00A644DC">
      <w:pPr>
        <w:pStyle w:val="ListParagraph"/>
        <w:numPr>
          <w:ilvl w:val="0"/>
          <w:numId w:val="26"/>
        </w:numPr>
        <w:spacing w:after="120"/>
        <w:jc w:val="both"/>
        <w:rPr>
          <w:b/>
        </w:rPr>
      </w:pPr>
      <w:r w:rsidRPr="00702A99">
        <w:rPr>
          <w:b/>
        </w:rPr>
        <w:t>Study design options for shortened PUCCH</w:t>
      </w:r>
      <w:r w:rsidRPr="00702A99">
        <w:rPr>
          <w:rFonts w:eastAsia="Times New Roman"/>
          <w:b/>
          <w:sz w:val="22"/>
          <w:szCs w:val="20"/>
          <w:lang w:val="en-GB" w:eastAsia="zh-CN"/>
        </w:rPr>
        <w:t xml:space="preserve"> </w:t>
      </w:r>
      <w:r w:rsidRPr="00702A99">
        <w:rPr>
          <w:b/>
        </w:rPr>
        <w:t>considering both coverage as well as multiplexing capacity.</w:t>
      </w:r>
    </w:p>
    <w:p w14:paraId="4C397BFB" w14:textId="77777777" w:rsidR="00DE2561" w:rsidRDefault="00DE2561" w:rsidP="00E429F2">
      <w:pPr>
        <w:pStyle w:val="Heading1"/>
        <w:rPr>
          <w:lang w:val="en-US"/>
        </w:rPr>
      </w:pPr>
      <w:r>
        <w:rPr>
          <w:lang w:val="en-US"/>
        </w:rPr>
        <w:t>Conclusion</w:t>
      </w:r>
    </w:p>
    <w:p w14:paraId="68A2F53F" w14:textId="77777777" w:rsidR="00A644DC" w:rsidRDefault="00A644DC" w:rsidP="00A644DC">
      <w:r>
        <w:t>The above discussion is summarized with the following observations and proposals:</w:t>
      </w:r>
    </w:p>
    <w:p w14:paraId="4EA76101" w14:textId="77777777" w:rsidR="00A644DC" w:rsidRPr="00B361F5" w:rsidRDefault="00A644DC" w:rsidP="00A644DC">
      <w:pPr>
        <w:rPr>
          <w:b/>
          <w:szCs w:val="22"/>
          <w:lang w:val="en-US"/>
        </w:rPr>
      </w:pPr>
      <w:r w:rsidRPr="00B361F5">
        <w:rPr>
          <w:b/>
          <w:szCs w:val="22"/>
          <w:lang w:val="en-US"/>
        </w:rPr>
        <w:t>Observation</w:t>
      </w:r>
      <w:r>
        <w:rPr>
          <w:b/>
          <w:szCs w:val="22"/>
          <w:lang w:val="en-US"/>
        </w:rPr>
        <w:t>s</w:t>
      </w:r>
      <w:r w:rsidRPr="00B361F5">
        <w:rPr>
          <w:b/>
          <w:szCs w:val="22"/>
          <w:lang w:val="en-US"/>
        </w:rPr>
        <w:t>:</w:t>
      </w:r>
    </w:p>
    <w:p w14:paraId="007861DD" w14:textId="77777777" w:rsidR="00A644DC" w:rsidRPr="00680D0D" w:rsidRDefault="00A644DC" w:rsidP="00680D0D">
      <w:pPr>
        <w:pStyle w:val="ListParagraph"/>
        <w:numPr>
          <w:ilvl w:val="0"/>
          <w:numId w:val="26"/>
        </w:numPr>
        <w:spacing w:after="120"/>
        <w:jc w:val="both"/>
        <w:rPr>
          <w:b/>
          <w:sz w:val="22"/>
        </w:rPr>
      </w:pPr>
      <w:r w:rsidRPr="00680D0D">
        <w:rPr>
          <w:b/>
          <w:sz w:val="22"/>
        </w:rPr>
        <w:t>Tighter timing budget may limit CRS-based channel estimation performance, since not as much buffering and filtering can be done.</w:t>
      </w:r>
    </w:p>
    <w:p w14:paraId="3DCBECCE" w14:textId="77777777" w:rsidR="00725AED" w:rsidRDefault="00725AED" w:rsidP="00725AED">
      <w:pPr>
        <w:pStyle w:val="ListParagraph"/>
        <w:numPr>
          <w:ilvl w:val="0"/>
          <w:numId w:val="26"/>
        </w:numPr>
        <w:spacing w:after="120"/>
        <w:jc w:val="both"/>
        <w:rPr>
          <w:b/>
          <w:bCs/>
        </w:rPr>
      </w:pPr>
      <w:r>
        <w:rPr>
          <w:b/>
          <w:bCs/>
        </w:rPr>
        <w:t>For DMRS based transmission, the benefits of features enabled by such transmission needs to be considered.</w:t>
      </w:r>
    </w:p>
    <w:p w14:paraId="7DC196C5" w14:textId="4FF893BD" w:rsidR="00FC63F1" w:rsidRDefault="00A644DC" w:rsidP="00680D0D">
      <w:pPr>
        <w:pStyle w:val="ListParagraph"/>
        <w:numPr>
          <w:ilvl w:val="0"/>
          <w:numId w:val="26"/>
        </w:numPr>
        <w:spacing w:after="120"/>
        <w:jc w:val="both"/>
        <w:rPr>
          <w:b/>
          <w:sz w:val="22"/>
        </w:rPr>
      </w:pPr>
      <w:r w:rsidRPr="00680D0D">
        <w:rPr>
          <w:b/>
          <w:sz w:val="22"/>
        </w:rPr>
        <w:t>When the TTI length is reduced below one slot, the DL DMRS positions need to be redesigned.</w:t>
      </w:r>
      <w:r w:rsidR="00FC63F1">
        <w:rPr>
          <w:b/>
          <w:sz w:val="22"/>
        </w:rPr>
        <w:t xml:space="preserve"> </w:t>
      </w:r>
    </w:p>
    <w:p w14:paraId="2DFC4351" w14:textId="14D31EB2" w:rsidR="00A644DC" w:rsidRPr="00680D0D" w:rsidRDefault="00A644DC" w:rsidP="00680D0D">
      <w:pPr>
        <w:pStyle w:val="ListParagraph"/>
        <w:numPr>
          <w:ilvl w:val="0"/>
          <w:numId w:val="26"/>
        </w:numPr>
        <w:spacing w:after="120"/>
        <w:jc w:val="both"/>
        <w:rPr>
          <w:b/>
        </w:rPr>
      </w:pPr>
      <w:r w:rsidRPr="00680D0D">
        <w:rPr>
          <w:b/>
          <w:sz w:val="22"/>
        </w:rPr>
        <w:lastRenderedPageBreak/>
        <w:t>The number of DL DMRS resource elements per minimum scheduling unit and the RS power impacts channel estimation performance.</w:t>
      </w:r>
    </w:p>
    <w:p w14:paraId="7AFEEBE0" w14:textId="024D5428" w:rsidR="00A644DC" w:rsidRDefault="00A644DC" w:rsidP="00680D0D">
      <w:pPr>
        <w:pStyle w:val="ListParagraph"/>
        <w:numPr>
          <w:ilvl w:val="0"/>
          <w:numId w:val="26"/>
        </w:numPr>
        <w:spacing w:after="120"/>
        <w:jc w:val="both"/>
        <w:rPr>
          <w:b/>
          <w:sz w:val="22"/>
        </w:rPr>
      </w:pPr>
      <w:r w:rsidRPr="00680D0D">
        <w:rPr>
          <w:b/>
          <w:sz w:val="22"/>
        </w:rPr>
        <w:t>The DMRS DL overhead can be mitigated by not transmitting DMRS in every short TTI when one UE is scheduled multiple times within a legacy subframe.</w:t>
      </w:r>
    </w:p>
    <w:p w14:paraId="20ABF5F9" w14:textId="6BA22C90" w:rsidR="00A644DC" w:rsidRPr="00F9551F" w:rsidRDefault="00A644DC" w:rsidP="00A644DC">
      <w:pPr>
        <w:pStyle w:val="ListParagraph"/>
        <w:numPr>
          <w:ilvl w:val="0"/>
          <w:numId w:val="26"/>
        </w:numPr>
        <w:spacing w:after="120"/>
        <w:jc w:val="both"/>
        <w:rPr>
          <w:b/>
          <w:sz w:val="22"/>
        </w:rPr>
      </w:pPr>
      <w:r w:rsidRPr="00F9551F">
        <w:rPr>
          <w:b/>
          <w:sz w:val="22"/>
        </w:rPr>
        <w:t xml:space="preserve">Due to the frequent transmission of control information in every </w:t>
      </w:r>
      <w:r w:rsidR="00725AED">
        <w:rPr>
          <w:b/>
          <w:sz w:val="22"/>
        </w:rPr>
        <w:t xml:space="preserve">shortened </w:t>
      </w:r>
      <w:r w:rsidRPr="00F9551F">
        <w:rPr>
          <w:b/>
          <w:sz w:val="22"/>
        </w:rPr>
        <w:t>TTI, it is important to limit the amount of control overhead.</w:t>
      </w:r>
    </w:p>
    <w:p w14:paraId="5F3D2F1D" w14:textId="77777777" w:rsidR="00A644DC" w:rsidRPr="00680D0D" w:rsidRDefault="00A644DC" w:rsidP="00680D0D">
      <w:pPr>
        <w:pStyle w:val="ListParagraph"/>
        <w:numPr>
          <w:ilvl w:val="0"/>
          <w:numId w:val="26"/>
        </w:numPr>
        <w:spacing w:after="120"/>
        <w:jc w:val="both"/>
        <w:rPr>
          <w:b/>
          <w:sz w:val="22"/>
        </w:rPr>
      </w:pPr>
      <w:r w:rsidRPr="00680D0D">
        <w:rPr>
          <w:b/>
          <w:sz w:val="22"/>
        </w:rPr>
        <w:t>To limit control overhead, DL could be limited to schedule a single user at the time.</w:t>
      </w:r>
    </w:p>
    <w:p w14:paraId="7767104D" w14:textId="77777777" w:rsidR="00FC63F1" w:rsidRDefault="00FC63F1" w:rsidP="00FC63F1">
      <w:pPr>
        <w:pStyle w:val="ListParagraph"/>
        <w:numPr>
          <w:ilvl w:val="0"/>
          <w:numId w:val="26"/>
        </w:numPr>
        <w:spacing w:after="120"/>
        <w:jc w:val="both"/>
        <w:rPr>
          <w:b/>
          <w:sz w:val="22"/>
        </w:rPr>
      </w:pPr>
      <w:r w:rsidRPr="00C21400">
        <w:rPr>
          <w:b/>
          <w:sz w:val="22"/>
        </w:rPr>
        <w:t xml:space="preserve">To limit control overhead, the </w:t>
      </w:r>
      <w:r>
        <w:rPr>
          <w:b/>
          <w:sz w:val="22"/>
        </w:rPr>
        <w:t xml:space="preserve">number and </w:t>
      </w:r>
      <w:r w:rsidRPr="00C21400">
        <w:rPr>
          <w:b/>
          <w:sz w:val="22"/>
        </w:rPr>
        <w:t>payload of the fast DCI could be limited</w:t>
      </w:r>
      <w:r>
        <w:rPr>
          <w:b/>
          <w:sz w:val="22"/>
          <w:lang w:val="en-GB"/>
        </w:rPr>
        <w:t>.</w:t>
      </w:r>
    </w:p>
    <w:p w14:paraId="05273B14" w14:textId="77777777" w:rsidR="00A644DC" w:rsidRDefault="00A644DC" w:rsidP="00680D0D">
      <w:pPr>
        <w:pStyle w:val="ListParagraph"/>
        <w:spacing w:after="120"/>
        <w:jc w:val="both"/>
        <w:rPr>
          <w:b/>
          <w:sz w:val="22"/>
        </w:rPr>
      </w:pPr>
    </w:p>
    <w:p w14:paraId="32366568" w14:textId="77777777" w:rsidR="00A644DC" w:rsidRPr="00680D0D" w:rsidRDefault="00A644DC" w:rsidP="00680D0D">
      <w:pPr>
        <w:rPr>
          <w:b/>
          <w:szCs w:val="22"/>
        </w:rPr>
      </w:pPr>
      <w:r w:rsidRPr="00680D0D">
        <w:rPr>
          <w:b/>
          <w:szCs w:val="22"/>
        </w:rPr>
        <w:t>Proposals:</w:t>
      </w:r>
    </w:p>
    <w:p w14:paraId="09366930" w14:textId="6EA30974" w:rsidR="00A644DC" w:rsidRPr="00680D0D" w:rsidRDefault="00A644DC" w:rsidP="00A644DC">
      <w:pPr>
        <w:pStyle w:val="ListParagraph"/>
        <w:numPr>
          <w:ilvl w:val="0"/>
          <w:numId w:val="36"/>
        </w:numPr>
        <w:spacing w:after="120"/>
        <w:jc w:val="both"/>
        <w:rPr>
          <w:b/>
          <w:sz w:val="22"/>
          <w:szCs w:val="22"/>
        </w:rPr>
      </w:pPr>
      <w:r w:rsidRPr="004E5048">
        <w:rPr>
          <w:b/>
          <w:sz w:val="22"/>
          <w:szCs w:val="22"/>
        </w:rPr>
        <w:t xml:space="preserve">Study the reduced processing and HARQ feedback timing for DL shared channel with shortened </w:t>
      </w:r>
      <w:r w:rsidRPr="00680D0D">
        <w:rPr>
          <w:b/>
          <w:sz w:val="22"/>
          <w:szCs w:val="22"/>
        </w:rPr>
        <w:t>TTI.</w:t>
      </w:r>
    </w:p>
    <w:p w14:paraId="076E142F" w14:textId="7FAE99C7" w:rsidR="00A644DC" w:rsidRPr="00680D0D" w:rsidRDefault="00A644DC" w:rsidP="00A644DC">
      <w:pPr>
        <w:pStyle w:val="ListParagraph"/>
        <w:numPr>
          <w:ilvl w:val="1"/>
          <w:numId w:val="36"/>
        </w:numPr>
        <w:spacing w:after="120"/>
        <w:jc w:val="both"/>
        <w:rPr>
          <w:b/>
          <w:sz w:val="22"/>
          <w:szCs w:val="22"/>
        </w:rPr>
      </w:pPr>
      <w:r w:rsidRPr="004E5048">
        <w:rPr>
          <w:b/>
          <w:sz w:val="22"/>
          <w:szCs w:val="22"/>
        </w:rPr>
        <w:t>Asynchronous HARQ can be reused for DL shared channel with shortened TTI</w:t>
      </w:r>
      <w:r w:rsidRPr="00680D0D">
        <w:rPr>
          <w:b/>
          <w:sz w:val="22"/>
          <w:szCs w:val="22"/>
        </w:rPr>
        <w:t>.</w:t>
      </w:r>
    </w:p>
    <w:p w14:paraId="28144631" w14:textId="77777777" w:rsidR="00725AED" w:rsidRPr="00680D0D" w:rsidRDefault="00725AED" w:rsidP="00725AED">
      <w:pPr>
        <w:pStyle w:val="ListParagraph"/>
        <w:numPr>
          <w:ilvl w:val="0"/>
          <w:numId w:val="26"/>
        </w:numPr>
        <w:spacing w:after="120"/>
        <w:jc w:val="both"/>
        <w:rPr>
          <w:b/>
          <w:sz w:val="22"/>
          <w:szCs w:val="22"/>
        </w:rPr>
      </w:pPr>
      <w:r w:rsidRPr="004E5048">
        <w:rPr>
          <w:b/>
          <w:sz w:val="22"/>
          <w:szCs w:val="22"/>
        </w:rPr>
        <w:t xml:space="preserve">Shortened TTI should be considered for all DL transmission modes </w:t>
      </w:r>
    </w:p>
    <w:p w14:paraId="63D0C29F" w14:textId="2A0FF885" w:rsidR="00A644DC" w:rsidRPr="00680D0D" w:rsidRDefault="00A644DC" w:rsidP="00680D0D">
      <w:pPr>
        <w:pStyle w:val="ListParagraph"/>
        <w:numPr>
          <w:ilvl w:val="1"/>
          <w:numId w:val="26"/>
        </w:numPr>
        <w:spacing w:after="120"/>
        <w:jc w:val="both"/>
        <w:rPr>
          <w:b/>
          <w:sz w:val="22"/>
          <w:szCs w:val="22"/>
        </w:rPr>
      </w:pPr>
      <w:r w:rsidRPr="00680D0D">
        <w:rPr>
          <w:b/>
          <w:sz w:val="22"/>
          <w:szCs w:val="22"/>
        </w:rPr>
        <w:t>Demodulation of data channel with shortened TTI can use either CRS or DMRS</w:t>
      </w:r>
      <w:r w:rsidRPr="004E5048">
        <w:rPr>
          <w:b/>
          <w:sz w:val="22"/>
          <w:szCs w:val="22"/>
        </w:rPr>
        <w:t>.</w:t>
      </w:r>
    </w:p>
    <w:p w14:paraId="06C8ABC6" w14:textId="77777777" w:rsidR="00725AED" w:rsidRPr="00680D0D" w:rsidRDefault="00725AED" w:rsidP="00725AED">
      <w:pPr>
        <w:pStyle w:val="ListParagraph"/>
        <w:numPr>
          <w:ilvl w:val="0"/>
          <w:numId w:val="26"/>
        </w:numPr>
        <w:spacing w:after="120"/>
        <w:jc w:val="both"/>
        <w:rPr>
          <w:b/>
          <w:sz w:val="22"/>
          <w:szCs w:val="22"/>
        </w:rPr>
      </w:pPr>
      <w:r w:rsidRPr="004E5048">
        <w:rPr>
          <w:b/>
          <w:sz w:val="22"/>
          <w:szCs w:val="22"/>
        </w:rPr>
        <w:t xml:space="preserve">Study further DMRS design options for shortened PDSCH considering both overhead, impact on channel estimation and benefit of features enabled by DMRS. </w:t>
      </w:r>
    </w:p>
    <w:p w14:paraId="083F013F" w14:textId="79A0C9E4" w:rsidR="00A644DC" w:rsidRPr="00680D0D" w:rsidRDefault="00A644DC" w:rsidP="00680D0D">
      <w:pPr>
        <w:pStyle w:val="ListParagraph"/>
        <w:numPr>
          <w:ilvl w:val="0"/>
          <w:numId w:val="26"/>
        </w:numPr>
        <w:spacing w:after="120"/>
        <w:jc w:val="both"/>
        <w:rPr>
          <w:b/>
          <w:sz w:val="22"/>
          <w:szCs w:val="22"/>
        </w:rPr>
      </w:pPr>
      <w:r w:rsidRPr="00680D0D">
        <w:rPr>
          <w:b/>
          <w:sz w:val="22"/>
          <w:szCs w:val="22"/>
        </w:rPr>
        <w:t>The control information is divided into slow DCI (at most once per subframe) and fast DCI (once per short TTI).</w:t>
      </w:r>
    </w:p>
    <w:p w14:paraId="5C763F45" w14:textId="2267006C" w:rsidR="00A644DC" w:rsidRPr="00680D0D" w:rsidRDefault="00A644DC" w:rsidP="00680D0D">
      <w:pPr>
        <w:pStyle w:val="ListParagraph"/>
        <w:numPr>
          <w:ilvl w:val="0"/>
          <w:numId w:val="26"/>
        </w:numPr>
        <w:spacing w:after="120"/>
        <w:jc w:val="both"/>
        <w:rPr>
          <w:b/>
          <w:sz w:val="22"/>
          <w:szCs w:val="22"/>
        </w:rPr>
      </w:pPr>
      <w:r w:rsidRPr="00680D0D">
        <w:rPr>
          <w:b/>
          <w:sz w:val="22"/>
          <w:szCs w:val="22"/>
        </w:rPr>
        <w:t>The fast DCI for DL can be transmitted in the first symbol of each short TTI.</w:t>
      </w:r>
    </w:p>
    <w:p w14:paraId="55E934FF" w14:textId="77777777" w:rsidR="00A644DC" w:rsidRPr="00680D0D" w:rsidRDefault="00A644DC" w:rsidP="00680D0D">
      <w:pPr>
        <w:pStyle w:val="ListParagraph"/>
        <w:numPr>
          <w:ilvl w:val="0"/>
          <w:numId w:val="26"/>
        </w:numPr>
        <w:spacing w:after="120"/>
        <w:jc w:val="both"/>
        <w:rPr>
          <w:b/>
          <w:sz w:val="22"/>
          <w:szCs w:val="22"/>
        </w:rPr>
      </w:pPr>
      <w:r w:rsidRPr="00680D0D">
        <w:rPr>
          <w:b/>
          <w:sz w:val="22"/>
          <w:szCs w:val="22"/>
        </w:rPr>
        <w:t>Study design options for shortened PUCCH</w:t>
      </w:r>
      <w:r w:rsidRPr="00680D0D">
        <w:rPr>
          <w:rFonts w:eastAsia="Times New Roman"/>
          <w:b/>
          <w:sz w:val="22"/>
          <w:szCs w:val="22"/>
          <w:lang w:val="en-GB" w:eastAsia="zh-CN"/>
        </w:rPr>
        <w:t xml:space="preserve"> </w:t>
      </w:r>
      <w:r w:rsidRPr="00680D0D">
        <w:rPr>
          <w:b/>
          <w:sz w:val="22"/>
          <w:szCs w:val="22"/>
        </w:rPr>
        <w:t>considering both coverage as well as multiplexing capacity.</w:t>
      </w:r>
    </w:p>
    <w:p w14:paraId="7C971D2A" w14:textId="77777777" w:rsidR="00A644DC" w:rsidRPr="00680D0D" w:rsidRDefault="00A644DC" w:rsidP="00680D0D">
      <w:pPr>
        <w:rPr>
          <w:b/>
        </w:rPr>
      </w:pPr>
    </w:p>
    <w:p w14:paraId="54561BFB" w14:textId="77777777" w:rsidR="00855039" w:rsidRDefault="00855039" w:rsidP="004666E3">
      <w:pPr>
        <w:rPr>
          <w:b/>
          <w:lang w:val="en-US"/>
        </w:rPr>
      </w:pPr>
    </w:p>
    <w:p w14:paraId="067C572F" w14:textId="77777777" w:rsidR="00B67E6C" w:rsidRPr="00A742FA" w:rsidRDefault="00B67E6C" w:rsidP="00B67E6C">
      <w:pPr>
        <w:pStyle w:val="Heading1"/>
        <w:rPr>
          <w:lang w:val="en-US"/>
        </w:rPr>
      </w:pPr>
      <w:r w:rsidRPr="00A742FA">
        <w:rPr>
          <w:lang w:val="en-US"/>
        </w:rPr>
        <w:t>Reference</w:t>
      </w:r>
      <w:r w:rsidR="00E3500B">
        <w:rPr>
          <w:lang w:val="en-US"/>
        </w:rPr>
        <w:t>s</w:t>
      </w:r>
    </w:p>
    <w:p w14:paraId="6B29683C" w14:textId="4191A80B" w:rsidR="004330E9" w:rsidRDefault="005B6901" w:rsidP="00A82BAF">
      <w:pPr>
        <w:pStyle w:val="Reference"/>
        <w:rPr>
          <w:lang w:val="en-US"/>
        </w:rPr>
      </w:pPr>
      <w:r>
        <w:rPr>
          <w:lang w:val="en-US"/>
        </w:rPr>
        <w:t xml:space="preserve">R1-157146, </w:t>
      </w:r>
      <w:r w:rsidR="007E4206">
        <w:rPr>
          <w:lang w:val="en-US"/>
        </w:rPr>
        <w:t xml:space="preserve">Overview </w:t>
      </w:r>
      <w:r>
        <w:rPr>
          <w:lang w:val="en-US"/>
        </w:rPr>
        <w:t>of TTI shortening. Ericsson, November 2015.</w:t>
      </w:r>
    </w:p>
    <w:p w14:paraId="6EBB1095" w14:textId="6487F238" w:rsidR="00CF1CF3" w:rsidRPr="00A82BAF" w:rsidRDefault="005B6901" w:rsidP="00A82BAF">
      <w:pPr>
        <w:pStyle w:val="Reference"/>
        <w:rPr>
          <w:lang w:val="en-US"/>
        </w:rPr>
      </w:pPr>
      <w:r>
        <w:rPr>
          <w:lang w:val="en-US"/>
        </w:rPr>
        <w:t>R1-157149, Physical layer aspects of TTI shortening for uplink transmissions. Ericsson, November 2015.</w:t>
      </w:r>
    </w:p>
    <w:sectPr w:rsidR="00CF1CF3" w:rsidRPr="00A82BAF" w:rsidSect="005A7521">
      <w:pgSz w:w="11907" w:h="16839" w:code="9"/>
      <w:pgMar w:top="1440" w:right="1440" w:bottom="1440" w:left="1440" w:header="708" w:footer="708"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C3D61C7" w15:done="0"/>
  <w15:commentEx w15:paraId="681A5D1E" w15:done="0"/>
  <w15:commentEx w15:paraId="302964A8" w15:paraIdParent="681A5D1E" w15:done="0"/>
  <w15:commentEx w15:paraId="11F958D7" w15:done="0"/>
  <w15:commentEx w15:paraId="0CF342A8" w15:done="0"/>
  <w15:commentEx w15:paraId="3DE48501" w15:done="0"/>
  <w15:commentEx w15:paraId="4AD8AB91" w15:done="0"/>
  <w15:commentEx w15:paraId="473328C1" w15:done="0"/>
  <w15:commentEx w15:paraId="1E596166" w15:done="0"/>
  <w15:commentEx w15:paraId="1ABADB1C" w15:done="0"/>
  <w15:commentEx w15:paraId="253E8E28" w15:done="0"/>
  <w15:commentEx w15:paraId="06045B8F" w15:done="0"/>
  <w15:commentEx w15:paraId="6204DAD5"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EF497CF" w14:textId="77777777" w:rsidR="005B0E86" w:rsidRDefault="005B0E86" w:rsidP="000C2022">
      <w:pPr>
        <w:spacing w:after="0"/>
      </w:pPr>
      <w:r>
        <w:separator/>
      </w:r>
    </w:p>
  </w:endnote>
  <w:endnote w:type="continuationSeparator" w:id="0">
    <w:p w14:paraId="02E699A0" w14:textId="77777777" w:rsidR="005B0E86" w:rsidRDefault="005B0E86" w:rsidP="000C202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Ericsson Capital TT">
    <w:panose1 w:val="02000503000000020004"/>
    <w:charset w:val="00"/>
    <w:family w:val="auto"/>
    <w:pitch w:val="variable"/>
    <w:sig w:usb0="800002A7" w:usb1="4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12CD498" w14:textId="77777777" w:rsidR="005B0E86" w:rsidRDefault="005B0E86" w:rsidP="000C2022">
      <w:pPr>
        <w:spacing w:after="0"/>
      </w:pPr>
      <w:r>
        <w:separator/>
      </w:r>
    </w:p>
  </w:footnote>
  <w:footnote w:type="continuationSeparator" w:id="0">
    <w:p w14:paraId="40720F92" w14:textId="77777777" w:rsidR="005B0E86" w:rsidRDefault="005B0E86" w:rsidP="000C2022">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80F6DB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3150"/>
        </w:tabs>
        <w:ind w:left="315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nsid w:val="02E41238"/>
    <w:multiLevelType w:val="hybridMultilevel"/>
    <w:tmpl w:val="91A01C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5F77FC0"/>
    <w:multiLevelType w:val="hybridMultilevel"/>
    <w:tmpl w:val="67A214BC"/>
    <w:lvl w:ilvl="0" w:tplc="720CB8D2">
      <w:start w:val="1"/>
      <w:numFmt w:val="bullet"/>
      <w:lvlText w:val="•"/>
      <w:lvlJc w:val="left"/>
      <w:pPr>
        <w:ind w:left="420" w:hanging="420"/>
      </w:pPr>
      <w:rPr>
        <w:rFonts w:ascii="Arial" w:hAnsi="Arial" w:cs="Times New Roman" w:hint="default"/>
      </w:rPr>
    </w:lvl>
    <w:lvl w:ilvl="1" w:tplc="C2FCEFB0">
      <w:numFmt w:val="bullet"/>
      <w:lvlText w:val="-"/>
      <w:lvlJc w:val="left"/>
      <w:pPr>
        <w:ind w:left="840" w:hanging="420"/>
      </w:pPr>
      <w:rPr>
        <w:rFonts w:ascii="Times New Roman" w:eastAsia="MS Mincho"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nsid w:val="06883C97"/>
    <w:multiLevelType w:val="hybridMultilevel"/>
    <w:tmpl w:val="CE063C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B660972"/>
    <w:multiLevelType w:val="multilevel"/>
    <w:tmpl w:val="474EEE8A"/>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nsid w:val="16CF3DB1"/>
    <w:multiLevelType w:val="hybridMultilevel"/>
    <w:tmpl w:val="D57215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9CD0345"/>
    <w:multiLevelType w:val="hybridMultilevel"/>
    <w:tmpl w:val="5824BB7A"/>
    <w:lvl w:ilvl="0" w:tplc="BA26E6AC">
      <w:start w:val="1"/>
      <w:numFmt w:val="bullet"/>
      <w:lvlText w:val="•"/>
      <w:lvlJc w:val="left"/>
      <w:pPr>
        <w:tabs>
          <w:tab w:val="num" w:pos="720"/>
        </w:tabs>
        <w:ind w:left="720" w:hanging="360"/>
      </w:pPr>
      <w:rPr>
        <w:rFonts w:ascii="Arial" w:hAnsi="Arial" w:cs="Times New Roman" w:hint="default"/>
      </w:rPr>
    </w:lvl>
    <w:lvl w:ilvl="1" w:tplc="DA72F150">
      <w:start w:val="3443"/>
      <w:numFmt w:val="bullet"/>
      <w:lvlText w:val="–"/>
      <w:lvlJc w:val="left"/>
      <w:pPr>
        <w:tabs>
          <w:tab w:val="num" w:pos="1440"/>
        </w:tabs>
        <w:ind w:left="1440" w:hanging="360"/>
      </w:pPr>
      <w:rPr>
        <w:rFonts w:ascii="Arial" w:hAnsi="Arial" w:cs="Times New Roman" w:hint="default"/>
      </w:rPr>
    </w:lvl>
    <w:lvl w:ilvl="2" w:tplc="33E8D274">
      <w:start w:val="1"/>
      <w:numFmt w:val="bullet"/>
      <w:lvlText w:val="•"/>
      <w:lvlJc w:val="left"/>
      <w:pPr>
        <w:tabs>
          <w:tab w:val="num" w:pos="2160"/>
        </w:tabs>
        <w:ind w:left="2160" w:hanging="360"/>
      </w:pPr>
      <w:rPr>
        <w:rFonts w:ascii="Arial" w:hAnsi="Arial" w:cs="Times New Roman" w:hint="default"/>
      </w:rPr>
    </w:lvl>
    <w:lvl w:ilvl="3" w:tplc="4F14491C">
      <w:start w:val="1"/>
      <w:numFmt w:val="bullet"/>
      <w:lvlText w:val="•"/>
      <w:lvlJc w:val="left"/>
      <w:pPr>
        <w:tabs>
          <w:tab w:val="num" w:pos="2880"/>
        </w:tabs>
        <w:ind w:left="2880" w:hanging="360"/>
      </w:pPr>
      <w:rPr>
        <w:rFonts w:ascii="Arial" w:hAnsi="Arial" w:cs="Times New Roman" w:hint="default"/>
      </w:rPr>
    </w:lvl>
    <w:lvl w:ilvl="4" w:tplc="37C01868">
      <w:start w:val="1"/>
      <w:numFmt w:val="bullet"/>
      <w:lvlText w:val="•"/>
      <w:lvlJc w:val="left"/>
      <w:pPr>
        <w:tabs>
          <w:tab w:val="num" w:pos="3600"/>
        </w:tabs>
        <w:ind w:left="3600" w:hanging="360"/>
      </w:pPr>
      <w:rPr>
        <w:rFonts w:ascii="Arial" w:hAnsi="Arial" w:cs="Times New Roman" w:hint="default"/>
      </w:rPr>
    </w:lvl>
    <w:lvl w:ilvl="5" w:tplc="D5F0D0CE">
      <w:start w:val="1"/>
      <w:numFmt w:val="bullet"/>
      <w:lvlText w:val="•"/>
      <w:lvlJc w:val="left"/>
      <w:pPr>
        <w:tabs>
          <w:tab w:val="num" w:pos="4320"/>
        </w:tabs>
        <w:ind w:left="4320" w:hanging="360"/>
      </w:pPr>
      <w:rPr>
        <w:rFonts w:ascii="Arial" w:hAnsi="Arial" w:cs="Times New Roman" w:hint="default"/>
      </w:rPr>
    </w:lvl>
    <w:lvl w:ilvl="6" w:tplc="E71EECBA">
      <w:start w:val="1"/>
      <w:numFmt w:val="bullet"/>
      <w:lvlText w:val="•"/>
      <w:lvlJc w:val="left"/>
      <w:pPr>
        <w:tabs>
          <w:tab w:val="num" w:pos="5040"/>
        </w:tabs>
        <w:ind w:left="5040" w:hanging="360"/>
      </w:pPr>
      <w:rPr>
        <w:rFonts w:ascii="Arial" w:hAnsi="Arial" w:cs="Times New Roman" w:hint="default"/>
      </w:rPr>
    </w:lvl>
    <w:lvl w:ilvl="7" w:tplc="433E3260">
      <w:start w:val="1"/>
      <w:numFmt w:val="bullet"/>
      <w:lvlText w:val="•"/>
      <w:lvlJc w:val="left"/>
      <w:pPr>
        <w:tabs>
          <w:tab w:val="num" w:pos="5760"/>
        </w:tabs>
        <w:ind w:left="5760" w:hanging="360"/>
      </w:pPr>
      <w:rPr>
        <w:rFonts w:ascii="Arial" w:hAnsi="Arial" w:cs="Times New Roman" w:hint="default"/>
      </w:rPr>
    </w:lvl>
    <w:lvl w:ilvl="8" w:tplc="11D2FC30">
      <w:start w:val="1"/>
      <w:numFmt w:val="bullet"/>
      <w:lvlText w:val="•"/>
      <w:lvlJc w:val="left"/>
      <w:pPr>
        <w:tabs>
          <w:tab w:val="num" w:pos="6480"/>
        </w:tabs>
        <w:ind w:left="6480" w:hanging="360"/>
      </w:pPr>
      <w:rPr>
        <w:rFonts w:ascii="Arial" w:hAnsi="Arial" w:cs="Times New Roman" w:hint="default"/>
      </w:rPr>
    </w:lvl>
  </w:abstractNum>
  <w:abstractNum w:abstractNumId="7">
    <w:nsid w:val="1D335C1E"/>
    <w:multiLevelType w:val="hybridMultilevel"/>
    <w:tmpl w:val="7512CEC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26A3781A"/>
    <w:multiLevelType w:val="hybridMultilevel"/>
    <w:tmpl w:val="A1CC88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7260CE5"/>
    <w:multiLevelType w:val="hybridMultilevel"/>
    <w:tmpl w:val="B2A880D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nsid w:val="279B127E"/>
    <w:multiLevelType w:val="hybridMultilevel"/>
    <w:tmpl w:val="73307DE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nsid w:val="2B395BAE"/>
    <w:multiLevelType w:val="hybridMultilevel"/>
    <w:tmpl w:val="DD24445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FF32E1D"/>
    <w:multiLevelType w:val="hybridMultilevel"/>
    <w:tmpl w:val="6F58F7FA"/>
    <w:lvl w:ilvl="0" w:tplc="CD7814BE">
      <w:start w:val="1"/>
      <w:numFmt w:val="bullet"/>
      <w:lvlText w:val=""/>
      <w:lvlJc w:val="left"/>
      <w:pPr>
        <w:tabs>
          <w:tab w:val="num" w:pos="1080"/>
        </w:tabs>
        <w:ind w:left="1080" w:hanging="360"/>
      </w:pPr>
      <w:rPr>
        <w:rFonts w:ascii="Symbol" w:hAnsi="Symbol" w:hint="default"/>
        <w:color w:val="auto"/>
      </w:rPr>
    </w:lvl>
    <w:lvl w:ilvl="1" w:tplc="CD7814BE">
      <w:start w:val="1"/>
      <w:numFmt w:val="bullet"/>
      <w:lvlText w:val=""/>
      <w:lvlJc w:val="left"/>
      <w:pPr>
        <w:tabs>
          <w:tab w:val="num" w:pos="1080"/>
        </w:tabs>
        <w:ind w:left="1080" w:hanging="360"/>
      </w:pPr>
      <w:rPr>
        <w:rFonts w:ascii="Symbol" w:hAnsi="Symbol" w:hint="default"/>
        <w:color w:val="auto"/>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310844B1"/>
    <w:multiLevelType w:val="hybridMultilevel"/>
    <w:tmpl w:val="011AB2D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366165E1"/>
    <w:multiLevelType w:val="hybridMultilevel"/>
    <w:tmpl w:val="8200DE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CAC5440"/>
    <w:multiLevelType w:val="hybridMultilevel"/>
    <w:tmpl w:val="DFFE90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3CE01D9B"/>
    <w:multiLevelType w:val="hybridMultilevel"/>
    <w:tmpl w:val="08A28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3D464F3"/>
    <w:multiLevelType w:val="hybridMultilevel"/>
    <w:tmpl w:val="138E93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B792524"/>
    <w:multiLevelType w:val="hybridMultilevel"/>
    <w:tmpl w:val="037866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BCD4E8E"/>
    <w:multiLevelType w:val="hybridMultilevel"/>
    <w:tmpl w:val="FFA272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50150D77"/>
    <w:multiLevelType w:val="hybridMultilevel"/>
    <w:tmpl w:val="5DC230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101505E"/>
    <w:multiLevelType w:val="hybridMultilevel"/>
    <w:tmpl w:val="994C9BEC"/>
    <w:lvl w:ilvl="0" w:tplc="A4B8BBF0">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4A340B7"/>
    <w:multiLevelType w:val="hybridMultilevel"/>
    <w:tmpl w:val="FB848BB8"/>
    <w:lvl w:ilvl="0" w:tplc="887C81DC">
      <w:start w:val="1"/>
      <w:numFmt w:val="bullet"/>
      <w:lvlText w:val="›"/>
      <w:lvlJc w:val="left"/>
      <w:pPr>
        <w:tabs>
          <w:tab w:val="num" w:pos="360"/>
        </w:tabs>
        <w:ind w:left="360" w:hanging="360"/>
      </w:pPr>
      <w:rPr>
        <w:rFonts w:ascii="Arial" w:hAnsi="Arial" w:hint="default"/>
      </w:rPr>
    </w:lvl>
    <w:lvl w:ilvl="1" w:tplc="3C7E2E74">
      <w:start w:val="2600"/>
      <w:numFmt w:val="bullet"/>
      <w:lvlText w:val="–"/>
      <w:lvlJc w:val="left"/>
      <w:pPr>
        <w:tabs>
          <w:tab w:val="num" w:pos="1080"/>
        </w:tabs>
        <w:ind w:left="1080" w:hanging="360"/>
      </w:pPr>
      <w:rPr>
        <w:rFonts w:ascii="Ericsson Capital TT" w:hAnsi="Ericsson Capital TT" w:hint="default"/>
      </w:rPr>
    </w:lvl>
    <w:lvl w:ilvl="2" w:tplc="95CC4B2A">
      <w:start w:val="1"/>
      <w:numFmt w:val="bullet"/>
      <w:lvlText w:val="›"/>
      <w:lvlJc w:val="left"/>
      <w:pPr>
        <w:tabs>
          <w:tab w:val="num" w:pos="1800"/>
        </w:tabs>
        <w:ind w:left="1800" w:hanging="360"/>
      </w:pPr>
      <w:rPr>
        <w:rFonts w:ascii="Arial" w:hAnsi="Arial" w:hint="default"/>
      </w:rPr>
    </w:lvl>
    <w:lvl w:ilvl="3" w:tplc="FB4AD2E4" w:tentative="1">
      <w:start w:val="1"/>
      <w:numFmt w:val="bullet"/>
      <w:lvlText w:val="›"/>
      <w:lvlJc w:val="left"/>
      <w:pPr>
        <w:tabs>
          <w:tab w:val="num" w:pos="2520"/>
        </w:tabs>
        <w:ind w:left="2520" w:hanging="360"/>
      </w:pPr>
      <w:rPr>
        <w:rFonts w:ascii="Arial" w:hAnsi="Arial" w:hint="default"/>
      </w:rPr>
    </w:lvl>
    <w:lvl w:ilvl="4" w:tplc="F5BCB67C" w:tentative="1">
      <w:start w:val="1"/>
      <w:numFmt w:val="bullet"/>
      <w:lvlText w:val="›"/>
      <w:lvlJc w:val="left"/>
      <w:pPr>
        <w:tabs>
          <w:tab w:val="num" w:pos="3240"/>
        </w:tabs>
        <w:ind w:left="3240" w:hanging="360"/>
      </w:pPr>
      <w:rPr>
        <w:rFonts w:ascii="Arial" w:hAnsi="Arial" w:hint="default"/>
      </w:rPr>
    </w:lvl>
    <w:lvl w:ilvl="5" w:tplc="630402DE" w:tentative="1">
      <w:start w:val="1"/>
      <w:numFmt w:val="bullet"/>
      <w:lvlText w:val="›"/>
      <w:lvlJc w:val="left"/>
      <w:pPr>
        <w:tabs>
          <w:tab w:val="num" w:pos="3960"/>
        </w:tabs>
        <w:ind w:left="3960" w:hanging="360"/>
      </w:pPr>
      <w:rPr>
        <w:rFonts w:ascii="Arial" w:hAnsi="Arial" w:hint="default"/>
      </w:rPr>
    </w:lvl>
    <w:lvl w:ilvl="6" w:tplc="57AA85D2" w:tentative="1">
      <w:start w:val="1"/>
      <w:numFmt w:val="bullet"/>
      <w:lvlText w:val="›"/>
      <w:lvlJc w:val="left"/>
      <w:pPr>
        <w:tabs>
          <w:tab w:val="num" w:pos="4680"/>
        </w:tabs>
        <w:ind w:left="4680" w:hanging="360"/>
      </w:pPr>
      <w:rPr>
        <w:rFonts w:ascii="Arial" w:hAnsi="Arial" w:hint="default"/>
      </w:rPr>
    </w:lvl>
    <w:lvl w:ilvl="7" w:tplc="2A9C237C" w:tentative="1">
      <w:start w:val="1"/>
      <w:numFmt w:val="bullet"/>
      <w:lvlText w:val="›"/>
      <w:lvlJc w:val="left"/>
      <w:pPr>
        <w:tabs>
          <w:tab w:val="num" w:pos="5400"/>
        </w:tabs>
        <w:ind w:left="5400" w:hanging="360"/>
      </w:pPr>
      <w:rPr>
        <w:rFonts w:ascii="Arial" w:hAnsi="Arial" w:hint="default"/>
      </w:rPr>
    </w:lvl>
    <w:lvl w:ilvl="8" w:tplc="AB78CC96" w:tentative="1">
      <w:start w:val="1"/>
      <w:numFmt w:val="bullet"/>
      <w:lvlText w:val="›"/>
      <w:lvlJc w:val="left"/>
      <w:pPr>
        <w:tabs>
          <w:tab w:val="num" w:pos="6120"/>
        </w:tabs>
        <w:ind w:left="6120" w:hanging="360"/>
      </w:pPr>
      <w:rPr>
        <w:rFonts w:ascii="Arial" w:hAnsi="Arial" w:hint="default"/>
      </w:rPr>
    </w:lvl>
  </w:abstractNum>
  <w:abstractNum w:abstractNumId="24">
    <w:nsid w:val="56EF5B73"/>
    <w:multiLevelType w:val="hybridMultilevel"/>
    <w:tmpl w:val="423C8B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8910183"/>
    <w:multiLevelType w:val="hybridMultilevel"/>
    <w:tmpl w:val="3EDCF3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F064340"/>
    <w:multiLevelType w:val="hybridMultilevel"/>
    <w:tmpl w:val="3A6A688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1CD46F7"/>
    <w:multiLevelType w:val="hybridMultilevel"/>
    <w:tmpl w:val="52BAF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9AF3E5A"/>
    <w:multiLevelType w:val="hybridMultilevel"/>
    <w:tmpl w:val="8FA2C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05E0BF7"/>
    <w:multiLevelType w:val="hybridMultilevel"/>
    <w:tmpl w:val="4342C6D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nsid w:val="70F41F6F"/>
    <w:multiLevelType w:val="hybridMultilevel"/>
    <w:tmpl w:val="5F1E7D5E"/>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nsid w:val="739435F9"/>
    <w:multiLevelType w:val="hybridMultilevel"/>
    <w:tmpl w:val="80E69C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4651DBC"/>
    <w:multiLevelType w:val="hybridMultilevel"/>
    <w:tmpl w:val="D8E8DC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5A34A94"/>
    <w:multiLevelType w:val="hybridMultilevel"/>
    <w:tmpl w:val="B4466A9E"/>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nsid w:val="776367A6"/>
    <w:multiLevelType w:val="hybridMultilevel"/>
    <w:tmpl w:val="213A2A8C"/>
    <w:lvl w:ilvl="0" w:tplc="8A44F870">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9C957DB"/>
    <w:multiLevelType w:val="hybridMultilevel"/>
    <w:tmpl w:val="99607EC4"/>
    <w:lvl w:ilvl="0" w:tplc="8A44F87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0"/>
  </w:num>
  <w:num w:numId="3">
    <w:abstractNumId w:val="13"/>
  </w:num>
  <w:num w:numId="4">
    <w:abstractNumId w:val="7"/>
  </w:num>
  <w:num w:numId="5">
    <w:abstractNumId w:val="26"/>
  </w:num>
  <w:num w:numId="6">
    <w:abstractNumId w:val="5"/>
  </w:num>
  <w:num w:numId="7">
    <w:abstractNumId w:val="33"/>
  </w:num>
  <w:num w:numId="8">
    <w:abstractNumId w:val="23"/>
  </w:num>
  <w:num w:numId="9">
    <w:abstractNumId w:val="30"/>
  </w:num>
  <w:num w:numId="10">
    <w:abstractNumId w:val="8"/>
  </w:num>
  <w:num w:numId="11">
    <w:abstractNumId w:val="24"/>
  </w:num>
  <w:num w:numId="12">
    <w:abstractNumId w:val="11"/>
  </w:num>
  <w:num w:numId="13">
    <w:abstractNumId w:val="4"/>
  </w:num>
  <w:num w:numId="14">
    <w:abstractNumId w:val="2"/>
  </w:num>
  <w:num w:numId="15">
    <w:abstractNumId w:val="6"/>
  </w:num>
  <w:num w:numId="16">
    <w:abstractNumId w:val="2"/>
  </w:num>
  <w:num w:numId="17">
    <w:abstractNumId w:val="31"/>
  </w:num>
  <w:num w:numId="18">
    <w:abstractNumId w:val="15"/>
  </w:num>
  <w:num w:numId="19">
    <w:abstractNumId w:val="19"/>
  </w:num>
  <w:num w:numId="20">
    <w:abstractNumId w:val="12"/>
  </w:num>
  <w:num w:numId="21">
    <w:abstractNumId w:val="35"/>
  </w:num>
  <w:num w:numId="22">
    <w:abstractNumId w:val="34"/>
  </w:num>
  <w:num w:numId="23">
    <w:abstractNumId w:val="20"/>
  </w:num>
  <w:num w:numId="24">
    <w:abstractNumId w:val="28"/>
  </w:num>
  <w:num w:numId="25">
    <w:abstractNumId w:val="18"/>
  </w:num>
  <w:num w:numId="26">
    <w:abstractNumId w:val="3"/>
  </w:num>
  <w:num w:numId="27">
    <w:abstractNumId w:val="27"/>
  </w:num>
  <w:num w:numId="28">
    <w:abstractNumId w:val="21"/>
  </w:num>
  <w:num w:numId="29">
    <w:abstractNumId w:val="17"/>
  </w:num>
  <w:num w:numId="30">
    <w:abstractNumId w:val="14"/>
  </w:num>
  <w:num w:numId="31">
    <w:abstractNumId w:val="32"/>
  </w:num>
  <w:num w:numId="32">
    <w:abstractNumId w:val="22"/>
  </w:num>
  <w:num w:numId="33">
    <w:abstractNumId w:val="9"/>
  </w:num>
  <w:num w:numId="34">
    <w:abstractNumId w:val="29"/>
  </w:num>
  <w:num w:numId="35">
    <w:abstractNumId w:val="10"/>
  </w:num>
  <w:num w:numId="36">
    <w:abstractNumId w:val="16"/>
  </w:num>
  <w:num w:numId="37">
    <w:abstractNumId w:val="1"/>
  </w:num>
  <w:num w:numId="38">
    <w:abstractNumId w:val="0"/>
  </w:num>
  <w:num w:numId="39">
    <w:abstractNumId w:val="0"/>
  </w:num>
  <w:num w:numId="40">
    <w:abstractNumId w:val="0"/>
  </w:num>
  <w:num w:numId="41">
    <w:abstractNumId w:val="0"/>
  </w:num>
  <w:num w:numId="42">
    <w:abstractNumId w:val="25"/>
  </w:num>
  <w:num w:numId="43">
    <w:abstractNumId w:val="3"/>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ustav Wikström">
    <w15:presenceInfo w15:providerId="AD" w15:userId="S-1-5-21-1538607324-3213881460-940295383-3482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trackRevisions/>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7E6C"/>
    <w:rsid w:val="00002BBE"/>
    <w:rsid w:val="00006C28"/>
    <w:rsid w:val="00006F31"/>
    <w:rsid w:val="00010190"/>
    <w:rsid w:val="00011347"/>
    <w:rsid w:val="00012223"/>
    <w:rsid w:val="00015731"/>
    <w:rsid w:val="00015C65"/>
    <w:rsid w:val="00017365"/>
    <w:rsid w:val="000201FE"/>
    <w:rsid w:val="00021C89"/>
    <w:rsid w:val="00023C54"/>
    <w:rsid w:val="00023CF5"/>
    <w:rsid w:val="000248B1"/>
    <w:rsid w:val="00024DA7"/>
    <w:rsid w:val="000251B7"/>
    <w:rsid w:val="00025FD9"/>
    <w:rsid w:val="00026112"/>
    <w:rsid w:val="000301B5"/>
    <w:rsid w:val="000323DE"/>
    <w:rsid w:val="00036EFD"/>
    <w:rsid w:val="000374CB"/>
    <w:rsid w:val="00037EDB"/>
    <w:rsid w:val="00042674"/>
    <w:rsid w:val="000434E5"/>
    <w:rsid w:val="0004502C"/>
    <w:rsid w:val="00045A96"/>
    <w:rsid w:val="00046035"/>
    <w:rsid w:val="000462B9"/>
    <w:rsid w:val="00047BE3"/>
    <w:rsid w:val="000509AD"/>
    <w:rsid w:val="000513DB"/>
    <w:rsid w:val="00051FFB"/>
    <w:rsid w:val="000524D5"/>
    <w:rsid w:val="00052C52"/>
    <w:rsid w:val="000545C6"/>
    <w:rsid w:val="00055357"/>
    <w:rsid w:val="00055B89"/>
    <w:rsid w:val="00056A06"/>
    <w:rsid w:val="000575B0"/>
    <w:rsid w:val="00063371"/>
    <w:rsid w:val="000661EF"/>
    <w:rsid w:val="00066A5A"/>
    <w:rsid w:val="00066C59"/>
    <w:rsid w:val="00070520"/>
    <w:rsid w:val="00070AE9"/>
    <w:rsid w:val="00072BF0"/>
    <w:rsid w:val="0007383D"/>
    <w:rsid w:val="0007460E"/>
    <w:rsid w:val="0007476D"/>
    <w:rsid w:val="00076361"/>
    <w:rsid w:val="000766CC"/>
    <w:rsid w:val="00080E20"/>
    <w:rsid w:val="000828D6"/>
    <w:rsid w:val="00082D5A"/>
    <w:rsid w:val="00090129"/>
    <w:rsid w:val="0009036B"/>
    <w:rsid w:val="000916FA"/>
    <w:rsid w:val="0009172B"/>
    <w:rsid w:val="00093DBF"/>
    <w:rsid w:val="000955EF"/>
    <w:rsid w:val="000A0A13"/>
    <w:rsid w:val="000A375A"/>
    <w:rsid w:val="000A3CBB"/>
    <w:rsid w:val="000A674C"/>
    <w:rsid w:val="000A6999"/>
    <w:rsid w:val="000A6D95"/>
    <w:rsid w:val="000A716A"/>
    <w:rsid w:val="000A7B43"/>
    <w:rsid w:val="000B1A2C"/>
    <w:rsid w:val="000B3E0F"/>
    <w:rsid w:val="000B658E"/>
    <w:rsid w:val="000C017F"/>
    <w:rsid w:val="000C0A28"/>
    <w:rsid w:val="000C1373"/>
    <w:rsid w:val="000C2022"/>
    <w:rsid w:val="000C553D"/>
    <w:rsid w:val="000C58CE"/>
    <w:rsid w:val="000C61AA"/>
    <w:rsid w:val="000C7D43"/>
    <w:rsid w:val="000D1369"/>
    <w:rsid w:val="000D799A"/>
    <w:rsid w:val="000E08C9"/>
    <w:rsid w:val="000E39AC"/>
    <w:rsid w:val="000F2A38"/>
    <w:rsid w:val="000F2C29"/>
    <w:rsid w:val="000F47AC"/>
    <w:rsid w:val="000F6096"/>
    <w:rsid w:val="000F7999"/>
    <w:rsid w:val="00100788"/>
    <w:rsid w:val="00102793"/>
    <w:rsid w:val="00106BC2"/>
    <w:rsid w:val="001113B2"/>
    <w:rsid w:val="0011327A"/>
    <w:rsid w:val="0011354F"/>
    <w:rsid w:val="00114680"/>
    <w:rsid w:val="00115AB8"/>
    <w:rsid w:val="00120819"/>
    <w:rsid w:val="001219E0"/>
    <w:rsid w:val="00122B17"/>
    <w:rsid w:val="00122E62"/>
    <w:rsid w:val="00132821"/>
    <w:rsid w:val="001352A3"/>
    <w:rsid w:val="0014092C"/>
    <w:rsid w:val="00141AA2"/>
    <w:rsid w:val="001423F6"/>
    <w:rsid w:val="001424FC"/>
    <w:rsid w:val="00143E8C"/>
    <w:rsid w:val="00145CB4"/>
    <w:rsid w:val="00145D1F"/>
    <w:rsid w:val="00145E4A"/>
    <w:rsid w:val="0014704F"/>
    <w:rsid w:val="00150D13"/>
    <w:rsid w:val="00151103"/>
    <w:rsid w:val="00154016"/>
    <w:rsid w:val="00156079"/>
    <w:rsid w:val="0016216C"/>
    <w:rsid w:val="001622E7"/>
    <w:rsid w:val="00165095"/>
    <w:rsid w:val="00171752"/>
    <w:rsid w:val="00171C9F"/>
    <w:rsid w:val="00172149"/>
    <w:rsid w:val="00172C95"/>
    <w:rsid w:val="0017317C"/>
    <w:rsid w:val="00176033"/>
    <w:rsid w:val="00176F4D"/>
    <w:rsid w:val="001811DE"/>
    <w:rsid w:val="00181D11"/>
    <w:rsid w:val="00182F61"/>
    <w:rsid w:val="00183454"/>
    <w:rsid w:val="001849E3"/>
    <w:rsid w:val="00185F0A"/>
    <w:rsid w:val="00195254"/>
    <w:rsid w:val="00196436"/>
    <w:rsid w:val="001969A9"/>
    <w:rsid w:val="001A16DB"/>
    <w:rsid w:val="001A4934"/>
    <w:rsid w:val="001B0678"/>
    <w:rsid w:val="001B1AFF"/>
    <w:rsid w:val="001B243B"/>
    <w:rsid w:val="001B2461"/>
    <w:rsid w:val="001B2802"/>
    <w:rsid w:val="001B3E32"/>
    <w:rsid w:val="001B4D6F"/>
    <w:rsid w:val="001C3A4A"/>
    <w:rsid w:val="001C3BE9"/>
    <w:rsid w:val="001C3ED7"/>
    <w:rsid w:val="001C605C"/>
    <w:rsid w:val="001C6C5C"/>
    <w:rsid w:val="001D1488"/>
    <w:rsid w:val="001D1708"/>
    <w:rsid w:val="001D18A2"/>
    <w:rsid w:val="001D2088"/>
    <w:rsid w:val="001D39C4"/>
    <w:rsid w:val="001D3D68"/>
    <w:rsid w:val="001D3DA2"/>
    <w:rsid w:val="001D469E"/>
    <w:rsid w:val="001D7487"/>
    <w:rsid w:val="001E1D25"/>
    <w:rsid w:val="001E3E04"/>
    <w:rsid w:val="001E412C"/>
    <w:rsid w:val="001E5D99"/>
    <w:rsid w:val="001E6CEA"/>
    <w:rsid w:val="001F3FAA"/>
    <w:rsid w:val="001F4C78"/>
    <w:rsid w:val="0020006F"/>
    <w:rsid w:val="00205542"/>
    <w:rsid w:val="00207A80"/>
    <w:rsid w:val="00213713"/>
    <w:rsid w:val="00220517"/>
    <w:rsid w:val="00220960"/>
    <w:rsid w:val="002242F7"/>
    <w:rsid w:val="00230DB5"/>
    <w:rsid w:val="002311ED"/>
    <w:rsid w:val="00233CDA"/>
    <w:rsid w:val="002438B0"/>
    <w:rsid w:val="00243B7F"/>
    <w:rsid w:val="00243D6D"/>
    <w:rsid w:val="00244AF5"/>
    <w:rsid w:val="00246EE2"/>
    <w:rsid w:val="00246F2C"/>
    <w:rsid w:val="0024710A"/>
    <w:rsid w:val="002475FD"/>
    <w:rsid w:val="002536F6"/>
    <w:rsid w:val="00254F3E"/>
    <w:rsid w:val="00254FA4"/>
    <w:rsid w:val="00260434"/>
    <w:rsid w:val="0026164E"/>
    <w:rsid w:val="00262477"/>
    <w:rsid w:val="00267263"/>
    <w:rsid w:val="00271199"/>
    <w:rsid w:val="002724AE"/>
    <w:rsid w:val="00273B32"/>
    <w:rsid w:val="002763B9"/>
    <w:rsid w:val="00280F46"/>
    <w:rsid w:val="002873AE"/>
    <w:rsid w:val="002902F8"/>
    <w:rsid w:val="00291178"/>
    <w:rsid w:val="00292344"/>
    <w:rsid w:val="002976C7"/>
    <w:rsid w:val="002A11BF"/>
    <w:rsid w:val="002A276D"/>
    <w:rsid w:val="002A2990"/>
    <w:rsid w:val="002A3E1F"/>
    <w:rsid w:val="002A4A3D"/>
    <w:rsid w:val="002A5561"/>
    <w:rsid w:val="002A5C38"/>
    <w:rsid w:val="002A7E37"/>
    <w:rsid w:val="002B03F6"/>
    <w:rsid w:val="002B19A1"/>
    <w:rsid w:val="002B2008"/>
    <w:rsid w:val="002B270D"/>
    <w:rsid w:val="002B54F0"/>
    <w:rsid w:val="002B5740"/>
    <w:rsid w:val="002C0275"/>
    <w:rsid w:val="002C1086"/>
    <w:rsid w:val="002C1ECB"/>
    <w:rsid w:val="002C2709"/>
    <w:rsid w:val="002C5397"/>
    <w:rsid w:val="002D2663"/>
    <w:rsid w:val="002D3544"/>
    <w:rsid w:val="002D5A86"/>
    <w:rsid w:val="002E0B95"/>
    <w:rsid w:val="002E10FF"/>
    <w:rsid w:val="002E26EE"/>
    <w:rsid w:val="002E4309"/>
    <w:rsid w:val="002E5646"/>
    <w:rsid w:val="002E5EE6"/>
    <w:rsid w:val="002E621C"/>
    <w:rsid w:val="002E7422"/>
    <w:rsid w:val="002F1D4B"/>
    <w:rsid w:val="002F5212"/>
    <w:rsid w:val="002F6F3E"/>
    <w:rsid w:val="002F7180"/>
    <w:rsid w:val="002F7888"/>
    <w:rsid w:val="00300365"/>
    <w:rsid w:val="00301624"/>
    <w:rsid w:val="00306C11"/>
    <w:rsid w:val="00312F31"/>
    <w:rsid w:val="00314E22"/>
    <w:rsid w:val="003163C9"/>
    <w:rsid w:val="00327856"/>
    <w:rsid w:val="003303A5"/>
    <w:rsid w:val="00330FB0"/>
    <w:rsid w:val="00333A1E"/>
    <w:rsid w:val="00334E15"/>
    <w:rsid w:val="003379E0"/>
    <w:rsid w:val="00342DBD"/>
    <w:rsid w:val="00343D1D"/>
    <w:rsid w:val="0034717F"/>
    <w:rsid w:val="00351633"/>
    <w:rsid w:val="003516E0"/>
    <w:rsid w:val="00353292"/>
    <w:rsid w:val="003538F3"/>
    <w:rsid w:val="003679F1"/>
    <w:rsid w:val="0037105A"/>
    <w:rsid w:val="00371529"/>
    <w:rsid w:val="00376018"/>
    <w:rsid w:val="00382360"/>
    <w:rsid w:val="00386414"/>
    <w:rsid w:val="003911E6"/>
    <w:rsid w:val="0039469C"/>
    <w:rsid w:val="003954F9"/>
    <w:rsid w:val="003A0C6E"/>
    <w:rsid w:val="003A150D"/>
    <w:rsid w:val="003A3390"/>
    <w:rsid w:val="003A4CF0"/>
    <w:rsid w:val="003A6663"/>
    <w:rsid w:val="003B1067"/>
    <w:rsid w:val="003B12BE"/>
    <w:rsid w:val="003B3042"/>
    <w:rsid w:val="003B3DBC"/>
    <w:rsid w:val="003B5FD2"/>
    <w:rsid w:val="003C0B95"/>
    <w:rsid w:val="003C599D"/>
    <w:rsid w:val="003D0546"/>
    <w:rsid w:val="003D1A79"/>
    <w:rsid w:val="003D526B"/>
    <w:rsid w:val="003D66C5"/>
    <w:rsid w:val="003E18BC"/>
    <w:rsid w:val="003E2444"/>
    <w:rsid w:val="003E25F0"/>
    <w:rsid w:val="003E2608"/>
    <w:rsid w:val="003E3822"/>
    <w:rsid w:val="003E674A"/>
    <w:rsid w:val="003E6AE4"/>
    <w:rsid w:val="003E78A4"/>
    <w:rsid w:val="003E7A42"/>
    <w:rsid w:val="003E7FA9"/>
    <w:rsid w:val="003F0362"/>
    <w:rsid w:val="003F06F8"/>
    <w:rsid w:val="003F0B7A"/>
    <w:rsid w:val="003F1250"/>
    <w:rsid w:val="003F1959"/>
    <w:rsid w:val="003F25CA"/>
    <w:rsid w:val="003F5352"/>
    <w:rsid w:val="003F5886"/>
    <w:rsid w:val="003F6DC1"/>
    <w:rsid w:val="003F7FD3"/>
    <w:rsid w:val="00401A72"/>
    <w:rsid w:val="004021A0"/>
    <w:rsid w:val="00403322"/>
    <w:rsid w:val="00403A8E"/>
    <w:rsid w:val="004069CF"/>
    <w:rsid w:val="00411A31"/>
    <w:rsid w:val="004123B1"/>
    <w:rsid w:val="00413BB1"/>
    <w:rsid w:val="00415D57"/>
    <w:rsid w:val="00420ADA"/>
    <w:rsid w:val="0042188B"/>
    <w:rsid w:val="00421B71"/>
    <w:rsid w:val="004222C6"/>
    <w:rsid w:val="004234E1"/>
    <w:rsid w:val="0043079E"/>
    <w:rsid w:val="00432D5E"/>
    <w:rsid w:val="004330E9"/>
    <w:rsid w:val="004363BA"/>
    <w:rsid w:val="004366BC"/>
    <w:rsid w:val="00436735"/>
    <w:rsid w:val="004418FB"/>
    <w:rsid w:val="0044293A"/>
    <w:rsid w:val="004440D5"/>
    <w:rsid w:val="004464F1"/>
    <w:rsid w:val="00450D1B"/>
    <w:rsid w:val="0045198F"/>
    <w:rsid w:val="0045271A"/>
    <w:rsid w:val="00453ED5"/>
    <w:rsid w:val="00454194"/>
    <w:rsid w:val="00454C18"/>
    <w:rsid w:val="00454D0A"/>
    <w:rsid w:val="00457AEE"/>
    <w:rsid w:val="00461BC3"/>
    <w:rsid w:val="00464E47"/>
    <w:rsid w:val="004666E3"/>
    <w:rsid w:val="00470832"/>
    <w:rsid w:val="00472F28"/>
    <w:rsid w:val="0047627B"/>
    <w:rsid w:val="0047671A"/>
    <w:rsid w:val="00477499"/>
    <w:rsid w:val="00491FE8"/>
    <w:rsid w:val="00493BCC"/>
    <w:rsid w:val="00493EF6"/>
    <w:rsid w:val="00497C79"/>
    <w:rsid w:val="004A29A4"/>
    <w:rsid w:val="004A37E7"/>
    <w:rsid w:val="004A3C88"/>
    <w:rsid w:val="004A458C"/>
    <w:rsid w:val="004B125C"/>
    <w:rsid w:val="004B178F"/>
    <w:rsid w:val="004B2B12"/>
    <w:rsid w:val="004B2C22"/>
    <w:rsid w:val="004B2C34"/>
    <w:rsid w:val="004B68DC"/>
    <w:rsid w:val="004B7092"/>
    <w:rsid w:val="004C191C"/>
    <w:rsid w:val="004C3C4C"/>
    <w:rsid w:val="004C5334"/>
    <w:rsid w:val="004D1500"/>
    <w:rsid w:val="004D24E3"/>
    <w:rsid w:val="004D2AA8"/>
    <w:rsid w:val="004D37F7"/>
    <w:rsid w:val="004D43EE"/>
    <w:rsid w:val="004D5B26"/>
    <w:rsid w:val="004D77B2"/>
    <w:rsid w:val="004E3346"/>
    <w:rsid w:val="004E5048"/>
    <w:rsid w:val="004F03E9"/>
    <w:rsid w:val="004F101B"/>
    <w:rsid w:val="004F1226"/>
    <w:rsid w:val="004F4E04"/>
    <w:rsid w:val="004F6284"/>
    <w:rsid w:val="005024EA"/>
    <w:rsid w:val="005043CF"/>
    <w:rsid w:val="0050491E"/>
    <w:rsid w:val="0050603A"/>
    <w:rsid w:val="00510BEB"/>
    <w:rsid w:val="00512450"/>
    <w:rsid w:val="0051694C"/>
    <w:rsid w:val="005209E0"/>
    <w:rsid w:val="00524832"/>
    <w:rsid w:val="0052793E"/>
    <w:rsid w:val="0053717E"/>
    <w:rsid w:val="00537727"/>
    <w:rsid w:val="005379FE"/>
    <w:rsid w:val="005415DF"/>
    <w:rsid w:val="00541D0A"/>
    <w:rsid w:val="005431C4"/>
    <w:rsid w:val="005440D2"/>
    <w:rsid w:val="00544D3C"/>
    <w:rsid w:val="00547578"/>
    <w:rsid w:val="00550D3B"/>
    <w:rsid w:val="005510E4"/>
    <w:rsid w:val="005540ED"/>
    <w:rsid w:val="0056116A"/>
    <w:rsid w:val="005620C5"/>
    <w:rsid w:val="00563939"/>
    <w:rsid w:val="005674E0"/>
    <w:rsid w:val="0057203A"/>
    <w:rsid w:val="005723AB"/>
    <w:rsid w:val="0057376C"/>
    <w:rsid w:val="00573D17"/>
    <w:rsid w:val="00574CE5"/>
    <w:rsid w:val="00577988"/>
    <w:rsid w:val="0058097B"/>
    <w:rsid w:val="0058129C"/>
    <w:rsid w:val="005834E1"/>
    <w:rsid w:val="00584828"/>
    <w:rsid w:val="00584D0F"/>
    <w:rsid w:val="005854D3"/>
    <w:rsid w:val="0059079F"/>
    <w:rsid w:val="0059498A"/>
    <w:rsid w:val="00596CE3"/>
    <w:rsid w:val="005A2B54"/>
    <w:rsid w:val="005A4F57"/>
    <w:rsid w:val="005A6DD3"/>
    <w:rsid w:val="005A7521"/>
    <w:rsid w:val="005B0E86"/>
    <w:rsid w:val="005B128C"/>
    <w:rsid w:val="005B1A07"/>
    <w:rsid w:val="005B2933"/>
    <w:rsid w:val="005B30DC"/>
    <w:rsid w:val="005B31A3"/>
    <w:rsid w:val="005B6901"/>
    <w:rsid w:val="005B71E6"/>
    <w:rsid w:val="005C1E47"/>
    <w:rsid w:val="005C4CA1"/>
    <w:rsid w:val="005C4EB4"/>
    <w:rsid w:val="005C59F5"/>
    <w:rsid w:val="005D327D"/>
    <w:rsid w:val="005D341B"/>
    <w:rsid w:val="005D5E82"/>
    <w:rsid w:val="005D6ACE"/>
    <w:rsid w:val="005D77D6"/>
    <w:rsid w:val="005D7ED8"/>
    <w:rsid w:val="005E0BEE"/>
    <w:rsid w:val="005E1B83"/>
    <w:rsid w:val="005E4540"/>
    <w:rsid w:val="005E4AFC"/>
    <w:rsid w:val="005E63A5"/>
    <w:rsid w:val="005E66DC"/>
    <w:rsid w:val="005E755F"/>
    <w:rsid w:val="005E7623"/>
    <w:rsid w:val="005E7E94"/>
    <w:rsid w:val="005F0256"/>
    <w:rsid w:val="005F06BF"/>
    <w:rsid w:val="005F1028"/>
    <w:rsid w:val="005F10F0"/>
    <w:rsid w:val="005F1592"/>
    <w:rsid w:val="005F366A"/>
    <w:rsid w:val="005F4B92"/>
    <w:rsid w:val="005F69D4"/>
    <w:rsid w:val="005F6C35"/>
    <w:rsid w:val="005F736C"/>
    <w:rsid w:val="006011FA"/>
    <w:rsid w:val="006076BA"/>
    <w:rsid w:val="00607B5B"/>
    <w:rsid w:val="006118BD"/>
    <w:rsid w:val="00612CCC"/>
    <w:rsid w:val="00614DF9"/>
    <w:rsid w:val="0062343F"/>
    <w:rsid w:val="0062526A"/>
    <w:rsid w:val="00631569"/>
    <w:rsid w:val="00631F6D"/>
    <w:rsid w:val="006324FD"/>
    <w:rsid w:val="00632AA0"/>
    <w:rsid w:val="006336CA"/>
    <w:rsid w:val="00635217"/>
    <w:rsid w:val="00637CE4"/>
    <w:rsid w:val="0064138E"/>
    <w:rsid w:val="00642A91"/>
    <w:rsid w:val="00645491"/>
    <w:rsid w:val="00647D52"/>
    <w:rsid w:val="00652A89"/>
    <w:rsid w:val="006530E3"/>
    <w:rsid w:val="0065546B"/>
    <w:rsid w:val="00656513"/>
    <w:rsid w:val="00656BEC"/>
    <w:rsid w:val="00657A20"/>
    <w:rsid w:val="00657EDB"/>
    <w:rsid w:val="0066038E"/>
    <w:rsid w:val="006626B1"/>
    <w:rsid w:val="006635EE"/>
    <w:rsid w:val="006668FB"/>
    <w:rsid w:val="0067004F"/>
    <w:rsid w:val="0067166B"/>
    <w:rsid w:val="006759D4"/>
    <w:rsid w:val="006769AF"/>
    <w:rsid w:val="00677EEA"/>
    <w:rsid w:val="00680D0D"/>
    <w:rsid w:val="00681011"/>
    <w:rsid w:val="00683238"/>
    <w:rsid w:val="00683798"/>
    <w:rsid w:val="0068398B"/>
    <w:rsid w:val="00684536"/>
    <w:rsid w:val="00685DE3"/>
    <w:rsid w:val="00690C6C"/>
    <w:rsid w:val="00690E3C"/>
    <w:rsid w:val="00692E19"/>
    <w:rsid w:val="00697F9D"/>
    <w:rsid w:val="006A1698"/>
    <w:rsid w:val="006A1B35"/>
    <w:rsid w:val="006A356A"/>
    <w:rsid w:val="006A3911"/>
    <w:rsid w:val="006A4162"/>
    <w:rsid w:val="006A7283"/>
    <w:rsid w:val="006B09AD"/>
    <w:rsid w:val="006B1671"/>
    <w:rsid w:val="006B19DA"/>
    <w:rsid w:val="006B2F1F"/>
    <w:rsid w:val="006B3D90"/>
    <w:rsid w:val="006B62A5"/>
    <w:rsid w:val="006B6F07"/>
    <w:rsid w:val="006B7BBC"/>
    <w:rsid w:val="006C10FC"/>
    <w:rsid w:val="006C4334"/>
    <w:rsid w:val="006C4557"/>
    <w:rsid w:val="006C6C6E"/>
    <w:rsid w:val="006D2FCB"/>
    <w:rsid w:val="006D344C"/>
    <w:rsid w:val="006D48A6"/>
    <w:rsid w:val="006D5BE2"/>
    <w:rsid w:val="006D7142"/>
    <w:rsid w:val="006E34FB"/>
    <w:rsid w:val="006E491B"/>
    <w:rsid w:val="006E7199"/>
    <w:rsid w:val="006E7272"/>
    <w:rsid w:val="006F101E"/>
    <w:rsid w:val="0070165B"/>
    <w:rsid w:val="00702B09"/>
    <w:rsid w:val="00704FD1"/>
    <w:rsid w:val="00710D00"/>
    <w:rsid w:val="007118A4"/>
    <w:rsid w:val="00715E98"/>
    <w:rsid w:val="007206B3"/>
    <w:rsid w:val="007227BD"/>
    <w:rsid w:val="00722D67"/>
    <w:rsid w:val="00725AED"/>
    <w:rsid w:val="00731AAE"/>
    <w:rsid w:val="00731E26"/>
    <w:rsid w:val="0073395C"/>
    <w:rsid w:val="00733B14"/>
    <w:rsid w:val="007347F0"/>
    <w:rsid w:val="00734D57"/>
    <w:rsid w:val="0073537C"/>
    <w:rsid w:val="00736A5B"/>
    <w:rsid w:val="007378D4"/>
    <w:rsid w:val="00741B81"/>
    <w:rsid w:val="00741DD8"/>
    <w:rsid w:val="00741E8F"/>
    <w:rsid w:val="007468B1"/>
    <w:rsid w:val="00756AB3"/>
    <w:rsid w:val="0076135D"/>
    <w:rsid w:val="007641DB"/>
    <w:rsid w:val="00764BF9"/>
    <w:rsid w:val="00764E6B"/>
    <w:rsid w:val="00771213"/>
    <w:rsid w:val="00773161"/>
    <w:rsid w:val="007737AE"/>
    <w:rsid w:val="00774D67"/>
    <w:rsid w:val="007754C7"/>
    <w:rsid w:val="007755B8"/>
    <w:rsid w:val="007769C4"/>
    <w:rsid w:val="00777FDC"/>
    <w:rsid w:val="00783C53"/>
    <w:rsid w:val="00785AB3"/>
    <w:rsid w:val="00785C78"/>
    <w:rsid w:val="0078702F"/>
    <w:rsid w:val="00790BBC"/>
    <w:rsid w:val="00791076"/>
    <w:rsid w:val="0079152F"/>
    <w:rsid w:val="0079186C"/>
    <w:rsid w:val="00796302"/>
    <w:rsid w:val="007A15A1"/>
    <w:rsid w:val="007A2867"/>
    <w:rsid w:val="007A68C7"/>
    <w:rsid w:val="007B0F8F"/>
    <w:rsid w:val="007B11D8"/>
    <w:rsid w:val="007B2611"/>
    <w:rsid w:val="007B3A8A"/>
    <w:rsid w:val="007B430B"/>
    <w:rsid w:val="007C241D"/>
    <w:rsid w:val="007C671F"/>
    <w:rsid w:val="007C739B"/>
    <w:rsid w:val="007D1FAF"/>
    <w:rsid w:val="007D3E6E"/>
    <w:rsid w:val="007D4E1F"/>
    <w:rsid w:val="007D686F"/>
    <w:rsid w:val="007E1855"/>
    <w:rsid w:val="007E1F3D"/>
    <w:rsid w:val="007E31E2"/>
    <w:rsid w:val="007E4206"/>
    <w:rsid w:val="007E7289"/>
    <w:rsid w:val="007F1CC1"/>
    <w:rsid w:val="007F2DC4"/>
    <w:rsid w:val="007F50A4"/>
    <w:rsid w:val="007F748F"/>
    <w:rsid w:val="007F755B"/>
    <w:rsid w:val="00802F3A"/>
    <w:rsid w:val="008058AD"/>
    <w:rsid w:val="0080596A"/>
    <w:rsid w:val="00806C18"/>
    <w:rsid w:val="008104CE"/>
    <w:rsid w:val="00811A47"/>
    <w:rsid w:val="00815DFF"/>
    <w:rsid w:val="0081625A"/>
    <w:rsid w:val="00816725"/>
    <w:rsid w:val="008201B4"/>
    <w:rsid w:val="0082021F"/>
    <w:rsid w:val="008216BE"/>
    <w:rsid w:val="00825897"/>
    <w:rsid w:val="008264B1"/>
    <w:rsid w:val="00826C78"/>
    <w:rsid w:val="00826D5F"/>
    <w:rsid w:val="00826EC4"/>
    <w:rsid w:val="008271BF"/>
    <w:rsid w:val="0082726C"/>
    <w:rsid w:val="0083240F"/>
    <w:rsid w:val="008336A1"/>
    <w:rsid w:val="008339C0"/>
    <w:rsid w:val="00835C36"/>
    <w:rsid w:val="008362F8"/>
    <w:rsid w:val="0084117B"/>
    <w:rsid w:val="0084584D"/>
    <w:rsid w:val="0084628A"/>
    <w:rsid w:val="008465E4"/>
    <w:rsid w:val="00850B58"/>
    <w:rsid w:val="0085122B"/>
    <w:rsid w:val="00851306"/>
    <w:rsid w:val="00855039"/>
    <w:rsid w:val="008550B2"/>
    <w:rsid w:val="0085627F"/>
    <w:rsid w:val="00860724"/>
    <w:rsid w:val="00860CB9"/>
    <w:rsid w:val="0086135D"/>
    <w:rsid w:val="008625AA"/>
    <w:rsid w:val="00862F4B"/>
    <w:rsid w:val="00865064"/>
    <w:rsid w:val="008668ED"/>
    <w:rsid w:val="00871068"/>
    <w:rsid w:val="0087250A"/>
    <w:rsid w:val="008725B4"/>
    <w:rsid w:val="00874B0F"/>
    <w:rsid w:val="00876D38"/>
    <w:rsid w:val="00881396"/>
    <w:rsid w:val="00881CCA"/>
    <w:rsid w:val="00882F81"/>
    <w:rsid w:val="00884662"/>
    <w:rsid w:val="0088475D"/>
    <w:rsid w:val="00885257"/>
    <w:rsid w:val="00885740"/>
    <w:rsid w:val="00887955"/>
    <w:rsid w:val="008907C6"/>
    <w:rsid w:val="008931B3"/>
    <w:rsid w:val="00894741"/>
    <w:rsid w:val="00895C65"/>
    <w:rsid w:val="00896C35"/>
    <w:rsid w:val="008A2FBD"/>
    <w:rsid w:val="008A3508"/>
    <w:rsid w:val="008B2053"/>
    <w:rsid w:val="008B371B"/>
    <w:rsid w:val="008B3961"/>
    <w:rsid w:val="008B7A21"/>
    <w:rsid w:val="008C3936"/>
    <w:rsid w:val="008C53FB"/>
    <w:rsid w:val="008D1A69"/>
    <w:rsid w:val="008D4155"/>
    <w:rsid w:val="008E225D"/>
    <w:rsid w:val="008E30C4"/>
    <w:rsid w:val="008E4F69"/>
    <w:rsid w:val="008E56C1"/>
    <w:rsid w:val="008E67BE"/>
    <w:rsid w:val="008E67E0"/>
    <w:rsid w:val="008F0545"/>
    <w:rsid w:val="008F1A16"/>
    <w:rsid w:val="008F43C3"/>
    <w:rsid w:val="008F457C"/>
    <w:rsid w:val="008F52B5"/>
    <w:rsid w:val="008F713F"/>
    <w:rsid w:val="009022CA"/>
    <w:rsid w:val="009031F8"/>
    <w:rsid w:val="009112B3"/>
    <w:rsid w:val="00914A33"/>
    <w:rsid w:val="00917B4C"/>
    <w:rsid w:val="0092115B"/>
    <w:rsid w:val="009219D9"/>
    <w:rsid w:val="009221D6"/>
    <w:rsid w:val="009222F7"/>
    <w:rsid w:val="00922393"/>
    <w:rsid w:val="009307A6"/>
    <w:rsid w:val="00935300"/>
    <w:rsid w:val="0094016B"/>
    <w:rsid w:val="00941B6B"/>
    <w:rsid w:val="00941EC9"/>
    <w:rsid w:val="00942467"/>
    <w:rsid w:val="00942A6E"/>
    <w:rsid w:val="0094625E"/>
    <w:rsid w:val="0094722A"/>
    <w:rsid w:val="00947B56"/>
    <w:rsid w:val="009501C2"/>
    <w:rsid w:val="00951588"/>
    <w:rsid w:val="0095266D"/>
    <w:rsid w:val="009542EC"/>
    <w:rsid w:val="0095560D"/>
    <w:rsid w:val="00962304"/>
    <w:rsid w:val="0096254E"/>
    <w:rsid w:val="0097066C"/>
    <w:rsid w:val="009718CD"/>
    <w:rsid w:val="009719E8"/>
    <w:rsid w:val="00973821"/>
    <w:rsid w:val="009802ED"/>
    <w:rsid w:val="00981094"/>
    <w:rsid w:val="00981656"/>
    <w:rsid w:val="00981C03"/>
    <w:rsid w:val="00982B40"/>
    <w:rsid w:val="00983D96"/>
    <w:rsid w:val="00984E6A"/>
    <w:rsid w:val="009858EF"/>
    <w:rsid w:val="00986A7F"/>
    <w:rsid w:val="009879A4"/>
    <w:rsid w:val="00987C14"/>
    <w:rsid w:val="00987DA8"/>
    <w:rsid w:val="009902E0"/>
    <w:rsid w:val="00990DB2"/>
    <w:rsid w:val="00991E60"/>
    <w:rsid w:val="00992E33"/>
    <w:rsid w:val="009948BA"/>
    <w:rsid w:val="009950D6"/>
    <w:rsid w:val="009A076F"/>
    <w:rsid w:val="009A6AB0"/>
    <w:rsid w:val="009A7D88"/>
    <w:rsid w:val="009B146A"/>
    <w:rsid w:val="009B15EF"/>
    <w:rsid w:val="009B1D8F"/>
    <w:rsid w:val="009B4D08"/>
    <w:rsid w:val="009B5A14"/>
    <w:rsid w:val="009B5ADE"/>
    <w:rsid w:val="009C39C4"/>
    <w:rsid w:val="009C514D"/>
    <w:rsid w:val="009D5F5C"/>
    <w:rsid w:val="009E1318"/>
    <w:rsid w:val="009E3784"/>
    <w:rsid w:val="009E4053"/>
    <w:rsid w:val="009E431E"/>
    <w:rsid w:val="009E49D0"/>
    <w:rsid w:val="009E5676"/>
    <w:rsid w:val="009E76AA"/>
    <w:rsid w:val="009E7CE9"/>
    <w:rsid w:val="009F2E8A"/>
    <w:rsid w:val="009F58B1"/>
    <w:rsid w:val="009F594C"/>
    <w:rsid w:val="00A009A9"/>
    <w:rsid w:val="00A0104A"/>
    <w:rsid w:val="00A032AF"/>
    <w:rsid w:val="00A03AA7"/>
    <w:rsid w:val="00A0509E"/>
    <w:rsid w:val="00A05360"/>
    <w:rsid w:val="00A05D90"/>
    <w:rsid w:val="00A05E19"/>
    <w:rsid w:val="00A11022"/>
    <w:rsid w:val="00A11D4D"/>
    <w:rsid w:val="00A12573"/>
    <w:rsid w:val="00A13165"/>
    <w:rsid w:val="00A1419D"/>
    <w:rsid w:val="00A16C20"/>
    <w:rsid w:val="00A17E8E"/>
    <w:rsid w:val="00A25822"/>
    <w:rsid w:val="00A25907"/>
    <w:rsid w:val="00A27BCD"/>
    <w:rsid w:val="00A32B50"/>
    <w:rsid w:val="00A41FE4"/>
    <w:rsid w:val="00A433A5"/>
    <w:rsid w:val="00A44420"/>
    <w:rsid w:val="00A45250"/>
    <w:rsid w:val="00A4748B"/>
    <w:rsid w:val="00A50B27"/>
    <w:rsid w:val="00A52252"/>
    <w:rsid w:val="00A55D34"/>
    <w:rsid w:val="00A57640"/>
    <w:rsid w:val="00A6073F"/>
    <w:rsid w:val="00A644DC"/>
    <w:rsid w:val="00A64AA3"/>
    <w:rsid w:val="00A66BD0"/>
    <w:rsid w:val="00A6754E"/>
    <w:rsid w:val="00A70437"/>
    <w:rsid w:val="00A70AEB"/>
    <w:rsid w:val="00A72ABA"/>
    <w:rsid w:val="00A731D3"/>
    <w:rsid w:val="00A7397A"/>
    <w:rsid w:val="00A742FA"/>
    <w:rsid w:val="00A76A5C"/>
    <w:rsid w:val="00A76C99"/>
    <w:rsid w:val="00A81A0C"/>
    <w:rsid w:val="00A82BAF"/>
    <w:rsid w:val="00A82C6E"/>
    <w:rsid w:val="00A87C1E"/>
    <w:rsid w:val="00A90052"/>
    <w:rsid w:val="00A932DC"/>
    <w:rsid w:val="00A93602"/>
    <w:rsid w:val="00AA2822"/>
    <w:rsid w:val="00AA3CEB"/>
    <w:rsid w:val="00AA4C5C"/>
    <w:rsid w:val="00AA63DC"/>
    <w:rsid w:val="00AA70DE"/>
    <w:rsid w:val="00AB2267"/>
    <w:rsid w:val="00AB6F6C"/>
    <w:rsid w:val="00AC0650"/>
    <w:rsid w:val="00AC08C1"/>
    <w:rsid w:val="00AC1B9E"/>
    <w:rsid w:val="00AC513E"/>
    <w:rsid w:val="00AC56A1"/>
    <w:rsid w:val="00AD07EB"/>
    <w:rsid w:val="00AD6507"/>
    <w:rsid w:val="00AD6BEE"/>
    <w:rsid w:val="00AE0BC0"/>
    <w:rsid w:val="00AE1191"/>
    <w:rsid w:val="00AE133F"/>
    <w:rsid w:val="00AE1AD3"/>
    <w:rsid w:val="00AE6155"/>
    <w:rsid w:val="00AF18BC"/>
    <w:rsid w:val="00AF1C80"/>
    <w:rsid w:val="00AF51F4"/>
    <w:rsid w:val="00B013A9"/>
    <w:rsid w:val="00B01F6E"/>
    <w:rsid w:val="00B031CB"/>
    <w:rsid w:val="00B03371"/>
    <w:rsid w:val="00B0596D"/>
    <w:rsid w:val="00B100FF"/>
    <w:rsid w:val="00B13991"/>
    <w:rsid w:val="00B224A2"/>
    <w:rsid w:val="00B2252B"/>
    <w:rsid w:val="00B23615"/>
    <w:rsid w:val="00B23D20"/>
    <w:rsid w:val="00B250E2"/>
    <w:rsid w:val="00B251C0"/>
    <w:rsid w:val="00B302C2"/>
    <w:rsid w:val="00B31017"/>
    <w:rsid w:val="00B32ACB"/>
    <w:rsid w:val="00B351AE"/>
    <w:rsid w:val="00B361F5"/>
    <w:rsid w:val="00B37468"/>
    <w:rsid w:val="00B40AC3"/>
    <w:rsid w:val="00B43560"/>
    <w:rsid w:val="00B44038"/>
    <w:rsid w:val="00B46811"/>
    <w:rsid w:val="00B46A1C"/>
    <w:rsid w:val="00B50B10"/>
    <w:rsid w:val="00B535B7"/>
    <w:rsid w:val="00B57CAE"/>
    <w:rsid w:val="00B57E64"/>
    <w:rsid w:val="00B62379"/>
    <w:rsid w:val="00B6241B"/>
    <w:rsid w:val="00B658F9"/>
    <w:rsid w:val="00B66F1B"/>
    <w:rsid w:val="00B67E6C"/>
    <w:rsid w:val="00B700AB"/>
    <w:rsid w:val="00B7068A"/>
    <w:rsid w:val="00B71FD6"/>
    <w:rsid w:val="00B72634"/>
    <w:rsid w:val="00B733C9"/>
    <w:rsid w:val="00B740AB"/>
    <w:rsid w:val="00B77AD4"/>
    <w:rsid w:val="00B77C50"/>
    <w:rsid w:val="00B84582"/>
    <w:rsid w:val="00B863BF"/>
    <w:rsid w:val="00B91B14"/>
    <w:rsid w:val="00B91FCE"/>
    <w:rsid w:val="00B92956"/>
    <w:rsid w:val="00B92AA2"/>
    <w:rsid w:val="00B92F3E"/>
    <w:rsid w:val="00B93AFD"/>
    <w:rsid w:val="00B93B6C"/>
    <w:rsid w:val="00BA05A9"/>
    <w:rsid w:val="00BA13CB"/>
    <w:rsid w:val="00BA40E5"/>
    <w:rsid w:val="00BA4172"/>
    <w:rsid w:val="00BA4785"/>
    <w:rsid w:val="00BA64E8"/>
    <w:rsid w:val="00BB3DFD"/>
    <w:rsid w:val="00BC1EAC"/>
    <w:rsid w:val="00BC43AC"/>
    <w:rsid w:val="00BD075A"/>
    <w:rsid w:val="00BD1DD3"/>
    <w:rsid w:val="00BD2019"/>
    <w:rsid w:val="00BD4545"/>
    <w:rsid w:val="00BD4C7A"/>
    <w:rsid w:val="00BD549A"/>
    <w:rsid w:val="00BD5705"/>
    <w:rsid w:val="00BD5A37"/>
    <w:rsid w:val="00BD7B3A"/>
    <w:rsid w:val="00BE0510"/>
    <w:rsid w:val="00BE1F19"/>
    <w:rsid w:val="00BE298B"/>
    <w:rsid w:val="00BE4D5A"/>
    <w:rsid w:val="00BE4E5A"/>
    <w:rsid w:val="00BE7608"/>
    <w:rsid w:val="00BE7D9B"/>
    <w:rsid w:val="00BF0289"/>
    <w:rsid w:val="00BF24CE"/>
    <w:rsid w:val="00BF4E20"/>
    <w:rsid w:val="00BF4F67"/>
    <w:rsid w:val="00BF5DB0"/>
    <w:rsid w:val="00C02E55"/>
    <w:rsid w:val="00C032D2"/>
    <w:rsid w:val="00C04481"/>
    <w:rsid w:val="00C05B1D"/>
    <w:rsid w:val="00C0777F"/>
    <w:rsid w:val="00C10227"/>
    <w:rsid w:val="00C11E5B"/>
    <w:rsid w:val="00C11FD8"/>
    <w:rsid w:val="00C130F9"/>
    <w:rsid w:val="00C17ABB"/>
    <w:rsid w:val="00C205F2"/>
    <w:rsid w:val="00C21DAD"/>
    <w:rsid w:val="00C22625"/>
    <w:rsid w:val="00C23A01"/>
    <w:rsid w:val="00C249D0"/>
    <w:rsid w:val="00C257EA"/>
    <w:rsid w:val="00C268BF"/>
    <w:rsid w:val="00C3016D"/>
    <w:rsid w:val="00C30E4A"/>
    <w:rsid w:val="00C31841"/>
    <w:rsid w:val="00C32779"/>
    <w:rsid w:val="00C37799"/>
    <w:rsid w:val="00C41185"/>
    <w:rsid w:val="00C43A5C"/>
    <w:rsid w:val="00C46BD0"/>
    <w:rsid w:val="00C52450"/>
    <w:rsid w:val="00C5492C"/>
    <w:rsid w:val="00C54FEF"/>
    <w:rsid w:val="00C560D3"/>
    <w:rsid w:val="00C62312"/>
    <w:rsid w:val="00C62619"/>
    <w:rsid w:val="00C62EF3"/>
    <w:rsid w:val="00C640D3"/>
    <w:rsid w:val="00C66278"/>
    <w:rsid w:val="00C751CE"/>
    <w:rsid w:val="00C80673"/>
    <w:rsid w:val="00C81FEF"/>
    <w:rsid w:val="00C83CEF"/>
    <w:rsid w:val="00C9378E"/>
    <w:rsid w:val="00C93ECC"/>
    <w:rsid w:val="00C97378"/>
    <w:rsid w:val="00CA01D2"/>
    <w:rsid w:val="00CA1420"/>
    <w:rsid w:val="00CA347C"/>
    <w:rsid w:val="00CA3E6B"/>
    <w:rsid w:val="00CA5F0B"/>
    <w:rsid w:val="00CA6416"/>
    <w:rsid w:val="00CB23D1"/>
    <w:rsid w:val="00CB7119"/>
    <w:rsid w:val="00CB7D6D"/>
    <w:rsid w:val="00CC02D4"/>
    <w:rsid w:val="00CC02F3"/>
    <w:rsid w:val="00CC12A2"/>
    <w:rsid w:val="00CC1D41"/>
    <w:rsid w:val="00CC2368"/>
    <w:rsid w:val="00CC3CFC"/>
    <w:rsid w:val="00CC7000"/>
    <w:rsid w:val="00CD2D71"/>
    <w:rsid w:val="00CD50CA"/>
    <w:rsid w:val="00CD72BF"/>
    <w:rsid w:val="00CD77FE"/>
    <w:rsid w:val="00CE0054"/>
    <w:rsid w:val="00CE0684"/>
    <w:rsid w:val="00CE13E3"/>
    <w:rsid w:val="00CE27B0"/>
    <w:rsid w:val="00CE3791"/>
    <w:rsid w:val="00CE501A"/>
    <w:rsid w:val="00CE5698"/>
    <w:rsid w:val="00CF081F"/>
    <w:rsid w:val="00CF1CF3"/>
    <w:rsid w:val="00CF1F88"/>
    <w:rsid w:val="00CF3F35"/>
    <w:rsid w:val="00CF49AA"/>
    <w:rsid w:val="00CF530A"/>
    <w:rsid w:val="00CF7246"/>
    <w:rsid w:val="00D06301"/>
    <w:rsid w:val="00D07663"/>
    <w:rsid w:val="00D1140C"/>
    <w:rsid w:val="00D12E0E"/>
    <w:rsid w:val="00D1528F"/>
    <w:rsid w:val="00D17623"/>
    <w:rsid w:val="00D20A17"/>
    <w:rsid w:val="00D232E6"/>
    <w:rsid w:val="00D24D52"/>
    <w:rsid w:val="00D24F2E"/>
    <w:rsid w:val="00D257B9"/>
    <w:rsid w:val="00D30438"/>
    <w:rsid w:val="00D30668"/>
    <w:rsid w:val="00D31D2F"/>
    <w:rsid w:val="00D359DC"/>
    <w:rsid w:val="00D3764E"/>
    <w:rsid w:val="00D37BBA"/>
    <w:rsid w:val="00D41B55"/>
    <w:rsid w:val="00D424D3"/>
    <w:rsid w:val="00D424FC"/>
    <w:rsid w:val="00D42806"/>
    <w:rsid w:val="00D44020"/>
    <w:rsid w:val="00D453CF"/>
    <w:rsid w:val="00D52C3E"/>
    <w:rsid w:val="00D54B6E"/>
    <w:rsid w:val="00D55D02"/>
    <w:rsid w:val="00D565EC"/>
    <w:rsid w:val="00D6025E"/>
    <w:rsid w:val="00D62F82"/>
    <w:rsid w:val="00D63272"/>
    <w:rsid w:val="00D65925"/>
    <w:rsid w:val="00D65AA7"/>
    <w:rsid w:val="00D66182"/>
    <w:rsid w:val="00D67910"/>
    <w:rsid w:val="00D67F3D"/>
    <w:rsid w:val="00D72C1C"/>
    <w:rsid w:val="00D73226"/>
    <w:rsid w:val="00D751FF"/>
    <w:rsid w:val="00D77F26"/>
    <w:rsid w:val="00D80C4F"/>
    <w:rsid w:val="00D82576"/>
    <w:rsid w:val="00D84E23"/>
    <w:rsid w:val="00D85F99"/>
    <w:rsid w:val="00D874B9"/>
    <w:rsid w:val="00D879A6"/>
    <w:rsid w:val="00D9137D"/>
    <w:rsid w:val="00D95A85"/>
    <w:rsid w:val="00D96A10"/>
    <w:rsid w:val="00D96AEA"/>
    <w:rsid w:val="00DA340E"/>
    <w:rsid w:val="00DA46FB"/>
    <w:rsid w:val="00DA7BA8"/>
    <w:rsid w:val="00DB0E16"/>
    <w:rsid w:val="00DB2FAB"/>
    <w:rsid w:val="00DB34A6"/>
    <w:rsid w:val="00DB4010"/>
    <w:rsid w:val="00DB7848"/>
    <w:rsid w:val="00DB7CFA"/>
    <w:rsid w:val="00DC250D"/>
    <w:rsid w:val="00DC67C4"/>
    <w:rsid w:val="00DD339A"/>
    <w:rsid w:val="00DD7B80"/>
    <w:rsid w:val="00DE2561"/>
    <w:rsid w:val="00DE5074"/>
    <w:rsid w:val="00DE52B3"/>
    <w:rsid w:val="00DE6959"/>
    <w:rsid w:val="00DE7AB7"/>
    <w:rsid w:val="00DE7CF1"/>
    <w:rsid w:val="00DF05C8"/>
    <w:rsid w:val="00DF163E"/>
    <w:rsid w:val="00DF1FD2"/>
    <w:rsid w:val="00DF2A7B"/>
    <w:rsid w:val="00DF3053"/>
    <w:rsid w:val="00DF570C"/>
    <w:rsid w:val="00DF5848"/>
    <w:rsid w:val="00E0544A"/>
    <w:rsid w:val="00E05B68"/>
    <w:rsid w:val="00E10C75"/>
    <w:rsid w:val="00E162CE"/>
    <w:rsid w:val="00E168F2"/>
    <w:rsid w:val="00E16CD2"/>
    <w:rsid w:val="00E22C90"/>
    <w:rsid w:val="00E245B4"/>
    <w:rsid w:val="00E2647C"/>
    <w:rsid w:val="00E26E4D"/>
    <w:rsid w:val="00E279B8"/>
    <w:rsid w:val="00E27C24"/>
    <w:rsid w:val="00E320B6"/>
    <w:rsid w:val="00E32BB9"/>
    <w:rsid w:val="00E338D2"/>
    <w:rsid w:val="00E346BB"/>
    <w:rsid w:val="00E3500B"/>
    <w:rsid w:val="00E36335"/>
    <w:rsid w:val="00E3649C"/>
    <w:rsid w:val="00E42157"/>
    <w:rsid w:val="00E429F2"/>
    <w:rsid w:val="00E45235"/>
    <w:rsid w:val="00E50347"/>
    <w:rsid w:val="00E51787"/>
    <w:rsid w:val="00E53BED"/>
    <w:rsid w:val="00E57C83"/>
    <w:rsid w:val="00E60680"/>
    <w:rsid w:val="00E63160"/>
    <w:rsid w:val="00E63997"/>
    <w:rsid w:val="00E654FD"/>
    <w:rsid w:val="00E6772D"/>
    <w:rsid w:val="00E71A58"/>
    <w:rsid w:val="00E73240"/>
    <w:rsid w:val="00E74575"/>
    <w:rsid w:val="00E75C99"/>
    <w:rsid w:val="00E75F6C"/>
    <w:rsid w:val="00E81D31"/>
    <w:rsid w:val="00E828D7"/>
    <w:rsid w:val="00E82C6F"/>
    <w:rsid w:val="00E8312F"/>
    <w:rsid w:val="00E85BCA"/>
    <w:rsid w:val="00E864A1"/>
    <w:rsid w:val="00E9310D"/>
    <w:rsid w:val="00E93B91"/>
    <w:rsid w:val="00E95F60"/>
    <w:rsid w:val="00EA39F0"/>
    <w:rsid w:val="00EA4DD6"/>
    <w:rsid w:val="00EA4F2A"/>
    <w:rsid w:val="00EA60DA"/>
    <w:rsid w:val="00EB0B1A"/>
    <w:rsid w:val="00EB14AF"/>
    <w:rsid w:val="00EB385C"/>
    <w:rsid w:val="00EB4B2B"/>
    <w:rsid w:val="00EB5E8D"/>
    <w:rsid w:val="00EB6B39"/>
    <w:rsid w:val="00EB6DE2"/>
    <w:rsid w:val="00EB78AB"/>
    <w:rsid w:val="00EC1132"/>
    <w:rsid w:val="00EC30CC"/>
    <w:rsid w:val="00EC3FAD"/>
    <w:rsid w:val="00EC5236"/>
    <w:rsid w:val="00ED08C4"/>
    <w:rsid w:val="00ED18DA"/>
    <w:rsid w:val="00ED1D3E"/>
    <w:rsid w:val="00ED24F8"/>
    <w:rsid w:val="00ED3E15"/>
    <w:rsid w:val="00ED4540"/>
    <w:rsid w:val="00ED52A7"/>
    <w:rsid w:val="00EE0E8E"/>
    <w:rsid w:val="00EE36B7"/>
    <w:rsid w:val="00EE40E7"/>
    <w:rsid w:val="00EE541F"/>
    <w:rsid w:val="00EE5C6F"/>
    <w:rsid w:val="00EE79D8"/>
    <w:rsid w:val="00EF04AE"/>
    <w:rsid w:val="00EF1382"/>
    <w:rsid w:val="00EF2626"/>
    <w:rsid w:val="00EF5B11"/>
    <w:rsid w:val="00F046DE"/>
    <w:rsid w:val="00F20E2C"/>
    <w:rsid w:val="00F20F38"/>
    <w:rsid w:val="00F228AC"/>
    <w:rsid w:val="00F23A20"/>
    <w:rsid w:val="00F27174"/>
    <w:rsid w:val="00F318A9"/>
    <w:rsid w:val="00F31ED9"/>
    <w:rsid w:val="00F3289B"/>
    <w:rsid w:val="00F34369"/>
    <w:rsid w:val="00F369EF"/>
    <w:rsid w:val="00F37321"/>
    <w:rsid w:val="00F37552"/>
    <w:rsid w:val="00F41AA6"/>
    <w:rsid w:val="00F42C9F"/>
    <w:rsid w:val="00F45C7B"/>
    <w:rsid w:val="00F52092"/>
    <w:rsid w:val="00F52A86"/>
    <w:rsid w:val="00F52EFE"/>
    <w:rsid w:val="00F54256"/>
    <w:rsid w:val="00F563E8"/>
    <w:rsid w:val="00F575EF"/>
    <w:rsid w:val="00F6172B"/>
    <w:rsid w:val="00F649DD"/>
    <w:rsid w:val="00F64AF3"/>
    <w:rsid w:val="00F65757"/>
    <w:rsid w:val="00F65A04"/>
    <w:rsid w:val="00F65E0F"/>
    <w:rsid w:val="00F67C23"/>
    <w:rsid w:val="00F70B2E"/>
    <w:rsid w:val="00F70F6D"/>
    <w:rsid w:val="00F71A00"/>
    <w:rsid w:val="00F71B9D"/>
    <w:rsid w:val="00F72466"/>
    <w:rsid w:val="00F73BE8"/>
    <w:rsid w:val="00F74459"/>
    <w:rsid w:val="00F745E6"/>
    <w:rsid w:val="00F76A7F"/>
    <w:rsid w:val="00F81014"/>
    <w:rsid w:val="00F81C25"/>
    <w:rsid w:val="00F830DF"/>
    <w:rsid w:val="00F863FD"/>
    <w:rsid w:val="00F9047E"/>
    <w:rsid w:val="00F9200E"/>
    <w:rsid w:val="00F95557"/>
    <w:rsid w:val="00F96573"/>
    <w:rsid w:val="00F96B97"/>
    <w:rsid w:val="00F97866"/>
    <w:rsid w:val="00FA09D3"/>
    <w:rsid w:val="00FA1150"/>
    <w:rsid w:val="00FA153A"/>
    <w:rsid w:val="00FA3911"/>
    <w:rsid w:val="00FA77E0"/>
    <w:rsid w:val="00FB0DF8"/>
    <w:rsid w:val="00FB6807"/>
    <w:rsid w:val="00FC51C0"/>
    <w:rsid w:val="00FC63F1"/>
    <w:rsid w:val="00FD5354"/>
    <w:rsid w:val="00FD570C"/>
    <w:rsid w:val="00FE1607"/>
    <w:rsid w:val="00FE17AE"/>
    <w:rsid w:val="00FE31EE"/>
    <w:rsid w:val="00FE419A"/>
    <w:rsid w:val="00FE512E"/>
    <w:rsid w:val="00FE565C"/>
    <w:rsid w:val="00FE5A30"/>
    <w:rsid w:val="00FE5AF7"/>
    <w:rsid w:val="00FE6671"/>
    <w:rsid w:val="00FF179B"/>
    <w:rsid w:val="00FF22A9"/>
    <w:rsid w:val="00FF251D"/>
    <w:rsid w:val="00FF4A9B"/>
    <w:rsid w:val="00FF5AD7"/>
    <w:rsid w:val="00FF6D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9846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0" w:qFormat="1"/>
    <w:lsdException w:name="footnote reference" w:uiPriority="0"/>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7E6C"/>
    <w:pPr>
      <w:overflowPunct w:val="0"/>
      <w:autoSpaceDE w:val="0"/>
      <w:autoSpaceDN w:val="0"/>
      <w:adjustRightInd w:val="0"/>
      <w:spacing w:after="120"/>
      <w:jc w:val="both"/>
      <w:textAlignment w:val="baseline"/>
    </w:pPr>
    <w:rPr>
      <w:rFonts w:ascii="Times New Roman" w:eastAsia="Times New Roman" w:hAnsi="Times New Roman"/>
      <w:sz w:val="22"/>
      <w:lang w:val="en-GB"/>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B67E6C"/>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rPr>
  </w:style>
  <w:style w:type="paragraph" w:styleId="Heading2">
    <w:name w:val="heading 2"/>
    <w:aliases w:val="H2,h2,Head2A,2,UNDERRUBRIK 1-2,DO NOT USE_h2,h21,H2 Char,h2 Char,标题 2"/>
    <w:basedOn w:val="Heading1"/>
    <w:next w:val="Normal"/>
    <w:link w:val="Heading2Char"/>
    <w:qFormat/>
    <w:rsid w:val="00B67E6C"/>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B67E6C"/>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B67E6C"/>
    <w:pPr>
      <w:numPr>
        <w:ilvl w:val="3"/>
      </w:numPr>
      <w:outlineLvl w:val="3"/>
    </w:pPr>
    <w:rPr>
      <w:sz w:val="24"/>
      <w:szCs w:val="24"/>
    </w:rPr>
  </w:style>
  <w:style w:type="paragraph" w:styleId="Heading5">
    <w:name w:val="heading 5"/>
    <w:basedOn w:val="Heading4"/>
    <w:next w:val="Normal"/>
    <w:link w:val="Heading5Char"/>
    <w:qFormat/>
    <w:rsid w:val="00B67E6C"/>
    <w:pPr>
      <w:numPr>
        <w:ilvl w:val="4"/>
      </w:numPr>
      <w:outlineLvl w:val="4"/>
    </w:pPr>
    <w:rPr>
      <w:sz w:val="22"/>
      <w:szCs w:val="22"/>
    </w:rPr>
  </w:style>
  <w:style w:type="paragraph" w:styleId="Heading6">
    <w:name w:val="heading 6"/>
    <w:basedOn w:val="Normal"/>
    <w:next w:val="Normal"/>
    <w:link w:val="Heading6Char"/>
    <w:qFormat/>
    <w:rsid w:val="00B67E6C"/>
    <w:pPr>
      <w:keepNext/>
      <w:keepLines/>
      <w:numPr>
        <w:ilvl w:val="5"/>
        <w:numId w:val="1"/>
      </w:numPr>
      <w:spacing w:before="120"/>
      <w:outlineLvl w:val="5"/>
    </w:pPr>
    <w:rPr>
      <w:rFonts w:ascii="Arial" w:hAnsi="Arial" w:cs="Arial"/>
    </w:rPr>
  </w:style>
  <w:style w:type="paragraph" w:styleId="Heading7">
    <w:name w:val="heading 7"/>
    <w:basedOn w:val="Normal"/>
    <w:next w:val="Normal"/>
    <w:link w:val="Heading7Char"/>
    <w:qFormat/>
    <w:rsid w:val="00B67E6C"/>
    <w:pPr>
      <w:keepNext/>
      <w:keepLines/>
      <w:numPr>
        <w:ilvl w:val="6"/>
        <w:numId w:val="1"/>
      </w:numPr>
      <w:spacing w:before="120"/>
      <w:outlineLvl w:val="6"/>
    </w:pPr>
    <w:rPr>
      <w:rFonts w:ascii="Arial" w:hAnsi="Arial" w:cs="Arial"/>
    </w:rPr>
  </w:style>
  <w:style w:type="paragraph" w:styleId="Heading8">
    <w:name w:val="heading 8"/>
    <w:basedOn w:val="Heading7"/>
    <w:next w:val="Normal"/>
    <w:link w:val="Heading8Char"/>
    <w:qFormat/>
    <w:rsid w:val="00B67E6C"/>
    <w:pPr>
      <w:numPr>
        <w:ilvl w:val="7"/>
      </w:numPr>
      <w:outlineLvl w:val="7"/>
    </w:pPr>
  </w:style>
  <w:style w:type="paragraph" w:styleId="Heading9">
    <w:name w:val="heading 9"/>
    <w:basedOn w:val="Heading8"/>
    <w:next w:val="Normal"/>
    <w:link w:val="Heading9Char"/>
    <w:qFormat/>
    <w:rsid w:val="00B67E6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B67E6C"/>
    <w:rPr>
      <w:rFonts w:ascii="Arial" w:eastAsia="Times New Roman" w:hAnsi="Arial" w:cs="Arial"/>
      <w:sz w:val="36"/>
      <w:szCs w:val="36"/>
      <w:lang w:val="en-GB" w:eastAsia="zh-CN"/>
    </w:rPr>
  </w:style>
  <w:style w:type="character" w:customStyle="1" w:styleId="Heading2Char">
    <w:name w:val="Heading 2 Char"/>
    <w:aliases w:val="H2 Char1,h2 Char1,Head2A Char,2 Char,UNDERRUBRIK 1-2 Char,DO NOT USE_h2 Char,h21 Char,H2 Char Char,h2 Char Char,标题 2 Char"/>
    <w:link w:val="Heading2"/>
    <w:rsid w:val="00B67E6C"/>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B67E6C"/>
    <w:rPr>
      <w:rFonts w:ascii="Arial" w:eastAsia="Times New Roman" w:hAnsi="Arial" w:cs="Arial"/>
      <w:sz w:val="28"/>
      <w:szCs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67E6C"/>
    <w:rPr>
      <w:rFonts w:ascii="Arial" w:eastAsia="Times New Roman" w:hAnsi="Arial" w:cs="Arial"/>
      <w:sz w:val="24"/>
      <w:szCs w:val="24"/>
      <w:lang w:val="en-GB" w:eastAsia="zh-CN"/>
    </w:rPr>
  </w:style>
  <w:style w:type="character" w:customStyle="1" w:styleId="Heading5Char">
    <w:name w:val="Heading 5 Char"/>
    <w:link w:val="Heading5"/>
    <w:rsid w:val="00B67E6C"/>
    <w:rPr>
      <w:rFonts w:ascii="Arial" w:eastAsia="Times New Roman" w:hAnsi="Arial" w:cs="Arial"/>
      <w:sz w:val="22"/>
      <w:szCs w:val="22"/>
      <w:lang w:val="en-GB" w:eastAsia="zh-CN"/>
    </w:rPr>
  </w:style>
  <w:style w:type="character" w:customStyle="1" w:styleId="Heading6Char">
    <w:name w:val="Heading 6 Char"/>
    <w:link w:val="Heading6"/>
    <w:rsid w:val="00B67E6C"/>
    <w:rPr>
      <w:rFonts w:ascii="Arial" w:eastAsia="Times New Roman" w:hAnsi="Arial" w:cs="Arial"/>
      <w:sz w:val="22"/>
      <w:lang w:val="en-GB" w:eastAsia="zh-CN"/>
    </w:rPr>
  </w:style>
  <w:style w:type="character" w:customStyle="1" w:styleId="Heading7Char">
    <w:name w:val="Heading 7 Char"/>
    <w:link w:val="Heading7"/>
    <w:rsid w:val="00B67E6C"/>
    <w:rPr>
      <w:rFonts w:ascii="Arial" w:eastAsia="Times New Roman" w:hAnsi="Arial" w:cs="Arial"/>
      <w:sz w:val="22"/>
      <w:lang w:val="en-GB" w:eastAsia="zh-CN"/>
    </w:rPr>
  </w:style>
  <w:style w:type="character" w:customStyle="1" w:styleId="Heading8Char">
    <w:name w:val="Heading 8 Char"/>
    <w:link w:val="Heading8"/>
    <w:rsid w:val="00B67E6C"/>
    <w:rPr>
      <w:rFonts w:ascii="Arial" w:eastAsia="Times New Roman" w:hAnsi="Arial" w:cs="Arial"/>
      <w:sz w:val="22"/>
      <w:lang w:val="en-GB" w:eastAsia="zh-CN"/>
    </w:rPr>
  </w:style>
  <w:style w:type="character" w:customStyle="1" w:styleId="Heading9Char">
    <w:name w:val="Heading 9 Char"/>
    <w:link w:val="Heading9"/>
    <w:rsid w:val="00B67E6C"/>
    <w:rPr>
      <w:rFonts w:ascii="Arial" w:eastAsia="Times New Roman" w:hAnsi="Arial" w:cs="Arial"/>
      <w:sz w:val="22"/>
      <w:lang w:val="en-GB" w:eastAsia="zh-CN"/>
    </w:rPr>
  </w:style>
  <w:style w:type="paragraph" w:customStyle="1" w:styleId="TdocHeader2">
    <w:name w:val="Tdoc_Header_2"/>
    <w:basedOn w:val="Normal"/>
    <w:rsid w:val="00B67E6C"/>
    <w:pPr>
      <w:widowControl w:val="0"/>
      <w:tabs>
        <w:tab w:val="left" w:pos="1701"/>
        <w:tab w:val="right" w:pos="9072"/>
        <w:tab w:val="right" w:pos="10206"/>
      </w:tabs>
      <w:overflowPunct/>
      <w:autoSpaceDE/>
      <w:autoSpaceDN/>
      <w:adjustRightInd/>
      <w:spacing w:after="0"/>
      <w:textAlignment w:val="auto"/>
    </w:pPr>
    <w:rPr>
      <w:rFonts w:ascii="Arial" w:eastAsia="Batang" w:hAnsi="Arial"/>
      <w:b/>
      <w:sz w:val="18"/>
      <w:lang w:eastAsia="en-US"/>
    </w:rPr>
  </w:style>
  <w:style w:type="paragraph" w:styleId="FootnoteText">
    <w:name w:val="footnote text"/>
    <w:basedOn w:val="Normal"/>
    <w:link w:val="FootnoteTextChar"/>
    <w:semiHidden/>
    <w:rsid w:val="00B67E6C"/>
    <w:pPr>
      <w:overflowPunct/>
      <w:autoSpaceDE/>
      <w:autoSpaceDN/>
      <w:adjustRightInd/>
      <w:spacing w:after="0"/>
      <w:textAlignment w:val="auto"/>
    </w:pPr>
    <w:rPr>
      <w:rFonts w:ascii="Times" w:eastAsia="Batang" w:hAnsi="Times"/>
      <w:sz w:val="20"/>
      <w:lang w:val="en-US" w:eastAsia="en-US"/>
    </w:rPr>
  </w:style>
  <w:style w:type="character" w:customStyle="1" w:styleId="FootnoteTextChar">
    <w:name w:val="Footnote Text Char"/>
    <w:link w:val="FootnoteText"/>
    <w:semiHidden/>
    <w:rsid w:val="00B67E6C"/>
    <w:rPr>
      <w:rFonts w:ascii="Times" w:eastAsia="Batang" w:hAnsi="Times"/>
    </w:rPr>
  </w:style>
  <w:style w:type="paragraph" w:customStyle="1" w:styleId="Reference">
    <w:name w:val="Reference"/>
    <w:basedOn w:val="Normal"/>
    <w:link w:val="ReferenceChar"/>
    <w:qFormat/>
    <w:rsid w:val="00B67E6C"/>
    <w:pPr>
      <w:numPr>
        <w:numId w:val="2"/>
      </w:numPr>
    </w:pPr>
    <w:rPr>
      <w:rFonts w:ascii="Arial" w:hAnsi="Arial"/>
      <w:sz w:val="20"/>
    </w:rPr>
  </w:style>
  <w:style w:type="paragraph" w:styleId="BalloonText">
    <w:name w:val="Balloon Text"/>
    <w:basedOn w:val="Normal"/>
    <w:link w:val="BalloonTextChar"/>
    <w:uiPriority w:val="99"/>
    <w:semiHidden/>
    <w:unhideWhenUsed/>
    <w:rsid w:val="00AE1AD3"/>
    <w:pPr>
      <w:spacing w:after="0"/>
    </w:pPr>
    <w:rPr>
      <w:rFonts w:ascii="Tahoma" w:hAnsi="Tahoma" w:cs="Tahoma"/>
      <w:sz w:val="16"/>
      <w:szCs w:val="16"/>
    </w:rPr>
  </w:style>
  <w:style w:type="character" w:customStyle="1" w:styleId="BalloonTextChar">
    <w:name w:val="Balloon Text Char"/>
    <w:link w:val="BalloonText"/>
    <w:uiPriority w:val="99"/>
    <w:semiHidden/>
    <w:rsid w:val="00AE1AD3"/>
    <w:rPr>
      <w:rFonts w:ascii="Tahoma" w:eastAsia="Times New Roman" w:hAnsi="Tahoma" w:cs="Tahoma"/>
      <w:sz w:val="16"/>
      <w:szCs w:val="16"/>
      <w:lang w:val="en-GB" w:eastAsia="zh-CN"/>
    </w:rPr>
  </w:style>
  <w:style w:type="paragraph" w:styleId="BodyText">
    <w:name w:val="Body Text"/>
    <w:basedOn w:val="Normal"/>
    <w:link w:val="BodyTextChar"/>
    <w:uiPriority w:val="99"/>
    <w:unhideWhenUsed/>
    <w:rsid w:val="00986A7F"/>
  </w:style>
  <w:style w:type="character" w:customStyle="1" w:styleId="BodyTextChar">
    <w:name w:val="Body Text Char"/>
    <w:link w:val="BodyText"/>
    <w:uiPriority w:val="99"/>
    <w:rsid w:val="00986A7F"/>
    <w:rPr>
      <w:rFonts w:ascii="Times New Roman" w:eastAsia="Times New Roman" w:hAnsi="Times New Roman"/>
      <w:sz w:val="22"/>
      <w:lang w:val="en-GB" w:eastAsia="zh-CN"/>
    </w:rPr>
  </w:style>
  <w:style w:type="paragraph" w:styleId="NoSpacing">
    <w:name w:val="No Spacing"/>
    <w:uiPriority w:val="1"/>
    <w:qFormat/>
    <w:rsid w:val="00205542"/>
    <w:pPr>
      <w:overflowPunct w:val="0"/>
      <w:autoSpaceDE w:val="0"/>
      <w:autoSpaceDN w:val="0"/>
      <w:adjustRightInd w:val="0"/>
      <w:jc w:val="both"/>
      <w:textAlignment w:val="baseline"/>
    </w:pPr>
    <w:rPr>
      <w:rFonts w:ascii="Times New Roman" w:eastAsia="Times New Roman" w:hAnsi="Times New Roman"/>
      <w:sz w:val="22"/>
      <w:lang w:val="en-GB"/>
    </w:rPr>
  </w:style>
  <w:style w:type="character" w:styleId="CommentReference">
    <w:name w:val="annotation reference"/>
    <w:semiHidden/>
    <w:unhideWhenUsed/>
    <w:rsid w:val="00B23D20"/>
    <w:rPr>
      <w:sz w:val="16"/>
      <w:szCs w:val="16"/>
    </w:rPr>
  </w:style>
  <w:style w:type="paragraph" w:styleId="CommentText">
    <w:name w:val="annotation text"/>
    <w:basedOn w:val="Normal"/>
    <w:link w:val="CommentTextChar"/>
    <w:semiHidden/>
    <w:unhideWhenUsed/>
    <w:rsid w:val="00B23D20"/>
    <w:rPr>
      <w:sz w:val="20"/>
    </w:rPr>
  </w:style>
  <w:style w:type="character" w:customStyle="1" w:styleId="CommentTextChar">
    <w:name w:val="Comment Text Char"/>
    <w:link w:val="CommentText"/>
    <w:uiPriority w:val="99"/>
    <w:semiHidden/>
    <w:rsid w:val="00B23D20"/>
    <w:rPr>
      <w:rFonts w:ascii="Times New Roman" w:eastAsia="Times New Roman" w:hAnsi="Times New Roman"/>
      <w:lang w:val="en-GB" w:eastAsia="zh-CN"/>
    </w:rPr>
  </w:style>
  <w:style w:type="paragraph" w:styleId="CommentSubject">
    <w:name w:val="annotation subject"/>
    <w:basedOn w:val="CommentText"/>
    <w:next w:val="CommentText"/>
    <w:link w:val="CommentSubjectChar"/>
    <w:uiPriority w:val="99"/>
    <w:semiHidden/>
    <w:unhideWhenUsed/>
    <w:rsid w:val="00B23D20"/>
    <w:rPr>
      <w:b/>
      <w:bCs/>
    </w:rPr>
  </w:style>
  <w:style w:type="character" w:customStyle="1" w:styleId="CommentSubjectChar">
    <w:name w:val="Comment Subject Char"/>
    <w:link w:val="CommentSubject"/>
    <w:uiPriority w:val="99"/>
    <w:semiHidden/>
    <w:rsid w:val="00B23D20"/>
    <w:rPr>
      <w:rFonts w:ascii="Times New Roman" w:eastAsia="Times New Roman" w:hAnsi="Times New Roman"/>
      <w:b/>
      <w:bCs/>
      <w:lang w:val="en-GB" w:eastAsia="zh-CN"/>
    </w:rPr>
  </w:style>
  <w:style w:type="table" w:styleId="TableGrid">
    <w:name w:val="Table Grid"/>
    <w:basedOn w:val="TableNormal"/>
    <w:rsid w:val="00B059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Grid-Accent3">
    <w:name w:val="Light Grid Accent 3"/>
    <w:basedOn w:val="TableNormal"/>
    <w:uiPriority w:val="62"/>
    <w:rsid w:val="00A52252"/>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Times New Roma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Times New Roma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MediumGrid3-Accent1">
    <w:name w:val="Medium Grid 3 Accent 1"/>
    <w:basedOn w:val="TableNormal"/>
    <w:uiPriority w:val="69"/>
    <w:rsid w:val="00A52252"/>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styleId="Caption">
    <w:name w:val="caption"/>
    <w:basedOn w:val="Normal"/>
    <w:next w:val="Normal"/>
    <w:unhideWhenUsed/>
    <w:qFormat/>
    <w:rsid w:val="004D2AA8"/>
    <w:rPr>
      <w:b/>
      <w:bCs/>
      <w:sz w:val="20"/>
    </w:rPr>
  </w:style>
  <w:style w:type="paragraph" w:styleId="Revision">
    <w:name w:val="Revision"/>
    <w:hidden/>
    <w:uiPriority w:val="99"/>
    <w:semiHidden/>
    <w:rsid w:val="009E76AA"/>
    <w:rPr>
      <w:rFonts w:ascii="Times New Roman" w:eastAsia="Times New Roman" w:hAnsi="Times New Roman"/>
      <w:sz w:val="22"/>
      <w:lang w:val="en-GB"/>
    </w:rPr>
  </w:style>
  <w:style w:type="character" w:styleId="FootnoteReference">
    <w:name w:val="footnote reference"/>
    <w:rsid w:val="000C2022"/>
    <w:rPr>
      <w:vertAlign w:val="superscript"/>
    </w:rPr>
  </w:style>
  <w:style w:type="character" w:styleId="Hyperlink">
    <w:name w:val="Hyperlink"/>
    <w:rsid w:val="00A11D4D"/>
    <w:rPr>
      <w:color w:val="0000FF"/>
      <w:u w:val="single"/>
    </w:rPr>
  </w:style>
  <w:style w:type="character" w:styleId="FollowedHyperlink">
    <w:name w:val="FollowedHyperlink"/>
    <w:uiPriority w:val="99"/>
    <w:semiHidden/>
    <w:unhideWhenUsed/>
    <w:rsid w:val="00A11D4D"/>
    <w:rPr>
      <w:color w:val="800080"/>
      <w:u w:val="single"/>
    </w:rPr>
  </w:style>
  <w:style w:type="character" w:customStyle="1" w:styleId="ReferenceChar">
    <w:name w:val="Reference Char"/>
    <w:link w:val="Reference"/>
    <w:rsid w:val="003E7FA9"/>
    <w:rPr>
      <w:rFonts w:ascii="Arial" w:eastAsia="Times New Roman" w:hAnsi="Arial"/>
      <w:lang w:val="en-GB"/>
    </w:rPr>
  </w:style>
  <w:style w:type="paragraph" w:styleId="NormalWeb">
    <w:name w:val="Normal (Web)"/>
    <w:basedOn w:val="Normal"/>
    <w:uiPriority w:val="99"/>
    <w:semiHidden/>
    <w:unhideWhenUsed/>
    <w:rsid w:val="00F74459"/>
    <w:pPr>
      <w:overflowPunct/>
      <w:autoSpaceDE/>
      <w:autoSpaceDN/>
      <w:adjustRightInd/>
      <w:spacing w:before="100" w:beforeAutospacing="1" w:after="100" w:afterAutospacing="1"/>
      <w:jc w:val="left"/>
      <w:textAlignment w:val="auto"/>
    </w:pPr>
    <w:rPr>
      <w:sz w:val="24"/>
      <w:szCs w:val="24"/>
      <w:lang w:val="en-US" w:eastAsia="en-US"/>
    </w:rPr>
  </w:style>
  <w:style w:type="paragraph" w:styleId="ListParagraph">
    <w:name w:val="List Paragraph"/>
    <w:basedOn w:val="Normal"/>
    <w:uiPriority w:val="34"/>
    <w:qFormat/>
    <w:rsid w:val="00F3289B"/>
    <w:pPr>
      <w:overflowPunct/>
      <w:autoSpaceDE/>
      <w:autoSpaceDN/>
      <w:adjustRightInd/>
      <w:spacing w:after="0"/>
      <w:ind w:left="720"/>
      <w:jc w:val="left"/>
      <w:textAlignment w:val="auto"/>
    </w:pPr>
    <w:rPr>
      <w:rFonts w:eastAsia="Calibri"/>
      <w:sz w:val="24"/>
      <w:szCs w:val="24"/>
      <w:lang w:val="en-US" w:eastAsia="en-US"/>
    </w:rPr>
  </w:style>
  <w:style w:type="paragraph" w:customStyle="1" w:styleId="TAL">
    <w:name w:val="TAL"/>
    <w:basedOn w:val="Normal"/>
    <w:rsid w:val="00E36335"/>
    <w:pPr>
      <w:keepNext/>
      <w:keepLines/>
      <w:overflowPunct/>
      <w:autoSpaceDE/>
      <w:autoSpaceDN/>
      <w:adjustRightInd/>
      <w:spacing w:after="0"/>
      <w:jc w:val="left"/>
      <w:textAlignment w:val="auto"/>
    </w:pPr>
    <w:rPr>
      <w:rFonts w:ascii="Arial" w:eastAsia="MS Mincho" w:hAnsi="Arial"/>
      <w:sz w:val="18"/>
      <w:lang w:eastAsia="en-US"/>
    </w:rPr>
  </w:style>
  <w:style w:type="paragraph" w:customStyle="1" w:styleId="TAC">
    <w:name w:val="TAC"/>
    <w:basedOn w:val="TAL"/>
    <w:rsid w:val="00E36335"/>
    <w:pPr>
      <w:jc w:val="center"/>
    </w:pPr>
  </w:style>
  <w:style w:type="paragraph" w:customStyle="1" w:styleId="B2">
    <w:name w:val="B2"/>
    <w:basedOn w:val="List2"/>
    <w:link w:val="B2Char"/>
    <w:rsid w:val="00A70AEB"/>
    <w:pPr>
      <w:spacing w:after="180"/>
      <w:ind w:left="851" w:hanging="284"/>
      <w:contextualSpacing w:val="0"/>
      <w:jc w:val="left"/>
    </w:pPr>
    <w:rPr>
      <w:sz w:val="20"/>
      <w:lang w:eastAsia="ko-KR"/>
    </w:rPr>
  </w:style>
  <w:style w:type="paragraph" w:customStyle="1" w:styleId="B3">
    <w:name w:val="B3"/>
    <w:basedOn w:val="List3"/>
    <w:link w:val="B3Char"/>
    <w:rsid w:val="00A70AEB"/>
    <w:pPr>
      <w:spacing w:after="180"/>
      <w:ind w:left="1135" w:hanging="284"/>
      <w:contextualSpacing w:val="0"/>
      <w:jc w:val="left"/>
    </w:pPr>
    <w:rPr>
      <w:sz w:val="20"/>
      <w:lang w:eastAsia="ko-KR"/>
    </w:rPr>
  </w:style>
  <w:style w:type="character" w:customStyle="1" w:styleId="B2Char">
    <w:name w:val="B2 Char"/>
    <w:link w:val="B2"/>
    <w:rsid w:val="00A70AEB"/>
    <w:rPr>
      <w:rFonts w:ascii="Times New Roman" w:eastAsia="Times New Roman" w:hAnsi="Times New Roman"/>
      <w:lang w:val="en-GB" w:eastAsia="ko-KR"/>
    </w:rPr>
  </w:style>
  <w:style w:type="character" w:customStyle="1" w:styleId="B3Char">
    <w:name w:val="B3 Char"/>
    <w:link w:val="B3"/>
    <w:rsid w:val="00A70AEB"/>
    <w:rPr>
      <w:rFonts w:ascii="Times New Roman" w:eastAsia="Times New Roman" w:hAnsi="Times New Roman"/>
      <w:lang w:val="en-GB" w:eastAsia="ko-KR"/>
    </w:rPr>
  </w:style>
  <w:style w:type="paragraph" w:styleId="List2">
    <w:name w:val="List 2"/>
    <w:basedOn w:val="Normal"/>
    <w:uiPriority w:val="99"/>
    <w:semiHidden/>
    <w:unhideWhenUsed/>
    <w:rsid w:val="00A70AEB"/>
    <w:pPr>
      <w:ind w:left="566" w:hanging="283"/>
      <w:contextualSpacing/>
    </w:pPr>
  </w:style>
  <w:style w:type="paragraph" w:styleId="List3">
    <w:name w:val="List 3"/>
    <w:basedOn w:val="Normal"/>
    <w:uiPriority w:val="99"/>
    <w:semiHidden/>
    <w:unhideWhenUsed/>
    <w:rsid w:val="00A70AEB"/>
    <w:pPr>
      <w:ind w:left="849" w:hanging="283"/>
      <w:contextualSpacing/>
    </w:pPr>
  </w:style>
  <w:style w:type="paragraph" w:customStyle="1" w:styleId="B1">
    <w:name w:val="B1"/>
    <w:basedOn w:val="List"/>
    <w:link w:val="B1Char"/>
    <w:rsid w:val="00D80C4F"/>
    <w:pPr>
      <w:spacing w:after="180"/>
      <w:ind w:left="568" w:hanging="284"/>
      <w:contextualSpacing w:val="0"/>
      <w:jc w:val="left"/>
    </w:pPr>
    <w:rPr>
      <w:sz w:val="20"/>
      <w:lang w:eastAsia="ko-KR"/>
    </w:rPr>
  </w:style>
  <w:style w:type="character" w:customStyle="1" w:styleId="B1Char">
    <w:name w:val="B1 Char"/>
    <w:link w:val="B1"/>
    <w:rsid w:val="00D80C4F"/>
    <w:rPr>
      <w:rFonts w:ascii="Times New Roman" w:eastAsia="Times New Roman" w:hAnsi="Times New Roman"/>
      <w:lang w:val="en-GB" w:eastAsia="ko-KR"/>
    </w:rPr>
  </w:style>
  <w:style w:type="paragraph" w:styleId="List">
    <w:name w:val="List"/>
    <w:basedOn w:val="Normal"/>
    <w:uiPriority w:val="99"/>
    <w:semiHidden/>
    <w:unhideWhenUsed/>
    <w:rsid w:val="00D80C4F"/>
    <w:pPr>
      <w:ind w:left="283" w:hanging="283"/>
      <w:contextualSpacing/>
    </w:pPr>
  </w:style>
  <w:style w:type="paragraph" w:customStyle="1" w:styleId="EQ">
    <w:name w:val="EQ"/>
    <w:basedOn w:val="Normal"/>
    <w:next w:val="Normal"/>
    <w:rsid w:val="000248B1"/>
    <w:pPr>
      <w:keepLines/>
      <w:tabs>
        <w:tab w:val="center" w:pos="4536"/>
        <w:tab w:val="right" w:pos="9072"/>
      </w:tabs>
      <w:overflowPunct/>
      <w:autoSpaceDE/>
      <w:autoSpaceDN/>
      <w:adjustRightInd/>
      <w:spacing w:after="180"/>
      <w:jc w:val="left"/>
      <w:textAlignment w:val="auto"/>
    </w:pPr>
    <w:rPr>
      <w:noProof/>
      <w:sz w:val="20"/>
      <w:lang w:eastAsia="en-US"/>
    </w:rPr>
  </w:style>
  <w:style w:type="character" w:styleId="PlaceholderText">
    <w:name w:val="Placeholder Text"/>
    <w:basedOn w:val="DefaultParagraphFont"/>
    <w:uiPriority w:val="99"/>
    <w:semiHidden/>
    <w:rsid w:val="00E73240"/>
    <w:rPr>
      <w:color w:val="808080"/>
    </w:rPr>
  </w:style>
  <w:style w:type="paragraph" w:customStyle="1" w:styleId="Observation">
    <w:name w:val="Observation"/>
    <w:basedOn w:val="Normal"/>
    <w:qFormat/>
    <w:rsid w:val="00CA347C"/>
    <w:pPr>
      <w:numPr>
        <w:numId w:val="32"/>
      </w:numPr>
      <w:tabs>
        <w:tab w:val="left" w:pos="1701"/>
      </w:tabs>
    </w:pPr>
    <w:rPr>
      <w:rFonts w:ascii="Arial" w:hAnsi="Arial"/>
      <w:b/>
      <w:bCs/>
      <w:sz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0" w:qFormat="1"/>
    <w:lsdException w:name="footnote reference" w:uiPriority="0"/>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7E6C"/>
    <w:pPr>
      <w:overflowPunct w:val="0"/>
      <w:autoSpaceDE w:val="0"/>
      <w:autoSpaceDN w:val="0"/>
      <w:adjustRightInd w:val="0"/>
      <w:spacing w:after="120"/>
      <w:jc w:val="both"/>
      <w:textAlignment w:val="baseline"/>
    </w:pPr>
    <w:rPr>
      <w:rFonts w:ascii="Times New Roman" w:eastAsia="Times New Roman" w:hAnsi="Times New Roman"/>
      <w:sz w:val="22"/>
      <w:lang w:val="en-GB"/>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B67E6C"/>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rPr>
  </w:style>
  <w:style w:type="paragraph" w:styleId="Heading2">
    <w:name w:val="heading 2"/>
    <w:aliases w:val="H2,h2,Head2A,2,UNDERRUBRIK 1-2,DO NOT USE_h2,h21,H2 Char,h2 Char,标题 2"/>
    <w:basedOn w:val="Heading1"/>
    <w:next w:val="Normal"/>
    <w:link w:val="Heading2Char"/>
    <w:qFormat/>
    <w:rsid w:val="00B67E6C"/>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B67E6C"/>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B67E6C"/>
    <w:pPr>
      <w:numPr>
        <w:ilvl w:val="3"/>
      </w:numPr>
      <w:outlineLvl w:val="3"/>
    </w:pPr>
    <w:rPr>
      <w:sz w:val="24"/>
      <w:szCs w:val="24"/>
    </w:rPr>
  </w:style>
  <w:style w:type="paragraph" w:styleId="Heading5">
    <w:name w:val="heading 5"/>
    <w:basedOn w:val="Heading4"/>
    <w:next w:val="Normal"/>
    <w:link w:val="Heading5Char"/>
    <w:qFormat/>
    <w:rsid w:val="00B67E6C"/>
    <w:pPr>
      <w:numPr>
        <w:ilvl w:val="4"/>
      </w:numPr>
      <w:outlineLvl w:val="4"/>
    </w:pPr>
    <w:rPr>
      <w:sz w:val="22"/>
      <w:szCs w:val="22"/>
    </w:rPr>
  </w:style>
  <w:style w:type="paragraph" w:styleId="Heading6">
    <w:name w:val="heading 6"/>
    <w:basedOn w:val="Normal"/>
    <w:next w:val="Normal"/>
    <w:link w:val="Heading6Char"/>
    <w:qFormat/>
    <w:rsid w:val="00B67E6C"/>
    <w:pPr>
      <w:keepNext/>
      <w:keepLines/>
      <w:numPr>
        <w:ilvl w:val="5"/>
        <w:numId w:val="1"/>
      </w:numPr>
      <w:spacing w:before="120"/>
      <w:outlineLvl w:val="5"/>
    </w:pPr>
    <w:rPr>
      <w:rFonts w:ascii="Arial" w:hAnsi="Arial" w:cs="Arial"/>
    </w:rPr>
  </w:style>
  <w:style w:type="paragraph" w:styleId="Heading7">
    <w:name w:val="heading 7"/>
    <w:basedOn w:val="Normal"/>
    <w:next w:val="Normal"/>
    <w:link w:val="Heading7Char"/>
    <w:qFormat/>
    <w:rsid w:val="00B67E6C"/>
    <w:pPr>
      <w:keepNext/>
      <w:keepLines/>
      <w:numPr>
        <w:ilvl w:val="6"/>
        <w:numId w:val="1"/>
      </w:numPr>
      <w:spacing w:before="120"/>
      <w:outlineLvl w:val="6"/>
    </w:pPr>
    <w:rPr>
      <w:rFonts w:ascii="Arial" w:hAnsi="Arial" w:cs="Arial"/>
    </w:rPr>
  </w:style>
  <w:style w:type="paragraph" w:styleId="Heading8">
    <w:name w:val="heading 8"/>
    <w:basedOn w:val="Heading7"/>
    <w:next w:val="Normal"/>
    <w:link w:val="Heading8Char"/>
    <w:qFormat/>
    <w:rsid w:val="00B67E6C"/>
    <w:pPr>
      <w:numPr>
        <w:ilvl w:val="7"/>
      </w:numPr>
      <w:outlineLvl w:val="7"/>
    </w:pPr>
  </w:style>
  <w:style w:type="paragraph" w:styleId="Heading9">
    <w:name w:val="heading 9"/>
    <w:basedOn w:val="Heading8"/>
    <w:next w:val="Normal"/>
    <w:link w:val="Heading9Char"/>
    <w:qFormat/>
    <w:rsid w:val="00B67E6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B67E6C"/>
    <w:rPr>
      <w:rFonts w:ascii="Arial" w:eastAsia="Times New Roman" w:hAnsi="Arial" w:cs="Arial"/>
      <w:sz w:val="36"/>
      <w:szCs w:val="36"/>
      <w:lang w:val="en-GB" w:eastAsia="zh-CN"/>
    </w:rPr>
  </w:style>
  <w:style w:type="character" w:customStyle="1" w:styleId="Heading2Char">
    <w:name w:val="Heading 2 Char"/>
    <w:aliases w:val="H2 Char1,h2 Char1,Head2A Char,2 Char,UNDERRUBRIK 1-2 Char,DO NOT USE_h2 Char,h21 Char,H2 Char Char,h2 Char Char,标题 2 Char"/>
    <w:link w:val="Heading2"/>
    <w:rsid w:val="00B67E6C"/>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B67E6C"/>
    <w:rPr>
      <w:rFonts w:ascii="Arial" w:eastAsia="Times New Roman" w:hAnsi="Arial" w:cs="Arial"/>
      <w:sz w:val="28"/>
      <w:szCs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67E6C"/>
    <w:rPr>
      <w:rFonts w:ascii="Arial" w:eastAsia="Times New Roman" w:hAnsi="Arial" w:cs="Arial"/>
      <w:sz w:val="24"/>
      <w:szCs w:val="24"/>
      <w:lang w:val="en-GB" w:eastAsia="zh-CN"/>
    </w:rPr>
  </w:style>
  <w:style w:type="character" w:customStyle="1" w:styleId="Heading5Char">
    <w:name w:val="Heading 5 Char"/>
    <w:link w:val="Heading5"/>
    <w:rsid w:val="00B67E6C"/>
    <w:rPr>
      <w:rFonts w:ascii="Arial" w:eastAsia="Times New Roman" w:hAnsi="Arial" w:cs="Arial"/>
      <w:sz w:val="22"/>
      <w:szCs w:val="22"/>
      <w:lang w:val="en-GB" w:eastAsia="zh-CN"/>
    </w:rPr>
  </w:style>
  <w:style w:type="character" w:customStyle="1" w:styleId="Heading6Char">
    <w:name w:val="Heading 6 Char"/>
    <w:link w:val="Heading6"/>
    <w:rsid w:val="00B67E6C"/>
    <w:rPr>
      <w:rFonts w:ascii="Arial" w:eastAsia="Times New Roman" w:hAnsi="Arial" w:cs="Arial"/>
      <w:sz w:val="22"/>
      <w:lang w:val="en-GB" w:eastAsia="zh-CN"/>
    </w:rPr>
  </w:style>
  <w:style w:type="character" w:customStyle="1" w:styleId="Heading7Char">
    <w:name w:val="Heading 7 Char"/>
    <w:link w:val="Heading7"/>
    <w:rsid w:val="00B67E6C"/>
    <w:rPr>
      <w:rFonts w:ascii="Arial" w:eastAsia="Times New Roman" w:hAnsi="Arial" w:cs="Arial"/>
      <w:sz w:val="22"/>
      <w:lang w:val="en-GB" w:eastAsia="zh-CN"/>
    </w:rPr>
  </w:style>
  <w:style w:type="character" w:customStyle="1" w:styleId="Heading8Char">
    <w:name w:val="Heading 8 Char"/>
    <w:link w:val="Heading8"/>
    <w:rsid w:val="00B67E6C"/>
    <w:rPr>
      <w:rFonts w:ascii="Arial" w:eastAsia="Times New Roman" w:hAnsi="Arial" w:cs="Arial"/>
      <w:sz w:val="22"/>
      <w:lang w:val="en-GB" w:eastAsia="zh-CN"/>
    </w:rPr>
  </w:style>
  <w:style w:type="character" w:customStyle="1" w:styleId="Heading9Char">
    <w:name w:val="Heading 9 Char"/>
    <w:link w:val="Heading9"/>
    <w:rsid w:val="00B67E6C"/>
    <w:rPr>
      <w:rFonts w:ascii="Arial" w:eastAsia="Times New Roman" w:hAnsi="Arial" w:cs="Arial"/>
      <w:sz w:val="22"/>
      <w:lang w:val="en-GB" w:eastAsia="zh-CN"/>
    </w:rPr>
  </w:style>
  <w:style w:type="paragraph" w:customStyle="1" w:styleId="TdocHeader2">
    <w:name w:val="Tdoc_Header_2"/>
    <w:basedOn w:val="Normal"/>
    <w:rsid w:val="00B67E6C"/>
    <w:pPr>
      <w:widowControl w:val="0"/>
      <w:tabs>
        <w:tab w:val="left" w:pos="1701"/>
        <w:tab w:val="right" w:pos="9072"/>
        <w:tab w:val="right" w:pos="10206"/>
      </w:tabs>
      <w:overflowPunct/>
      <w:autoSpaceDE/>
      <w:autoSpaceDN/>
      <w:adjustRightInd/>
      <w:spacing w:after="0"/>
      <w:textAlignment w:val="auto"/>
    </w:pPr>
    <w:rPr>
      <w:rFonts w:ascii="Arial" w:eastAsia="Batang" w:hAnsi="Arial"/>
      <w:b/>
      <w:sz w:val="18"/>
      <w:lang w:eastAsia="en-US"/>
    </w:rPr>
  </w:style>
  <w:style w:type="paragraph" w:styleId="FootnoteText">
    <w:name w:val="footnote text"/>
    <w:basedOn w:val="Normal"/>
    <w:link w:val="FootnoteTextChar"/>
    <w:semiHidden/>
    <w:rsid w:val="00B67E6C"/>
    <w:pPr>
      <w:overflowPunct/>
      <w:autoSpaceDE/>
      <w:autoSpaceDN/>
      <w:adjustRightInd/>
      <w:spacing w:after="0"/>
      <w:textAlignment w:val="auto"/>
    </w:pPr>
    <w:rPr>
      <w:rFonts w:ascii="Times" w:eastAsia="Batang" w:hAnsi="Times"/>
      <w:sz w:val="20"/>
      <w:lang w:val="en-US" w:eastAsia="en-US"/>
    </w:rPr>
  </w:style>
  <w:style w:type="character" w:customStyle="1" w:styleId="FootnoteTextChar">
    <w:name w:val="Footnote Text Char"/>
    <w:link w:val="FootnoteText"/>
    <w:semiHidden/>
    <w:rsid w:val="00B67E6C"/>
    <w:rPr>
      <w:rFonts w:ascii="Times" w:eastAsia="Batang" w:hAnsi="Times"/>
    </w:rPr>
  </w:style>
  <w:style w:type="paragraph" w:customStyle="1" w:styleId="Reference">
    <w:name w:val="Reference"/>
    <w:basedOn w:val="Normal"/>
    <w:link w:val="ReferenceChar"/>
    <w:qFormat/>
    <w:rsid w:val="00B67E6C"/>
    <w:pPr>
      <w:numPr>
        <w:numId w:val="2"/>
      </w:numPr>
    </w:pPr>
    <w:rPr>
      <w:rFonts w:ascii="Arial" w:hAnsi="Arial"/>
      <w:sz w:val="20"/>
    </w:rPr>
  </w:style>
  <w:style w:type="paragraph" w:styleId="BalloonText">
    <w:name w:val="Balloon Text"/>
    <w:basedOn w:val="Normal"/>
    <w:link w:val="BalloonTextChar"/>
    <w:uiPriority w:val="99"/>
    <w:semiHidden/>
    <w:unhideWhenUsed/>
    <w:rsid w:val="00AE1AD3"/>
    <w:pPr>
      <w:spacing w:after="0"/>
    </w:pPr>
    <w:rPr>
      <w:rFonts w:ascii="Tahoma" w:hAnsi="Tahoma" w:cs="Tahoma"/>
      <w:sz w:val="16"/>
      <w:szCs w:val="16"/>
    </w:rPr>
  </w:style>
  <w:style w:type="character" w:customStyle="1" w:styleId="BalloonTextChar">
    <w:name w:val="Balloon Text Char"/>
    <w:link w:val="BalloonText"/>
    <w:uiPriority w:val="99"/>
    <w:semiHidden/>
    <w:rsid w:val="00AE1AD3"/>
    <w:rPr>
      <w:rFonts w:ascii="Tahoma" w:eastAsia="Times New Roman" w:hAnsi="Tahoma" w:cs="Tahoma"/>
      <w:sz w:val="16"/>
      <w:szCs w:val="16"/>
      <w:lang w:val="en-GB" w:eastAsia="zh-CN"/>
    </w:rPr>
  </w:style>
  <w:style w:type="paragraph" w:styleId="BodyText">
    <w:name w:val="Body Text"/>
    <w:basedOn w:val="Normal"/>
    <w:link w:val="BodyTextChar"/>
    <w:uiPriority w:val="99"/>
    <w:unhideWhenUsed/>
    <w:rsid w:val="00986A7F"/>
  </w:style>
  <w:style w:type="character" w:customStyle="1" w:styleId="BodyTextChar">
    <w:name w:val="Body Text Char"/>
    <w:link w:val="BodyText"/>
    <w:uiPriority w:val="99"/>
    <w:rsid w:val="00986A7F"/>
    <w:rPr>
      <w:rFonts w:ascii="Times New Roman" w:eastAsia="Times New Roman" w:hAnsi="Times New Roman"/>
      <w:sz w:val="22"/>
      <w:lang w:val="en-GB" w:eastAsia="zh-CN"/>
    </w:rPr>
  </w:style>
  <w:style w:type="paragraph" w:styleId="NoSpacing">
    <w:name w:val="No Spacing"/>
    <w:uiPriority w:val="1"/>
    <w:qFormat/>
    <w:rsid w:val="00205542"/>
    <w:pPr>
      <w:overflowPunct w:val="0"/>
      <w:autoSpaceDE w:val="0"/>
      <w:autoSpaceDN w:val="0"/>
      <w:adjustRightInd w:val="0"/>
      <w:jc w:val="both"/>
      <w:textAlignment w:val="baseline"/>
    </w:pPr>
    <w:rPr>
      <w:rFonts w:ascii="Times New Roman" w:eastAsia="Times New Roman" w:hAnsi="Times New Roman"/>
      <w:sz w:val="22"/>
      <w:lang w:val="en-GB"/>
    </w:rPr>
  </w:style>
  <w:style w:type="character" w:styleId="CommentReference">
    <w:name w:val="annotation reference"/>
    <w:semiHidden/>
    <w:unhideWhenUsed/>
    <w:rsid w:val="00B23D20"/>
    <w:rPr>
      <w:sz w:val="16"/>
      <w:szCs w:val="16"/>
    </w:rPr>
  </w:style>
  <w:style w:type="paragraph" w:styleId="CommentText">
    <w:name w:val="annotation text"/>
    <w:basedOn w:val="Normal"/>
    <w:link w:val="CommentTextChar"/>
    <w:semiHidden/>
    <w:unhideWhenUsed/>
    <w:rsid w:val="00B23D20"/>
    <w:rPr>
      <w:sz w:val="20"/>
    </w:rPr>
  </w:style>
  <w:style w:type="character" w:customStyle="1" w:styleId="CommentTextChar">
    <w:name w:val="Comment Text Char"/>
    <w:link w:val="CommentText"/>
    <w:uiPriority w:val="99"/>
    <w:semiHidden/>
    <w:rsid w:val="00B23D20"/>
    <w:rPr>
      <w:rFonts w:ascii="Times New Roman" w:eastAsia="Times New Roman" w:hAnsi="Times New Roman"/>
      <w:lang w:val="en-GB" w:eastAsia="zh-CN"/>
    </w:rPr>
  </w:style>
  <w:style w:type="paragraph" w:styleId="CommentSubject">
    <w:name w:val="annotation subject"/>
    <w:basedOn w:val="CommentText"/>
    <w:next w:val="CommentText"/>
    <w:link w:val="CommentSubjectChar"/>
    <w:uiPriority w:val="99"/>
    <w:semiHidden/>
    <w:unhideWhenUsed/>
    <w:rsid w:val="00B23D20"/>
    <w:rPr>
      <w:b/>
      <w:bCs/>
    </w:rPr>
  </w:style>
  <w:style w:type="character" w:customStyle="1" w:styleId="CommentSubjectChar">
    <w:name w:val="Comment Subject Char"/>
    <w:link w:val="CommentSubject"/>
    <w:uiPriority w:val="99"/>
    <w:semiHidden/>
    <w:rsid w:val="00B23D20"/>
    <w:rPr>
      <w:rFonts w:ascii="Times New Roman" w:eastAsia="Times New Roman" w:hAnsi="Times New Roman"/>
      <w:b/>
      <w:bCs/>
      <w:lang w:val="en-GB" w:eastAsia="zh-CN"/>
    </w:rPr>
  </w:style>
  <w:style w:type="table" w:styleId="TableGrid">
    <w:name w:val="Table Grid"/>
    <w:basedOn w:val="TableNormal"/>
    <w:rsid w:val="00B059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Grid-Accent3">
    <w:name w:val="Light Grid Accent 3"/>
    <w:basedOn w:val="TableNormal"/>
    <w:uiPriority w:val="62"/>
    <w:rsid w:val="00A52252"/>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Times New Roma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Times New Roma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MediumGrid3-Accent1">
    <w:name w:val="Medium Grid 3 Accent 1"/>
    <w:basedOn w:val="TableNormal"/>
    <w:uiPriority w:val="69"/>
    <w:rsid w:val="00A52252"/>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styleId="Caption">
    <w:name w:val="caption"/>
    <w:basedOn w:val="Normal"/>
    <w:next w:val="Normal"/>
    <w:unhideWhenUsed/>
    <w:qFormat/>
    <w:rsid w:val="004D2AA8"/>
    <w:rPr>
      <w:b/>
      <w:bCs/>
      <w:sz w:val="20"/>
    </w:rPr>
  </w:style>
  <w:style w:type="paragraph" w:styleId="Revision">
    <w:name w:val="Revision"/>
    <w:hidden/>
    <w:uiPriority w:val="99"/>
    <w:semiHidden/>
    <w:rsid w:val="009E76AA"/>
    <w:rPr>
      <w:rFonts w:ascii="Times New Roman" w:eastAsia="Times New Roman" w:hAnsi="Times New Roman"/>
      <w:sz w:val="22"/>
      <w:lang w:val="en-GB"/>
    </w:rPr>
  </w:style>
  <w:style w:type="character" w:styleId="FootnoteReference">
    <w:name w:val="footnote reference"/>
    <w:rsid w:val="000C2022"/>
    <w:rPr>
      <w:vertAlign w:val="superscript"/>
    </w:rPr>
  </w:style>
  <w:style w:type="character" w:styleId="Hyperlink">
    <w:name w:val="Hyperlink"/>
    <w:rsid w:val="00A11D4D"/>
    <w:rPr>
      <w:color w:val="0000FF"/>
      <w:u w:val="single"/>
    </w:rPr>
  </w:style>
  <w:style w:type="character" w:styleId="FollowedHyperlink">
    <w:name w:val="FollowedHyperlink"/>
    <w:uiPriority w:val="99"/>
    <w:semiHidden/>
    <w:unhideWhenUsed/>
    <w:rsid w:val="00A11D4D"/>
    <w:rPr>
      <w:color w:val="800080"/>
      <w:u w:val="single"/>
    </w:rPr>
  </w:style>
  <w:style w:type="character" w:customStyle="1" w:styleId="ReferenceChar">
    <w:name w:val="Reference Char"/>
    <w:link w:val="Reference"/>
    <w:rsid w:val="003E7FA9"/>
    <w:rPr>
      <w:rFonts w:ascii="Arial" w:eastAsia="Times New Roman" w:hAnsi="Arial"/>
      <w:lang w:val="en-GB"/>
    </w:rPr>
  </w:style>
  <w:style w:type="paragraph" w:styleId="NormalWeb">
    <w:name w:val="Normal (Web)"/>
    <w:basedOn w:val="Normal"/>
    <w:uiPriority w:val="99"/>
    <w:semiHidden/>
    <w:unhideWhenUsed/>
    <w:rsid w:val="00F74459"/>
    <w:pPr>
      <w:overflowPunct/>
      <w:autoSpaceDE/>
      <w:autoSpaceDN/>
      <w:adjustRightInd/>
      <w:spacing w:before="100" w:beforeAutospacing="1" w:after="100" w:afterAutospacing="1"/>
      <w:jc w:val="left"/>
      <w:textAlignment w:val="auto"/>
    </w:pPr>
    <w:rPr>
      <w:sz w:val="24"/>
      <w:szCs w:val="24"/>
      <w:lang w:val="en-US" w:eastAsia="en-US"/>
    </w:rPr>
  </w:style>
  <w:style w:type="paragraph" w:styleId="ListParagraph">
    <w:name w:val="List Paragraph"/>
    <w:basedOn w:val="Normal"/>
    <w:uiPriority w:val="34"/>
    <w:qFormat/>
    <w:rsid w:val="00F3289B"/>
    <w:pPr>
      <w:overflowPunct/>
      <w:autoSpaceDE/>
      <w:autoSpaceDN/>
      <w:adjustRightInd/>
      <w:spacing w:after="0"/>
      <w:ind w:left="720"/>
      <w:jc w:val="left"/>
      <w:textAlignment w:val="auto"/>
    </w:pPr>
    <w:rPr>
      <w:rFonts w:eastAsia="Calibri"/>
      <w:sz w:val="24"/>
      <w:szCs w:val="24"/>
      <w:lang w:val="en-US" w:eastAsia="en-US"/>
    </w:rPr>
  </w:style>
  <w:style w:type="paragraph" w:customStyle="1" w:styleId="TAL">
    <w:name w:val="TAL"/>
    <w:basedOn w:val="Normal"/>
    <w:rsid w:val="00E36335"/>
    <w:pPr>
      <w:keepNext/>
      <w:keepLines/>
      <w:overflowPunct/>
      <w:autoSpaceDE/>
      <w:autoSpaceDN/>
      <w:adjustRightInd/>
      <w:spacing w:after="0"/>
      <w:jc w:val="left"/>
      <w:textAlignment w:val="auto"/>
    </w:pPr>
    <w:rPr>
      <w:rFonts w:ascii="Arial" w:eastAsia="MS Mincho" w:hAnsi="Arial"/>
      <w:sz w:val="18"/>
      <w:lang w:eastAsia="en-US"/>
    </w:rPr>
  </w:style>
  <w:style w:type="paragraph" w:customStyle="1" w:styleId="TAC">
    <w:name w:val="TAC"/>
    <w:basedOn w:val="TAL"/>
    <w:rsid w:val="00E36335"/>
    <w:pPr>
      <w:jc w:val="center"/>
    </w:pPr>
  </w:style>
  <w:style w:type="paragraph" w:customStyle="1" w:styleId="B2">
    <w:name w:val="B2"/>
    <w:basedOn w:val="List2"/>
    <w:link w:val="B2Char"/>
    <w:rsid w:val="00A70AEB"/>
    <w:pPr>
      <w:spacing w:after="180"/>
      <w:ind w:left="851" w:hanging="284"/>
      <w:contextualSpacing w:val="0"/>
      <w:jc w:val="left"/>
    </w:pPr>
    <w:rPr>
      <w:sz w:val="20"/>
      <w:lang w:eastAsia="ko-KR"/>
    </w:rPr>
  </w:style>
  <w:style w:type="paragraph" w:customStyle="1" w:styleId="B3">
    <w:name w:val="B3"/>
    <w:basedOn w:val="List3"/>
    <w:link w:val="B3Char"/>
    <w:rsid w:val="00A70AEB"/>
    <w:pPr>
      <w:spacing w:after="180"/>
      <w:ind w:left="1135" w:hanging="284"/>
      <w:contextualSpacing w:val="0"/>
      <w:jc w:val="left"/>
    </w:pPr>
    <w:rPr>
      <w:sz w:val="20"/>
      <w:lang w:eastAsia="ko-KR"/>
    </w:rPr>
  </w:style>
  <w:style w:type="character" w:customStyle="1" w:styleId="B2Char">
    <w:name w:val="B2 Char"/>
    <w:link w:val="B2"/>
    <w:rsid w:val="00A70AEB"/>
    <w:rPr>
      <w:rFonts w:ascii="Times New Roman" w:eastAsia="Times New Roman" w:hAnsi="Times New Roman"/>
      <w:lang w:val="en-GB" w:eastAsia="ko-KR"/>
    </w:rPr>
  </w:style>
  <w:style w:type="character" w:customStyle="1" w:styleId="B3Char">
    <w:name w:val="B3 Char"/>
    <w:link w:val="B3"/>
    <w:rsid w:val="00A70AEB"/>
    <w:rPr>
      <w:rFonts w:ascii="Times New Roman" w:eastAsia="Times New Roman" w:hAnsi="Times New Roman"/>
      <w:lang w:val="en-GB" w:eastAsia="ko-KR"/>
    </w:rPr>
  </w:style>
  <w:style w:type="paragraph" w:styleId="List2">
    <w:name w:val="List 2"/>
    <w:basedOn w:val="Normal"/>
    <w:uiPriority w:val="99"/>
    <w:semiHidden/>
    <w:unhideWhenUsed/>
    <w:rsid w:val="00A70AEB"/>
    <w:pPr>
      <w:ind w:left="566" w:hanging="283"/>
      <w:contextualSpacing/>
    </w:pPr>
  </w:style>
  <w:style w:type="paragraph" w:styleId="List3">
    <w:name w:val="List 3"/>
    <w:basedOn w:val="Normal"/>
    <w:uiPriority w:val="99"/>
    <w:semiHidden/>
    <w:unhideWhenUsed/>
    <w:rsid w:val="00A70AEB"/>
    <w:pPr>
      <w:ind w:left="849" w:hanging="283"/>
      <w:contextualSpacing/>
    </w:pPr>
  </w:style>
  <w:style w:type="paragraph" w:customStyle="1" w:styleId="B1">
    <w:name w:val="B1"/>
    <w:basedOn w:val="List"/>
    <w:link w:val="B1Char"/>
    <w:rsid w:val="00D80C4F"/>
    <w:pPr>
      <w:spacing w:after="180"/>
      <w:ind w:left="568" w:hanging="284"/>
      <w:contextualSpacing w:val="0"/>
      <w:jc w:val="left"/>
    </w:pPr>
    <w:rPr>
      <w:sz w:val="20"/>
      <w:lang w:eastAsia="ko-KR"/>
    </w:rPr>
  </w:style>
  <w:style w:type="character" w:customStyle="1" w:styleId="B1Char">
    <w:name w:val="B1 Char"/>
    <w:link w:val="B1"/>
    <w:rsid w:val="00D80C4F"/>
    <w:rPr>
      <w:rFonts w:ascii="Times New Roman" w:eastAsia="Times New Roman" w:hAnsi="Times New Roman"/>
      <w:lang w:val="en-GB" w:eastAsia="ko-KR"/>
    </w:rPr>
  </w:style>
  <w:style w:type="paragraph" w:styleId="List">
    <w:name w:val="List"/>
    <w:basedOn w:val="Normal"/>
    <w:uiPriority w:val="99"/>
    <w:semiHidden/>
    <w:unhideWhenUsed/>
    <w:rsid w:val="00D80C4F"/>
    <w:pPr>
      <w:ind w:left="283" w:hanging="283"/>
      <w:contextualSpacing/>
    </w:pPr>
  </w:style>
  <w:style w:type="paragraph" w:customStyle="1" w:styleId="EQ">
    <w:name w:val="EQ"/>
    <w:basedOn w:val="Normal"/>
    <w:next w:val="Normal"/>
    <w:rsid w:val="000248B1"/>
    <w:pPr>
      <w:keepLines/>
      <w:tabs>
        <w:tab w:val="center" w:pos="4536"/>
        <w:tab w:val="right" w:pos="9072"/>
      </w:tabs>
      <w:overflowPunct/>
      <w:autoSpaceDE/>
      <w:autoSpaceDN/>
      <w:adjustRightInd/>
      <w:spacing w:after="180"/>
      <w:jc w:val="left"/>
      <w:textAlignment w:val="auto"/>
    </w:pPr>
    <w:rPr>
      <w:noProof/>
      <w:sz w:val="20"/>
      <w:lang w:eastAsia="en-US"/>
    </w:rPr>
  </w:style>
  <w:style w:type="character" w:styleId="PlaceholderText">
    <w:name w:val="Placeholder Text"/>
    <w:basedOn w:val="DefaultParagraphFont"/>
    <w:uiPriority w:val="99"/>
    <w:semiHidden/>
    <w:rsid w:val="00E73240"/>
    <w:rPr>
      <w:color w:val="808080"/>
    </w:rPr>
  </w:style>
  <w:style w:type="paragraph" w:customStyle="1" w:styleId="Observation">
    <w:name w:val="Observation"/>
    <w:basedOn w:val="Normal"/>
    <w:qFormat/>
    <w:rsid w:val="00CA347C"/>
    <w:pPr>
      <w:numPr>
        <w:numId w:val="32"/>
      </w:numPr>
      <w:tabs>
        <w:tab w:val="left" w:pos="1701"/>
      </w:tabs>
    </w:pPr>
    <w:rPr>
      <w:rFonts w:ascii="Arial" w:hAnsi="Arial"/>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640237">
      <w:bodyDiv w:val="1"/>
      <w:marLeft w:val="0"/>
      <w:marRight w:val="0"/>
      <w:marTop w:val="0"/>
      <w:marBottom w:val="0"/>
      <w:divBdr>
        <w:top w:val="none" w:sz="0" w:space="0" w:color="auto"/>
        <w:left w:val="none" w:sz="0" w:space="0" w:color="auto"/>
        <w:bottom w:val="none" w:sz="0" w:space="0" w:color="auto"/>
        <w:right w:val="none" w:sz="0" w:space="0" w:color="auto"/>
      </w:divBdr>
      <w:divsChild>
        <w:div w:id="537820450">
          <w:marLeft w:val="274"/>
          <w:marRight w:val="0"/>
          <w:marTop w:val="115"/>
          <w:marBottom w:val="0"/>
          <w:divBdr>
            <w:top w:val="none" w:sz="0" w:space="0" w:color="auto"/>
            <w:left w:val="none" w:sz="0" w:space="0" w:color="auto"/>
            <w:bottom w:val="none" w:sz="0" w:space="0" w:color="auto"/>
            <w:right w:val="none" w:sz="0" w:space="0" w:color="auto"/>
          </w:divBdr>
        </w:div>
        <w:div w:id="552082781">
          <w:marLeft w:val="835"/>
          <w:marRight w:val="0"/>
          <w:marTop w:val="96"/>
          <w:marBottom w:val="0"/>
          <w:divBdr>
            <w:top w:val="none" w:sz="0" w:space="0" w:color="auto"/>
            <w:left w:val="none" w:sz="0" w:space="0" w:color="auto"/>
            <w:bottom w:val="none" w:sz="0" w:space="0" w:color="auto"/>
            <w:right w:val="none" w:sz="0" w:space="0" w:color="auto"/>
          </w:divBdr>
        </w:div>
      </w:divsChild>
    </w:div>
    <w:div w:id="124856754">
      <w:bodyDiv w:val="1"/>
      <w:marLeft w:val="0"/>
      <w:marRight w:val="0"/>
      <w:marTop w:val="0"/>
      <w:marBottom w:val="0"/>
      <w:divBdr>
        <w:top w:val="none" w:sz="0" w:space="0" w:color="auto"/>
        <w:left w:val="none" w:sz="0" w:space="0" w:color="auto"/>
        <w:bottom w:val="none" w:sz="0" w:space="0" w:color="auto"/>
        <w:right w:val="none" w:sz="0" w:space="0" w:color="auto"/>
      </w:divBdr>
    </w:div>
    <w:div w:id="217322907">
      <w:bodyDiv w:val="1"/>
      <w:marLeft w:val="0"/>
      <w:marRight w:val="0"/>
      <w:marTop w:val="0"/>
      <w:marBottom w:val="0"/>
      <w:divBdr>
        <w:top w:val="none" w:sz="0" w:space="0" w:color="auto"/>
        <w:left w:val="none" w:sz="0" w:space="0" w:color="auto"/>
        <w:bottom w:val="none" w:sz="0" w:space="0" w:color="auto"/>
        <w:right w:val="none" w:sz="0" w:space="0" w:color="auto"/>
      </w:divBdr>
    </w:div>
    <w:div w:id="238371564">
      <w:bodyDiv w:val="1"/>
      <w:marLeft w:val="0"/>
      <w:marRight w:val="0"/>
      <w:marTop w:val="0"/>
      <w:marBottom w:val="0"/>
      <w:divBdr>
        <w:top w:val="none" w:sz="0" w:space="0" w:color="auto"/>
        <w:left w:val="none" w:sz="0" w:space="0" w:color="auto"/>
        <w:bottom w:val="none" w:sz="0" w:space="0" w:color="auto"/>
        <w:right w:val="none" w:sz="0" w:space="0" w:color="auto"/>
      </w:divBdr>
      <w:divsChild>
        <w:div w:id="58405532">
          <w:marLeft w:val="274"/>
          <w:marRight w:val="0"/>
          <w:marTop w:val="106"/>
          <w:marBottom w:val="0"/>
          <w:divBdr>
            <w:top w:val="none" w:sz="0" w:space="0" w:color="auto"/>
            <w:left w:val="none" w:sz="0" w:space="0" w:color="auto"/>
            <w:bottom w:val="none" w:sz="0" w:space="0" w:color="auto"/>
            <w:right w:val="none" w:sz="0" w:space="0" w:color="auto"/>
          </w:divBdr>
        </w:div>
        <w:div w:id="467286484">
          <w:marLeft w:val="274"/>
          <w:marRight w:val="0"/>
          <w:marTop w:val="106"/>
          <w:marBottom w:val="0"/>
          <w:divBdr>
            <w:top w:val="none" w:sz="0" w:space="0" w:color="auto"/>
            <w:left w:val="none" w:sz="0" w:space="0" w:color="auto"/>
            <w:bottom w:val="none" w:sz="0" w:space="0" w:color="auto"/>
            <w:right w:val="none" w:sz="0" w:space="0" w:color="auto"/>
          </w:divBdr>
        </w:div>
      </w:divsChild>
    </w:div>
    <w:div w:id="294024228">
      <w:bodyDiv w:val="1"/>
      <w:marLeft w:val="0"/>
      <w:marRight w:val="0"/>
      <w:marTop w:val="0"/>
      <w:marBottom w:val="0"/>
      <w:divBdr>
        <w:top w:val="none" w:sz="0" w:space="0" w:color="auto"/>
        <w:left w:val="none" w:sz="0" w:space="0" w:color="auto"/>
        <w:bottom w:val="none" w:sz="0" w:space="0" w:color="auto"/>
        <w:right w:val="none" w:sz="0" w:space="0" w:color="auto"/>
      </w:divBdr>
      <w:divsChild>
        <w:div w:id="1824814879">
          <w:marLeft w:val="274"/>
          <w:marRight w:val="0"/>
          <w:marTop w:val="106"/>
          <w:marBottom w:val="0"/>
          <w:divBdr>
            <w:top w:val="none" w:sz="0" w:space="0" w:color="auto"/>
            <w:left w:val="none" w:sz="0" w:space="0" w:color="auto"/>
            <w:bottom w:val="none" w:sz="0" w:space="0" w:color="auto"/>
            <w:right w:val="none" w:sz="0" w:space="0" w:color="auto"/>
          </w:divBdr>
        </w:div>
      </w:divsChild>
    </w:div>
    <w:div w:id="465899337">
      <w:bodyDiv w:val="1"/>
      <w:marLeft w:val="0"/>
      <w:marRight w:val="0"/>
      <w:marTop w:val="0"/>
      <w:marBottom w:val="0"/>
      <w:divBdr>
        <w:top w:val="none" w:sz="0" w:space="0" w:color="auto"/>
        <w:left w:val="none" w:sz="0" w:space="0" w:color="auto"/>
        <w:bottom w:val="none" w:sz="0" w:space="0" w:color="auto"/>
        <w:right w:val="none" w:sz="0" w:space="0" w:color="auto"/>
      </w:divBdr>
    </w:div>
    <w:div w:id="492450558">
      <w:bodyDiv w:val="1"/>
      <w:marLeft w:val="0"/>
      <w:marRight w:val="0"/>
      <w:marTop w:val="0"/>
      <w:marBottom w:val="0"/>
      <w:divBdr>
        <w:top w:val="none" w:sz="0" w:space="0" w:color="auto"/>
        <w:left w:val="none" w:sz="0" w:space="0" w:color="auto"/>
        <w:bottom w:val="none" w:sz="0" w:space="0" w:color="auto"/>
        <w:right w:val="none" w:sz="0" w:space="0" w:color="auto"/>
      </w:divBdr>
    </w:div>
    <w:div w:id="505749071">
      <w:bodyDiv w:val="1"/>
      <w:marLeft w:val="0"/>
      <w:marRight w:val="0"/>
      <w:marTop w:val="0"/>
      <w:marBottom w:val="0"/>
      <w:divBdr>
        <w:top w:val="none" w:sz="0" w:space="0" w:color="auto"/>
        <w:left w:val="none" w:sz="0" w:space="0" w:color="auto"/>
        <w:bottom w:val="none" w:sz="0" w:space="0" w:color="auto"/>
        <w:right w:val="none" w:sz="0" w:space="0" w:color="auto"/>
      </w:divBdr>
    </w:div>
    <w:div w:id="522596313">
      <w:bodyDiv w:val="1"/>
      <w:marLeft w:val="0"/>
      <w:marRight w:val="0"/>
      <w:marTop w:val="0"/>
      <w:marBottom w:val="0"/>
      <w:divBdr>
        <w:top w:val="none" w:sz="0" w:space="0" w:color="auto"/>
        <w:left w:val="none" w:sz="0" w:space="0" w:color="auto"/>
        <w:bottom w:val="none" w:sz="0" w:space="0" w:color="auto"/>
        <w:right w:val="none" w:sz="0" w:space="0" w:color="auto"/>
      </w:divBdr>
    </w:div>
    <w:div w:id="576868044">
      <w:bodyDiv w:val="1"/>
      <w:marLeft w:val="0"/>
      <w:marRight w:val="0"/>
      <w:marTop w:val="0"/>
      <w:marBottom w:val="0"/>
      <w:divBdr>
        <w:top w:val="none" w:sz="0" w:space="0" w:color="auto"/>
        <w:left w:val="none" w:sz="0" w:space="0" w:color="auto"/>
        <w:bottom w:val="none" w:sz="0" w:space="0" w:color="auto"/>
        <w:right w:val="none" w:sz="0" w:space="0" w:color="auto"/>
      </w:divBdr>
      <w:divsChild>
        <w:div w:id="1239048760">
          <w:marLeft w:val="274"/>
          <w:marRight w:val="0"/>
          <w:marTop w:val="115"/>
          <w:marBottom w:val="0"/>
          <w:divBdr>
            <w:top w:val="none" w:sz="0" w:space="0" w:color="auto"/>
            <w:left w:val="none" w:sz="0" w:space="0" w:color="auto"/>
            <w:bottom w:val="none" w:sz="0" w:space="0" w:color="auto"/>
            <w:right w:val="none" w:sz="0" w:space="0" w:color="auto"/>
          </w:divBdr>
        </w:div>
        <w:div w:id="1709062626">
          <w:marLeft w:val="274"/>
          <w:marRight w:val="0"/>
          <w:marTop w:val="115"/>
          <w:marBottom w:val="0"/>
          <w:divBdr>
            <w:top w:val="none" w:sz="0" w:space="0" w:color="auto"/>
            <w:left w:val="none" w:sz="0" w:space="0" w:color="auto"/>
            <w:bottom w:val="none" w:sz="0" w:space="0" w:color="auto"/>
            <w:right w:val="none" w:sz="0" w:space="0" w:color="auto"/>
          </w:divBdr>
        </w:div>
      </w:divsChild>
    </w:div>
    <w:div w:id="817570976">
      <w:bodyDiv w:val="1"/>
      <w:marLeft w:val="0"/>
      <w:marRight w:val="0"/>
      <w:marTop w:val="0"/>
      <w:marBottom w:val="0"/>
      <w:divBdr>
        <w:top w:val="none" w:sz="0" w:space="0" w:color="auto"/>
        <w:left w:val="none" w:sz="0" w:space="0" w:color="auto"/>
        <w:bottom w:val="none" w:sz="0" w:space="0" w:color="auto"/>
        <w:right w:val="none" w:sz="0" w:space="0" w:color="auto"/>
      </w:divBdr>
    </w:div>
    <w:div w:id="835607059">
      <w:bodyDiv w:val="1"/>
      <w:marLeft w:val="0"/>
      <w:marRight w:val="0"/>
      <w:marTop w:val="0"/>
      <w:marBottom w:val="0"/>
      <w:divBdr>
        <w:top w:val="none" w:sz="0" w:space="0" w:color="auto"/>
        <w:left w:val="none" w:sz="0" w:space="0" w:color="auto"/>
        <w:bottom w:val="none" w:sz="0" w:space="0" w:color="auto"/>
        <w:right w:val="none" w:sz="0" w:space="0" w:color="auto"/>
      </w:divBdr>
      <w:divsChild>
        <w:div w:id="93089784">
          <w:marLeft w:val="274"/>
          <w:marRight w:val="0"/>
          <w:marTop w:val="96"/>
          <w:marBottom w:val="0"/>
          <w:divBdr>
            <w:top w:val="none" w:sz="0" w:space="0" w:color="auto"/>
            <w:left w:val="none" w:sz="0" w:space="0" w:color="auto"/>
            <w:bottom w:val="none" w:sz="0" w:space="0" w:color="auto"/>
            <w:right w:val="none" w:sz="0" w:space="0" w:color="auto"/>
          </w:divBdr>
        </w:div>
      </w:divsChild>
    </w:div>
    <w:div w:id="1017731136">
      <w:bodyDiv w:val="1"/>
      <w:marLeft w:val="0"/>
      <w:marRight w:val="0"/>
      <w:marTop w:val="0"/>
      <w:marBottom w:val="0"/>
      <w:divBdr>
        <w:top w:val="none" w:sz="0" w:space="0" w:color="auto"/>
        <w:left w:val="none" w:sz="0" w:space="0" w:color="auto"/>
        <w:bottom w:val="none" w:sz="0" w:space="0" w:color="auto"/>
        <w:right w:val="none" w:sz="0" w:space="0" w:color="auto"/>
      </w:divBdr>
    </w:div>
    <w:div w:id="1032539595">
      <w:bodyDiv w:val="1"/>
      <w:marLeft w:val="0"/>
      <w:marRight w:val="0"/>
      <w:marTop w:val="0"/>
      <w:marBottom w:val="0"/>
      <w:divBdr>
        <w:top w:val="none" w:sz="0" w:space="0" w:color="auto"/>
        <w:left w:val="none" w:sz="0" w:space="0" w:color="auto"/>
        <w:bottom w:val="none" w:sz="0" w:space="0" w:color="auto"/>
        <w:right w:val="none" w:sz="0" w:space="0" w:color="auto"/>
      </w:divBdr>
      <w:divsChild>
        <w:div w:id="975842945">
          <w:marLeft w:val="274"/>
          <w:marRight w:val="0"/>
          <w:marTop w:val="106"/>
          <w:marBottom w:val="0"/>
          <w:divBdr>
            <w:top w:val="none" w:sz="0" w:space="0" w:color="auto"/>
            <w:left w:val="none" w:sz="0" w:space="0" w:color="auto"/>
            <w:bottom w:val="none" w:sz="0" w:space="0" w:color="auto"/>
            <w:right w:val="none" w:sz="0" w:space="0" w:color="auto"/>
          </w:divBdr>
        </w:div>
        <w:div w:id="1472820200">
          <w:marLeft w:val="835"/>
          <w:marRight w:val="0"/>
          <w:marTop w:val="91"/>
          <w:marBottom w:val="0"/>
          <w:divBdr>
            <w:top w:val="none" w:sz="0" w:space="0" w:color="auto"/>
            <w:left w:val="none" w:sz="0" w:space="0" w:color="auto"/>
            <w:bottom w:val="none" w:sz="0" w:space="0" w:color="auto"/>
            <w:right w:val="none" w:sz="0" w:space="0" w:color="auto"/>
          </w:divBdr>
        </w:div>
        <w:div w:id="1736705864">
          <w:marLeft w:val="835"/>
          <w:marRight w:val="0"/>
          <w:marTop w:val="91"/>
          <w:marBottom w:val="0"/>
          <w:divBdr>
            <w:top w:val="none" w:sz="0" w:space="0" w:color="auto"/>
            <w:left w:val="none" w:sz="0" w:space="0" w:color="auto"/>
            <w:bottom w:val="none" w:sz="0" w:space="0" w:color="auto"/>
            <w:right w:val="none" w:sz="0" w:space="0" w:color="auto"/>
          </w:divBdr>
        </w:div>
        <w:div w:id="2018530630">
          <w:marLeft w:val="835"/>
          <w:marRight w:val="0"/>
          <w:marTop w:val="91"/>
          <w:marBottom w:val="0"/>
          <w:divBdr>
            <w:top w:val="none" w:sz="0" w:space="0" w:color="auto"/>
            <w:left w:val="none" w:sz="0" w:space="0" w:color="auto"/>
            <w:bottom w:val="none" w:sz="0" w:space="0" w:color="auto"/>
            <w:right w:val="none" w:sz="0" w:space="0" w:color="auto"/>
          </w:divBdr>
        </w:div>
        <w:div w:id="2123720169">
          <w:marLeft w:val="835"/>
          <w:marRight w:val="0"/>
          <w:marTop w:val="91"/>
          <w:marBottom w:val="0"/>
          <w:divBdr>
            <w:top w:val="none" w:sz="0" w:space="0" w:color="auto"/>
            <w:left w:val="none" w:sz="0" w:space="0" w:color="auto"/>
            <w:bottom w:val="none" w:sz="0" w:space="0" w:color="auto"/>
            <w:right w:val="none" w:sz="0" w:space="0" w:color="auto"/>
          </w:divBdr>
        </w:div>
      </w:divsChild>
    </w:div>
    <w:div w:id="1047489741">
      <w:bodyDiv w:val="1"/>
      <w:marLeft w:val="0"/>
      <w:marRight w:val="0"/>
      <w:marTop w:val="0"/>
      <w:marBottom w:val="0"/>
      <w:divBdr>
        <w:top w:val="none" w:sz="0" w:space="0" w:color="auto"/>
        <w:left w:val="none" w:sz="0" w:space="0" w:color="auto"/>
        <w:bottom w:val="none" w:sz="0" w:space="0" w:color="auto"/>
        <w:right w:val="none" w:sz="0" w:space="0" w:color="auto"/>
      </w:divBdr>
      <w:divsChild>
        <w:div w:id="140314685">
          <w:marLeft w:val="3269"/>
          <w:marRight w:val="0"/>
          <w:marTop w:val="82"/>
          <w:marBottom w:val="0"/>
          <w:divBdr>
            <w:top w:val="none" w:sz="0" w:space="0" w:color="auto"/>
            <w:left w:val="none" w:sz="0" w:space="0" w:color="auto"/>
            <w:bottom w:val="none" w:sz="0" w:space="0" w:color="auto"/>
            <w:right w:val="none" w:sz="0" w:space="0" w:color="auto"/>
          </w:divBdr>
        </w:div>
        <w:div w:id="594168337">
          <w:marLeft w:val="274"/>
          <w:marRight w:val="0"/>
          <w:marTop w:val="96"/>
          <w:marBottom w:val="0"/>
          <w:divBdr>
            <w:top w:val="none" w:sz="0" w:space="0" w:color="auto"/>
            <w:left w:val="none" w:sz="0" w:space="0" w:color="auto"/>
            <w:bottom w:val="none" w:sz="0" w:space="0" w:color="auto"/>
            <w:right w:val="none" w:sz="0" w:space="0" w:color="auto"/>
          </w:divBdr>
        </w:div>
        <w:div w:id="672494295">
          <w:marLeft w:val="2549"/>
          <w:marRight w:val="0"/>
          <w:marTop w:val="82"/>
          <w:marBottom w:val="0"/>
          <w:divBdr>
            <w:top w:val="none" w:sz="0" w:space="0" w:color="auto"/>
            <w:left w:val="none" w:sz="0" w:space="0" w:color="auto"/>
            <w:bottom w:val="none" w:sz="0" w:space="0" w:color="auto"/>
            <w:right w:val="none" w:sz="0" w:space="0" w:color="auto"/>
          </w:divBdr>
        </w:div>
        <w:div w:id="1630436245">
          <w:marLeft w:val="3269"/>
          <w:marRight w:val="0"/>
          <w:marTop w:val="82"/>
          <w:marBottom w:val="0"/>
          <w:divBdr>
            <w:top w:val="none" w:sz="0" w:space="0" w:color="auto"/>
            <w:left w:val="none" w:sz="0" w:space="0" w:color="auto"/>
            <w:bottom w:val="none" w:sz="0" w:space="0" w:color="auto"/>
            <w:right w:val="none" w:sz="0" w:space="0" w:color="auto"/>
          </w:divBdr>
        </w:div>
        <w:div w:id="1735736962">
          <w:marLeft w:val="2549"/>
          <w:marRight w:val="0"/>
          <w:marTop w:val="82"/>
          <w:marBottom w:val="0"/>
          <w:divBdr>
            <w:top w:val="none" w:sz="0" w:space="0" w:color="auto"/>
            <w:left w:val="none" w:sz="0" w:space="0" w:color="auto"/>
            <w:bottom w:val="none" w:sz="0" w:space="0" w:color="auto"/>
            <w:right w:val="none" w:sz="0" w:space="0" w:color="auto"/>
          </w:divBdr>
        </w:div>
      </w:divsChild>
    </w:div>
    <w:div w:id="1064722047">
      <w:bodyDiv w:val="1"/>
      <w:marLeft w:val="0"/>
      <w:marRight w:val="0"/>
      <w:marTop w:val="0"/>
      <w:marBottom w:val="0"/>
      <w:divBdr>
        <w:top w:val="none" w:sz="0" w:space="0" w:color="auto"/>
        <w:left w:val="none" w:sz="0" w:space="0" w:color="auto"/>
        <w:bottom w:val="none" w:sz="0" w:space="0" w:color="auto"/>
        <w:right w:val="none" w:sz="0" w:space="0" w:color="auto"/>
      </w:divBdr>
    </w:div>
    <w:div w:id="1083260648">
      <w:bodyDiv w:val="1"/>
      <w:marLeft w:val="0"/>
      <w:marRight w:val="0"/>
      <w:marTop w:val="0"/>
      <w:marBottom w:val="0"/>
      <w:divBdr>
        <w:top w:val="none" w:sz="0" w:space="0" w:color="auto"/>
        <w:left w:val="none" w:sz="0" w:space="0" w:color="auto"/>
        <w:bottom w:val="none" w:sz="0" w:space="0" w:color="auto"/>
        <w:right w:val="none" w:sz="0" w:space="0" w:color="auto"/>
      </w:divBdr>
    </w:div>
    <w:div w:id="1116175580">
      <w:bodyDiv w:val="1"/>
      <w:marLeft w:val="0"/>
      <w:marRight w:val="0"/>
      <w:marTop w:val="0"/>
      <w:marBottom w:val="0"/>
      <w:divBdr>
        <w:top w:val="none" w:sz="0" w:space="0" w:color="auto"/>
        <w:left w:val="none" w:sz="0" w:space="0" w:color="auto"/>
        <w:bottom w:val="none" w:sz="0" w:space="0" w:color="auto"/>
        <w:right w:val="none" w:sz="0" w:space="0" w:color="auto"/>
      </w:divBdr>
      <w:divsChild>
        <w:div w:id="30805453">
          <w:marLeft w:val="835"/>
          <w:marRight w:val="0"/>
          <w:marTop w:val="96"/>
          <w:marBottom w:val="0"/>
          <w:divBdr>
            <w:top w:val="none" w:sz="0" w:space="0" w:color="auto"/>
            <w:left w:val="none" w:sz="0" w:space="0" w:color="auto"/>
            <w:bottom w:val="none" w:sz="0" w:space="0" w:color="auto"/>
            <w:right w:val="none" w:sz="0" w:space="0" w:color="auto"/>
          </w:divBdr>
        </w:div>
        <w:div w:id="1081294258">
          <w:marLeft w:val="835"/>
          <w:marRight w:val="0"/>
          <w:marTop w:val="96"/>
          <w:marBottom w:val="0"/>
          <w:divBdr>
            <w:top w:val="none" w:sz="0" w:space="0" w:color="auto"/>
            <w:left w:val="none" w:sz="0" w:space="0" w:color="auto"/>
            <w:bottom w:val="none" w:sz="0" w:space="0" w:color="auto"/>
            <w:right w:val="none" w:sz="0" w:space="0" w:color="auto"/>
          </w:divBdr>
        </w:div>
        <w:div w:id="1487935773">
          <w:marLeft w:val="1411"/>
          <w:marRight w:val="0"/>
          <w:marTop w:val="96"/>
          <w:marBottom w:val="0"/>
          <w:divBdr>
            <w:top w:val="none" w:sz="0" w:space="0" w:color="auto"/>
            <w:left w:val="none" w:sz="0" w:space="0" w:color="auto"/>
            <w:bottom w:val="none" w:sz="0" w:space="0" w:color="auto"/>
            <w:right w:val="none" w:sz="0" w:space="0" w:color="auto"/>
          </w:divBdr>
        </w:div>
        <w:div w:id="1768231259">
          <w:marLeft w:val="835"/>
          <w:marRight w:val="0"/>
          <w:marTop w:val="96"/>
          <w:marBottom w:val="0"/>
          <w:divBdr>
            <w:top w:val="none" w:sz="0" w:space="0" w:color="auto"/>
            <w:left w:val="none" w:sz="0" w:space="0" w:color="auto"/>
            <w:bottom w:val="none" w:sz="0" w:space="0" w:color="auto"/>
            <w:right w:val="none" w:sz="0" w:space="0" w:color="auto"/>
          </w:divBdr>
        </w:div>
        <w:div w:id="1784684908">
          <w:marLeft w:val="1411"/>
          <w:marRight w:val="0"/>
          <w:marTop w:val="96"/>
          <w:marBottom w:val="0"/>
          <w:divBdr>
            <w:top w:val="none" w:sz="0" w:space="0" w:color="auto"/>
            <w:left w:val="none" w:sz="0" w:space="0" w:color="auto"/>
            <w:bottom w:val="none" w:sz="0" w:space="0" w:color="auto"/>
            <w:right w:val="none" w:sz="0" w:space="0" w:color="auto"/>
          </w:divBdr>
        </w:div>
      </w:divsChild>
    </w:div>
    <w:div w:id="1168709999">
      <w:bodyDiv w:val="1"/>
      <w:marLeft w:val="0"/>
      <w:marRight w:val="0"/>
      <w:marTop w:val="0"/>
      <w:marBottom w:val="0"/>
      <w:divBdr>
        <w:top w:val="none" w:sz="0" w:space="0" w:color="auto"/>
        <w:left w:val="none" w:sz="0" w:space="0" w:color="auto"/>
        <w:bottom w:val="none" w:sz="0" w:space="0" w:color="auto"/>
        <w:right w:val="none" w:sz="0" w:space="0" w:color="auto"/>
      </w:divBdr>
      <w:divsChild>
        <w:div w:id="391392262">
          <w:marLeft w:val="274"/>
          <w:marRight w:val="0"/>
          <w:marTop w:val="86"/>
          <w:marBottom w:val="0"/>
          <w:divBdr>
            <w:top w:val="none" w:sz="0" w:space="0" w:color="auto"/>
            <w:left w:val="none" w:sz="0" w:space="0" w:color="auto"/>
            <w:bottom w:val="none" w:sz="0" w:space="0" w:color="auto"/>
            <w:right w:val="none" w:sz="0" w:space="0" w:color="auto"/>
          </w:divBdr>
        </w:div>
        <w:div w:id="1898121755">
          <w:marLeft w:val="835"/>
          <w:marRight w:val="0"/>
          <w:marTop w:val="77"/>
          <w:marBottom w:val="0"/>
          <w:divBdr>
            <w:top w:val="none" w:sz="0" w:space="0" w:color="auto"/>
            <w:left w:val="none" w:sz="0" w:space="0" w:color="auto"/>
            <w:bottom w:val="none" w:sz="0" w:space="0" w:color="auto"/>
            <w:right w:val="none" w:sz="0" w:space="0" w:color="auto"/>
          </w:divBdr>
        </w:div>
        <w:div w:id="1910311220">
          <w:marLeft w:val="835"/>
          <w:marRight w:val="0"/>
          <w:marTop w:val="77"/>
          <w:marBottom w:val="0"/>
          <w:divBdr>
            <w:top w:val="none" w:sz="0" w:space="0" w:color="auto"/>
            <w:left w:val="none" w:sz="0" w:space="0" w:color="auto"/>
            <w:bottom w:val="none" w:sz="0" w:space="0" w:color="auto"/>
            <w:right w:val="none" w:sz="0" w:space="0" w:color="auto"/>
          </w:divBdr>
        </w:div>
      </w:divsChild>
    </w:div>
    <w:div w:id="1226836116">
      <w:bodyDiv w:val="1"/>
      <w:marLeft w:val="0"/>
      <w:marRight w:val="0"/>
      <w:marTop w:val="0"/>
      <w:marBottom w:val="0"/>
      <w:divBdr>
        <w:top w:val="none" w:sz="0" w:space="0" w:color="auto"/>
        <w:left w:val="none" w:sz="0" w:space="0" w:color="auto"/>
        <w:bottom w:val="none" w:sz="0" w:space="0" w:color="auto"/>
        <w:right w:val="none" w:sz="0" w:space="0" w:color="auto"/>
      </w:divBdr>
      <w:divsChild>
        <w:div w:id="85345083">
          <w:marLeft w:val="274"/>
          <w:marRight w:val="0"/>
          <w:marTop w:val="115"/>
          <w:marBottom w:val="0"/>
          <w:divBdr>
            <w:top w:val="none" w:sz="0" w:space="0" w:color="auto"/>
            <w:left w:val="none" w:sz="0" w:space="0" w:color="auto"/>
            <w:bottom w:val="none" w:sz="0" w:space="0" w:color="auto"/>
            <w:right w:val="none" w:sz="0" w:space="0" w:color="auto"/>
          </w:divBdr>
        </w:div>
      </w:divsChild>
    </w:div>
    <w:div w:id="1481850622">
      <w:bodyDiv w:val="1"/>
      <w:marLeft w:val="0"/>
      <w:marRight w:val="0"/>
      <w:marTop w:val="0"/>
      <w:marBottom w:val="0"/>
      <w:divBdr>
        <w:top w:val="none" w:sz="0" w:space="0" w:color="auto"/>
        <w:left w:val="none" w:sz="0" w:space="0" w:color="auto"/>
        <w:bottom w:val="none" w:sz="0" w:space="0" w:color="auto"/>
        <w:right w:val="none" w:sz="0" w:space="0" w:color="auto"/>
      </w:divBdr>
    </w:div>
    <w:div w:id="1584682704">
      <w:bodyDiv w:val="1"/>
      <w:marLeft w:val="0"/>
      <w:marRight w:val="0"/>
      <w:marTop w:val="0"/>
      <w:marBottom w:val="0"/>
      <w:divBdr>
        <w:top w:val="none" w:sz="0" w:space="0" w:color="auto"/>
        <w:left w:val="none" w:sz="0" w:space="0" w:color="auto"/>
        <w:bottom w:val="none" w:sz="0" w:space="0" w:color="auto"/>
        <w:right w:val="none" w:sz="0" w:space="0" w:color="auto"/>
      </w:divBdr>
    </w:div>
    <w:div w:id="1693267744">
      <w:bodyDiv w:val="1"/>
      <w:marLeft w:val="0"/>
      <w:marRight w:val="0"/>
      <w:marTop w:val="0"/>
      <w:marBottom w:val="0"/>
      <w:divBdr>
        <w:top w:val="none" w:sz="0" w:space="0" w:color="auto"/>
        <w:left w:val="none" w:sz="0" w:space="0" w:color="auto"/>
        <w:bottom w:val="none" w:sz="0" w:space="0" w:color="auto"/>
        <w:right w:val="none" w:sz="0" w:space="0" w:color="auto"/>
      </w:divBdr>
      <w:divsChild>
        <w:div w:id="1755320487">
          <w:marLeft w:val="835"/>
          <w:marRight w:val="0"/>
          <w:marTop w:val="77"/>
          <w:marBottom w:val="0"/>
          <w:divBdr>
            <w:top w:val="none" w:sz="0" w:space="0" w:color="auto"/>
            <w:left w:val="none" w:sz="0" w:space="0" w:color="auto"/>
            <w:bottom w:val="none" w:sz="0" w:space="0" w:color="auto"/>
            <w:right w:val="none" w:sz="0" w:space="0" w:color="auto"/>
          </w:divBdr>
        </w:div>
      </w:divsChild>
    </w:div>
    <w:div w:id="1718696564">
      <w:bodyDiv w:val="1"/>
      <w:marLeft w:val="0"/>
      <w:marRight w:val="0"/>
      <w:marTop w:val="0"/>
      <w:marBottom w:val="0"/>
      <w:divBdr>
        <w:top w:val="none" w:sz="0" w:space="0" w:color="auto"/>
        <w:left w:val="none" w:sz="0" w:space="0" w:color="auto"/>
        <w:bottom w:val="none" w:sz="0" w:space="0" w:color="auto"/>
        <w:right w:val="none" w:sz="0" w:space="0" w:color="auto"/>
      </w:divBdr>
    </w:div>
    <w:div w:id="1825275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5" Type="http://schemas.microsoft.com/office/2011/relationships/commentsExtended" Target="commentsExtended.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90CA4A-A79A-4A79-9DA8-732F8AEEC8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2115</Words>
  <Characters>12061</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14148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 Yang A</dc:creator>
  <cp:lastModifiedBy>Xinghua Song</cp:lastModifiedBy>
  <cp:revision>2</cp:revision>
  <cp:lastPrinted>2014-08-07T12:35:00Z</cp:lastPrinted>
  <dcterms:created xsi:type="dcterms:W3CDTF">2015-11-06T17:06:00Z</dcterms:created>
  <dcterms:modified xsi:type="dcterms:W3CDTF">2015-11-06T17:06:00Z</dcterms:modified>
</cp:coreProperties>
</file>