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BA" w:rsidRPr="00161B8F" w:rsidRDefault="000474BA" w:rsidP="000474BA">
      <w:pPr>
        <w:pStyle w:val="Header"/>
        <w:tabs>
          <w:tab w:val="right" w:pos="9639"/>
        </w:tabs>
        <w:rPr>
          <w:i/>
          <w:noProof w:val="0"/>
          <w:sz w:val="28"/>
          <w:lang w:eastAsia="ja-JP"/>
        </w:rPr>
      </w:pPr>
      <w:bookmarkStart w:id="0" w:name="_GoBack"/>
      <w:bookmarkEnd w:id="0"/>
      <w:r>
        <w:rPr>
          <w:noProof w:val="0"/>
          <w:sz w:val="24"/>
        </w:rPr>
        <w:t>3GPP TSG-RAN WG1 Meeting 83</w:t>
      </w:r>
      <w:r w:rsidRPr="00161B8F">
        <w:rPr>
          <w:noProof w:val="0"/>
          <w:sz w:val="24"/>
        </w:rPr>
        <w:tab/>
      </w:r>
      <w:r w:rsidRPr="00161B8F">
        <w:rPr>
          <w:i/>
          <w:noProof w:val="0"/>
          <w:sz w:val="28"/>
        </w:rPr>
        <w:t>R1-</w:t>
      </w:r>
      <w:r w:rsidR="002767F7" w:rsidRPr="00161B8F">
        <w:rPr>
          <w:i/>
          <w:noProof w:val="0"/>
          <w:sz w:val="28"/>
        </w:rPr>
        <w:t>1</w:t>
      </w:r>
      <w:r w:rsidR="002767F7">
        <w:rPr>
          <w:i/>
          <w:noProof w:val="0"/>
          <w:sz w:val="28"/>
        </w:rPr>
        <w:t>5</w:t>
      </w:r>
      <w:r w:rsidR="002767F7">
        <w:rPr>
          <w:i/>
          <w:noProof w:val="0"/>
          <w:sz w:val="28"/>
          <w:lang w:eastAsia="ja-JP"/>
        </w:rPr>
        <w:t>6961</w:t>
      </w:r>
    </w:p>
    <w:p w:rsidR="000474BA" w:rsidRPr="00161B8F" w:rsidRDefault="002767F7" w:rsidP="000474BA">
      <w:pPr>
        <w:pStyle w:val="Header"/>
        <w:tabs>
          <w:tab w:val="right" w:pos="10206"/>
        </w:tabs>
        <w:rPr>
          <w:noProof w:val="0"/>
          <w:sz w:val="24"/>
        </w:rPr>
      </w:pPr>
      <w:r>
        <w:rPr>
          <w:noProof w:val="0"/>
          <w:sz w:val="24"/>
          <w:lang w:eastAsia="ja-JP"/>
        </w:rPr>
        <w:t>1</w:t>
      </w:r>
      <w:r>
        <w:rPr>
          <w:noProof w:val="0"/>
          <w:sz w:val="24"/>
          <w:lang w:eastAsia="ja-JP"/>
        </w:rPr>
        <w:t>5</w:t>
      </w:r>
      <w:r>
        <w:rPr>
          <w:noProof w:val="0"/>
          <w:sz w:val="24"/>
          <w:lang w:eastAsia="ja-JP"/>
        </w:rPr>
        <w:t xml:space="preserve"> </w:t>
      </w:r>
      <w:r w:rsidR="000474BA">
        <w:rPr>
          <w:noProof w:val="0"/>
          <w:sz w:val="24"/>
          <w:lang w:eastAsia="ja-JP"/>
        </w:rPr>
        <w:t xml:space="preserve">- </w:t>
      </w:r>
      <w:r>
        <w:rPr>
          <w:noProof w:val="0"/>
          <w:sz w:val="24"/>
          <w:lang w:eastAsia="ja-JP"/>
        </w:rPr>
        <w:t>2</w:t>
      </w:r>
      <w:r>
        <w:rPr>
          <w:noProof w:val="0"/>
          <w:sz w:val="24"/>
          <w:lang w:eastAsia="ja-JP"/>
        </w:rPr>
        <w:t>2</w:t>
      </w:r>
      <w:r>
        <w:rPr>
          <w:noProof w:val="0"/>
          <w:sz w:val="24"/>
          <w:lang w:eastAsia="ja-JP"/>
        </w:rPr>
        <w:t xml:space="preserve"> </w:t>
      </w:r>
      <w:r w:rsidR="000474BA">
        <w:rPr>
          <w:noProof w:val="0"/>
          <w:sz w:val="24"/>
          <w:lang w:eastAsia="ja-JP"/>
        </w:rPr>
        <w:t>November, Anaheim, USA</w:t>
      </w:r>
    </w:p>
    <w:p w:rsidR="003B273A" w:rsidRPr="00161B8F" w:rsidRDefault="003B273A" w:rsidP="003B273A">
      <w:pPr>
        <w:pStyle w:val="RecCCITT"/>
        <w:keepNext w:val="0"/>
        <w:keepLines w:val="0"/>
        <w:rPr>
          <w:rFonts w:ascii="Arial" w:hAnsi="Arial"/>
        </w:rPr>
      </w:pPr>
    </w:p>
    <w:p w:rsidR="003B273A" w:rsidRPr="00161B8F" w:rsidRDefault="003B273A" w:rsidP="003B273A">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3B273A" w:rsidRPr="00161B8F" w:rsidRDefault="003B273A" w:rsidP="003B273A">
      <w:pPr>
        <w:pStyle w:val="BodyTextIndent"/>
      </w:pPr>
      <w:r w:rsidRPr="00161B8F">
        <w:t xml:space="preserve">Title: </w:t>
      </w:r>
      <w:r w:rsidRPr="00161B8F">
        <w:tab/>
      </w:r>
      <w:r w:rsidRPr="003B273A">
        <w:t>Frequency scheduling options for unlicensed carriers</w:t>
      </w:r>
    </w:p>
    <w:p w:rsidR="003B273A" w:rsidRPr="00161B8F" w:rsidRDefault="003B273A" w:rsidP="003B273A">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0474BA">
        <w:rPr>
          <w:rFonts w:ascii="Arial" w:hAnsi="Arial"/>
          <w:sz w:val="24"/>
        </w:rPr>
        <w:t>6</w:t>
      </w:r>
      <w:r>
        <w:rPr>
          <w:rFonts w:ascii="Arial" w:hAnsi="Arial"/>
          <w:sz w:val="24"/>
        </w:rPr>
        <w:t>.2.3.3</w:t>
      </w:r>
    </w:p>
    <w:p w:rsidR="003B273A" w:rsidRPr="00161B8F" w:rsidRDefault="003B273A" w:rsidP="003B273A">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w:t>
      </w:r>
      <w:r w:rsidR="00DD569B">
        <w:rPr>
          <w:rFonts w:eastAsia="SimSun"/>
          <w:lang w:val="en-US" w:eastAsia="zh-CN"/>
        </w:rPr>
        <w:t xml:space="preserve"> in frequency domain and multi-user multiplexing</w:t>
      </w:r>
      <w:r>
        <w:rPr>
          <w:rFonts w:eastAsia="SimSun"/>
          <w:lang w:val="en-US" w:eastAsia="zh-CN"/>
        </w:rPr>
        <w:t xml:space="preserve">, </w:t>
      </w:r>
      <w:r w:rsidR="00DD5548">
        <w:rPr>
          <w:rFonts w:eastAsia="SimSun"/>
          <w:lang w:val="en-US" w:eastAsia="zh-CN"/>
        </w:rPr>
        <w:t>focusing</w:t>
      </w:r>
      <w:r>
        <w:rPr>
          <w:rFonts w:eastAsia="SimSun"/>
          <w:lang w:val="en-US" w:eastAsia="zh-CN"/>
        </w:rPr>
        <w:t xml:space="preserve"> on DL LAA.</w:t>
      </w:r>
    </w:p>
    <w:p w:rsidR="00894F1F" w:rsidRDefault="00962FC9" w:rsidP="00894F1F">
      <w:pPr>
        <w:pStyle w:val="Heading1"/>
      </w:pPr>
      <w:r>
        <w:rPr>
          <w:lang w:eastAsia="ja-JP"/>
        </w:rPr>
        <w:t>Discussion</w:t>
      </w:r>
    </w:p>
    <w:p w:rsidR="00090CBC" w:rsidRPr="00F47211" w:rsidRDefault="00F47211" w:rsidP="005A298B">
      <w:pPr>
        <w:pStyle w:val="Heading2"/>
      </w:pPr>
      <w:r w:rsidRPr="00F47211">
        <w:t>Supported DL scheduling methods up to Release 12</w:t>
      </w:r>
    </w:p>
    <w:p w:rsidR="00B80E46" w:rsidRDefault="00F47211" w:rsidP="00497FC6">
      <w:r>
        <w:t xml:space="preserve">Up to Release 12, there are three </w:t>
      </w:r>
      <w:r w:rsidR="00B107BE">
        <w:t>basic</w:t>
      </w:r>
      <w:r>
        <w:t xml:space="preserve"> downlink resource allocation types with different frequency resolutions of the corresponding resource assignments. Basically we can characterise the types in the following way:</w:t>
      </w:r>
    </w:p>
    <w:p w:rsidR="00F47211" w:rsidRDefault="00F47211" w:rsidP="00F47211">
      <w:pPr>
        <w:pStyle w:val="ListParagraph"/>
        <w:numPr>
          <w:ilvl w:val="0"/>
          <w:numId w:val="14"/>
        </w:numPr>
        <w:rPr>
          <w:rFonts w:ascii="Times New Roman" w:hAnsi="Times New Roman"/>
          <w:sz w:val="20"/>
          <w:szCs w:val="20"/>
        </w:rPr>
      </w:pPr>
      <w:r w:rsidRPr="00F47211">
        <w:rPr>
          <w:rFonts w:ascii="Times New Roman" w:hAnsi="Times New Roman"/>
          <w:sz w:val="20"/>
          <w:szCs w:val="20"/>
        </w:rPr>
        <w:t xml:space="preserve">RA type 0: </w:t>
      </w:r>
      <w:r>
        <w:rPr>
          <w:rFonts w:ascii="Times New Roman" w:hAnsi="Times New Roman"/>
          <w:sz w:val="20"/>
          <w:szCs w:val="20"/>
        </w:rPr>
        <w:t>RBG bitmap assignments, supporting assignments with RBG granularity size and locations</w:t>
      </w:r>
    </w:p>
    <w:p w:rsid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1: Supporting PRB granularity size assignments, where the location is restricted to PRBs within an RBG subset</w:t>
      </w:r>
    </w:p>
    <w:p w:rsidR="00F47211" w:rsidRP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2: Su</w:t>
      </w:r>
      <w:r w:rsidR="00DD5548">
        <w:rPr>
          <w:rFonts w:ascii="Times New Roman" w:eastAsiaTheme="minorEastAsia" w:hAnsi="Times New Roman" w:hint="eastAsia"/>
          <w:sz w:val="20"/>
          <w:szCs w:val="20"/>
          <w:lang w:eastAsia="ja-JP"/>
        </w:rPr>
        <w:t>p</w:t>
      </w:r>
      <w:r>
        <w:rPr>
          <w:rFonts w:ascii="Times New Roman" w:hAnsi="Times New Roman"/>
          <w:sz w:val="20"/>
          <w:szCs w:val="20"/>
        </w:rPr>
        <w:t>porting PRB granularity size assignments, where the location is restricted to contiguous PRBs in localized mode or contiguous VRBs in distributed mode</w:t>
      </w:r>
    </w:p>
    <w:p w:rsidR="00F47211" w:rsidRPr="00B107BE" w:rsidRDefault="00F47211" w:rsidP="00497FC6"/>
    <w:p w:rsidR="00F47211" w:rsidRDefault="00F47211" w:rsidP="00497FC6">
      <w:pPr>
        <w:rPr>
          <w:lang w:eastAsia="ja-JP"/>
        </w:rPr>
      </w:pPr>
      <w:r>
        <w:t xml:space="preserve">In addition, as a function </w:t>
      </w:r>
      <w:r w:rsidR="00B107BE">
        <w:rPr>
          <w:rFonts w:eastAsia="SimSun" w:hint="eastAsia"/>
          <w:lang w:eastAsia="zh-CN"/>
        </w:rPr>
        <w:t>of</w:t>
      </w:r>
      <w:r w:rsidR="00B107BE">
        <w:t xml:space="preserve"> </w:t>
      </w:r>
      <w:r w:rsidR="001B08C7">
        <w:t xml:space="preserve">the </w:t>
      </w:r>
      <w:r>
        <w:t>transmission mode, the UE will detect only certain DCI formats. Generally a DCI format supports only one or two RA types, as shown by the following table.</w:t>
      </w:r>
    </w:p>
    <w:p w:rsidR="00DD5548" w:rsidRPr="00B6776D" w:rsidRDefault="00F84A70" w:rsidP="00B6776D">
      <w:pPr>
        <w:jc w:val="center"/>
        <w:rPr>
          <w:b/>
          <w:lang w:eastAsia="ja-JP"/>
        </w:rPr>
      </w:pPr>
      <w:r>
        <w:rPr>
          <w:b/>
          <w:lang w:eastAsia="ja-JP"/>
        </w:rPr>
        <w:t xml:space="preserve">Table </w:t>
      </w:r>
      <w:r w:rsidR="00DD5548" w:rsidRPr="008565DA">
        <w:rPr>
          <w:rFonts w:hint="eastAsia"/>
          <w:b/>
          <w:lang w:eastAsia="ja-JP"/>
        </w:rPr>
        <w:t>1</w:t>
      </w:r>
      <w:r>
        <w:rPr>
          <w:b/>
          <w:lang w:eastAsia="ja-JP"/>
        </w:rPr>
        <w:t>.</w:t>
      </w:r>
      <w:r w:rsidR="00DD5548" w:rsidRPr="008565DA">
        <w:rPr>
          <w:rFonts w:hint="eastAsia"/>
          <w:b/>
          <w:lang w:eastAsia="ja-JP"/>
        </w:rPr>
        <w:t xml:space="preserve"> DCI format and resource allocation type</w:t>
      </w:r>
    </w:p>
    <w:tbl>
      <w:tblPr>
        <w:tblStyle w:val="TableGrid"/>
        <w:tblW w:w="0" w:type="auto"/>
        <w:tblLook w:val="04A0" w:firstRow="1" w:lastRow="0" w:firstColumn="1" w:lastColumn="0" w:noHBand="0" w:noVBand="1"/>
      </w:tblPr>
      <w:tblGrid>
        <w:gridCol w:w="2464"/>
        <w:gridCol w:w="2464"/>
        <w:gridCol w:w="2464"/>
        <w:gridCol w:w="2464"/>
      </w:tblGrid>
      <w:tr w:rsidR="00F47211" w:rsidTr="007F3495">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0</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2</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1A/1B/1D</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Localized and 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1C</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2/2A/2B/2C/2D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bl>
    <w:p w:rsidR="00F47211" w:rsidRDefault="00F47211" w:rsidP="00497FC6"/>
    <w:p w:rsidR="005A298B" w:rsidRDefault="005A298B" w:rsidP="005A298B">
      <w:pPr>
        <w:pStyle w:val="Heading2"/>
      </w:pPr>
      <w:r>
        <w:t>Necessity for DL scheduling methods in LAA</w:t>
      </w:r>
      <w:r w:rsidRPr="00F47211">
        <w:t xml:space="preserve"> </w:t>
      </w:r>
    </w:p>
    <w:p w:rsidR="005A298B" w:rsidRDefault="005A298B" w:rsidP="005A298B">
      <w:r>
        <w:t>The indoor and UMi channel models show a 90% coherence bandwidth of around 80-500 kHz, and a 50% coherence bandwidth of around 0.8-5 MHz. We can therefore expect that the radio channel shows substantial decorrelations of the channel coefficient for resource assignments that span 3-5 MHz or more. This implies that contiguous assignments of more around 15-25 PRB experience an inherent frequency diversity effect, similar to that of distributed assignments. At least from the radio channel point of view, we can therefore expect a negligible difference between contiguous and distributed resource assignments.</w:t>
      </w:r>
    </w:p>
    <w:p w:rsidR="005A298B" w:rsidRDefault="005A298B" w:rsidP="005A298B">
      <w:pPr>
        <w:rPr>
          <w:b/>
        </w:rPr>
      </w:pPr>
      <w:r>
        <w:rPr>
          <w:b/>
        </w:rPr>
        <w:t>Observation 1: For assignments of more than 15-25 PRB, the indoor and UMi radio channels will usually show a negligible difference between contiguous and distributed assignments.</w:t>
      </w:r>
    </w:p>
    <w:p w:rsidR="00E90941" w:rsidRDefault="00E90941" w:rsidP="005A298B">
      <w:r w:rsidRPr="00E90941">
        <w:lastRenderedPageBreak/>
        <w:t xml:space="preserve">This </w:t>
      </w:r>
      <w:r>
        <w:t xml:space="preserve">observation holds even if the CSI feedback is known with subband granularity, as the subband size for aperiodic reports in a 20 MHz cell is defined as 1.44 MHz. For meaningful frequency scheduling, the CSI and scheduling granularity would need to be in the range of the 90% coherence bandwidth, i.e. around 1-2 PRB granularity would be necessary. We think this is unreasonable both for the required CSI feedback overhead and the corresponding required RBA field size in the DCI, especially when considering that a major use case for LAA CA </w:t>
      </w:r>
      <w:r w:rsidR="00EE6395">
        <w:rPr>
          <w:rFonts w:hint="eastAsia"/>
          <w:lang w:eastAsia="ja-JP"/>
        </w:rPr>
        <w:t xml:space="preserve">would be </w:t>
      </w:r>
      <w:r>
        <w:t>the transmission of large data bursts to a small number of users per subframe.</w:t>
      </w:r>
    </w:p>
    <w:p w:rsidR="00C67F5F" w:rsidRDefault="00E90941" w:rsidP="005A298B">
      <w:pPr>
        <w:rPr>
          <w:lang w:eastAsia="ja-JP"/>
        </w:rPr>
      </w:pPr>
      <w:r>
        <w:t xml:space="preserve">Given that a frequency-selective feedback may be not </w:t>
      </w:r>
      <w:r w:rsidR="0039377F">
        <w:rPr>
          <w:rFonts w:hint="eastAsia"/>
          <w:lang w:eastAsia="ja-JP"/>
        </w:rPr>
        <w:t>usable</w:t>
      </w:r>
      <w:r>
        <w:t xml:space="preserve">, it seems not necessary to support frequency-selective scheduling assignments with PRB or even </w:t>
      </w:r>
      <w:r w:rsidR="0039377F">
        <w:rPr>
          <w:rFonts w:hint="eastAsia"/>
          <w:lang w:eastAsia="ja-JP"/>
        </w:rPr>
        <w:t xml:space="preserve">current </w:t>
      </w:r>
      <w:r>
        <w:t xml:space="preserve">RBG granularity. </w:t>
      </w:r>
      <w:r w:rsidR="00974CF0">
        <w:rPr>
          <w:rFonts w:hint="eastAsia"/>
          <w:lang w:eastAsia="ja-JP"/>
        </w:rPr>
        <w:t>F</w:t>
      </w:r>
      <w:r>
        <w:t xml:space="preserve">or assignments larger than </w:t>
      </w:r>
      <w:r w:rsidR="00323566">
        <w:rPr>
          <w:rFonts w:hint="eastAsia"/>
          <w:lang w:eastAsia="ja-JP"/>
        </w:rPr>
        <w:t xml:space="preserve">around </w:t>
      </w:r>
      <w:r>
        <w:t xml:space="preserve">15 PRB, it would be sufficient to support a limited set of the number of assigned PRB and potential locations. </w:t>
      </w:r>
      <w:r w:rsidR="00974CF0" w:rsidRPr="00974CF0">
        <w:t>Not to support the assignment lower or equal around 15 PRBs</w:t>
      </w:r>
      <w:r w:rsidR="00974CF0">
        <w:rPr>
          <w:rFonts w:hint="eastAsia"/>
          <w:lang w:eastAsia="ja-JP"/>
        </w:rPr>
        <w:t xml:space="preserve"> could be reasonable.</w:t>
      </w:r>
      <w:r w:rsidR="00974CF0" w:rsidRPr="00974CF0">
        <w:t xml:space="preserve"> </w:t>
      </w:r>
      <w:r>
        <w:t>Even though this set</w:t>
      </w:r>
      <w:r w:rsidR="001619E6">
        <w:t>s</w:t>
      </w:r>
      <w:r>
        <w:t xml:space="preserve"> an effective lower </w:t>
      </w:r>
      <w:r w:rsidR="001619E6">
        <w:t>limit</w:t>
      </w:r>
      <w:r>
        <w:t xml:space="preserve"> of the supported TBS conveyed via LAA</w:t>
      </w:r>
      <w:r w:rsidR="001619E6">
        <w:t xml:space="preserve"> to 392 bits</w:t>
      </w:r>
      <w:r w:rsidR="00323566" w:rsidRPr="00323566">
        <w:t xml:space="preserve"> (corresponding to 15 PRBs)</w:t>
      </w:r>
      <w:r w:rsidR="001619E6">
        <w:t>, the restriction does not seem to</w:t>
      </w:r>
      <w:r w:rsidR="001E5AA4">
        <w:t>o</w:t>
      </w:r>
      <w:r w:rsidR="001619E6">
        <w:t xml:space="preserve"> strong. In addition, the usage of a low coding rate to occupy at least 15 PRB could be compensated by transmitting those PRB</w:t>
      </w:r>
      <w:r w:rsidR="006130A5">
        <w:rPr>
          <w:rFonts w:eastAsia="SimSun" w:hint="eastAsia"/>
          <w:lang w:eastAsia="zh-CN"/>
        </w:rPr>
        <w:t>s</w:t>
      </w:r>
      <w:r w:rsidR="001619E6">
        <w:t xml:space="preserve"> with a smaller power and </w:t>
      </w:r>
      <w:r w:rsidR="001B08C7">
        <w:t>putting the saved power to</w:t>
      </w:r>
      <w:r w:rsidR="001619E6">
        <w:t xml:space="preserve"> the remaining PRB</w:t>
      </w:r>
      <w:r w:rsidR="001B08C7">
        <w:t xml:space="preserve"> ("power sharing")</w:t>
      </w:r>
      <w:r w:rsidR="001619E6">
        <w:t>, so that other users may receive data in the remainder of the bandwidth with a higher coding rate.</w:t>
      </w:r>
      <w:r w:rsidR="00323566" w:rsidRPr="00323566">
        <w:rPr>
          <w:rFonts w:hint="eastAsia"/>
          <w:lang w:eastAsia="ja-JP"/>
        </w:rPr>
        <w:t xml:space="preserve"> </w:t>
      </w:r>
      <w:r w:rsidR="00F84A70">
        <w:rPr>
          <w:lang w:eastAsia="ja-JP"/>
        </w:rPr>
        <w:t>The</w:t>
      </w:r>
      <w:r w:rsidR="00F84A70">
        <w:rPr>
          <w:rFonts w:hint="eastAsia"/>
          <w:lang w:eastAsia="ja-JP"/>
        </w:rPr>
        <w:t xml:space="preserve"> </w:t>
      </w:r>
      <w:r w:rsidR="00323566">
        <w:rPr>
          <w:rFonts w:hint="eastAsia"/>
          <w:lang w:eastAsia="ja-JP"/>
        </w:rPr>
        <w:t xml:space="preserve">power sharing impact to </w:t>
      </w:r>
      <w:r w:rsidR="00323566" w:rsidRPr="00955510">
        <w:rPr>
          <w:lang w:eastAsia="ja-JP"/>
        </w:rPr>
        <w:t>the clear channel assessments</w:t>
      </w:r>
      <w:r w:rsidR="00323566" w:rsidRPr="00955510">
        <w:rPr>
          <w:rFonts w:hint="eastAsia"/>
          <w:lang w:eastAsia="ja-JP"/>
        </w:rPr>
        <w:t xml:space="preserve"> </w:t>
      </w:r>
      <w:r w:rsidR="00323566">
        <w:rPr>
          <w:rFonts w:hint="eastAsia"/>
          <w:lang w:eastAsia="ja-JP"/>
        </w:rPr>
        <w:t xml:space="preserve">needs to be considered further. </w:t>
      </w:r>
    </w:p>
    <w:p w:rsidR="00FD6C7F" w:rsidRDefault="00FD6C7F" w:rsidP="00FD6C7F">
      <w:pPr>
        <w:rPr>
          <w:lang w:eastAsia="ja-JP"/>
        </w:rPr>
      </w:pPr>
      <w:r>
        <w:t>At the same time, from the DL overhead perspective (mainly the DCI and transport block CRC overhead), it is more efficient for an eNB to schedule a large number of resource blocks per carrier but on as few carriers as possible. For example, to transmit a total of 4000 bits on a single carrier, only one DCI is required and one CRC is attached to the transport block. If the same 4000 bits should be split and transmitted on 10 carriers, then 10 DCI are necessary as well as 10 CRCs (one for each transport block of 400 bits). Additionally, the main scenario for carrier aggregation employing unlicensed carriers is the fast transmission of bursty traffic - small bursts or more regular traffic would be more efficiently routed via licensed carriers.</w:t>
      </w:r>
    </w:p>
    <w:p w:rsidR="001619E6" w:rsidRPr="001619E6" w:rsidRDefault="001619E6" w:rsidP="005A298B">
      <w:pPr>
        <w:rPr>
          <w:b/>
        </w:rPr>
      </w:pPr>
      <w:r>
        <w:rPr>
          <w:b/>
        </w:rPr>
        <w:t xml:space="preserve">Observation </w:t>
      </w:r>
      <w:r w:rsidR="00974542">
        <w:rPr>
          <w:b/>
        </w:rPr>
        <w:t>2</w:t>
      </w:r>
      <w:r>
        <w:rPr>
          <w:b/>
        </w:rPr>
        <w:t xml:space="preserve">: </w:t>
      </w:r>
      <w:r w:rsidR="004B47ED">
        <w:rPr>
          <w:b/>
        </w:rPr>
        <w:t>A</w:t>
      </w:r>
      <w:r w:rsidR="00974CF0">
        <w:rPr>
          <w:b/>
        </w:rPr>
        <w:t xml:space="preserve"> scheduling granularity of </w:t>
      </w:r>
      <w:r w:rsidR="00974CF0">
        <w:rPr>
          <w:rFonts w:hint="eastAsia"/>
          <w:b/>
          <w:lang w:eastAsia="ja-JP"/>
        </w:rPr>
        <w:t xml:space="preserve">smaller or equal </w:t>
      </w:r>
      <w:r w:rsidR="004B47ED">
        <w:rPr>
          <w:b/>
          <w:lang w:eastAsia="ja-JP"/>
        </w:rPr>
        <w:t xml:space="preserve">to </w:t>
      </w:r>
      <w:r w:rsidR="00974CF0">
        <w:rPr>
          <w:rFonts w:hint="eastAsia"/>
          <w:b/>
          <w:lang w:eastAsia="ja-JP"/>
        </w:rPr>
        <w:t xml:space="preserve">around </w:t>
      </w:r>
      <w:r w:rsidR="00974CF0">
        <w:rPr>
          <w:b/>
        </w:rPr>
        <w:t>15 PRB</w:t>
      </w:r>
      <w:r w:rsidR="004B47ED">
        <w:rPr>
          <w:b/>
        </w:rPr>
        <w:t xml:space="preserve"> is not necessary.</w:t>
      </w:r>
      <w:r w:rsidR="00974542">
        <w:rPr>
          <w:b/>
        </w:rPr>
        <w:t xml:space="preserve"> For a scheduling granularity of </w:t>
      </w:r>
      <w:r w:rsidR="00974542">
        <w:rPr>
          <w:rFonts w:hint="eastAsia"/>
          <w:b/>
          <w:lang w:eastAsia="ja-JP"/>
        </w:rPr>
        <w:t>larger</w:t>
      </w:r>
      <w:r w:rsidR="00974542">
        <w:rPr>
          <w:b/>
        </w:rPr>
        <w:t xml:space="preserve"> than </w:t>
      </w:r>
      <w:r w:rsidR="00974542">
        <w:rPr>
          <w:rFonts w:hint="eastAsia"/>
          <w:b/>
          <w:lang w:eastAsia="ja-JP"/>
        </w:rPr>
        <w:t xml:space="preserve">around </w:t>
      </w:r>
      <w:r w:rsidR="00974542">
        <w:rPr>
          <w:b/>
        </w:rPr>
        <w:t>15 PRB</w:t>
      </w:r>
      <w:r w:rsidR="00974542">
        <w:rPr>
          <w:rFonts w:hint="eastAsia"/>
          <w:b/>
          <w:lang w:eastAsia="ja-JP"/>
        </w:rPr>
        <w:t xml:space="preserve">, </w:t>
      </w:r>
      <w:r w:rsidR="00974542">
        <w:rPr>
          <w:b/>
        </w:rPr>
        <w:t xml:space="preserve"> </w:t>
      </w:r>
      <w:r w:rsidR="00974542" w:rsidRPr="004C6CA7">
        <w:rPr>
          <w:b/>
        </w:rPr>
        <w:t xml:space="preserve">it </w:t>
      </w:r>
      <w:r w:rsidR="00974542">
        <w:rPr>
          <w:b/>
        </w:rPr>
        <w:t>is</w:t>
      </w:r>
      <w:r w:rsidR="00974542" w:rsidRPr="004C6CA7">
        <w:rPr>
          <w:b/>
        </w:rPr>
        <w:t xml:space="preserve"> sufficient to support a limited set of the number of assigned PRB</w:t>
      </w:r>
      <w:r w:rsidR="00974542">
        <w:rPr>
          <w:b/>
        </w:rPr>
        <w:t>s</w:t>
      </w:r>
      <w:r w:rsidR="00974542" w:rsidRPr="004C6CA7">
        <w:rPr>
          <w:b/>
        </w:rPr>
        <w:t xml:space="preserve"> and potential locations</w:t>
      </w:r>
      <w:r w:rsidR="00974542">
        <w:rPr>
          <w:b/>
        </w:rPr>
        <w:t>.</w:t>
      </w:r>
    </w:p>
    <w:p w:rsidR="000474BA" w:rsidRDefault="000474BA" w:rsidP="005A298B">
      <w:r>
        <w:t>Establishing such a scheduling granularity would allow a reduction of the RBA field in the DCI formats. Instead of allowing the full flexibility of resource allocation type 0 for the DCI format 2x family, which requires a bitmap of 25 bits for a 20 MHz cell due to the RBG size of 4, it would be sufficient to support an RBG size of 16, which requires a bitmap of just 7 bits for a 20 MHz cell. This is equivalent of a typical reduction to 75% of the regular DCI size</w:t>
      </w:r>
      <w:r w:rsidR="00F37097">
        <w:t>, i.e. a gain of 1.3 dB can be obtained. We even would consider that a full on-off scheduling could be supported for LAA, where no RBA field at all</w:t>
      </w:r>
      <w:r>
        <w:t xml:space="preserve"> </w:t>
      </w:r>
      <w:r w:rsidR="00F37097">
        <w:t>is supported. This would decrease the size to 64% with a gain of 1.9 dB. These gains would reflect a larger coverage for a certain aggregation level.</w:t>
      </w:r>
    </w:p>
    <w:p w:rsidR="00F37097" w:rsidRDefault="00F37097" w:rsidP="00F37097">
      <w:pPr>
        <w:rPr>
          <w:b/>
        </w:rPr>
      </w:pPr>
      <w:r>
        <w:rPr>
          <w:b/>
        </w:rPr>
        <w:t>Proposal: When scheduling an LAA cell by means of DCI format 2/2A/2B/2C/2D, adopt one of the following simplifications:</w:t>
      </w:r>
    </w:p>
    <w:p w:rsidR="00F37097" w:rsidRDefault="00F37097" w:rsidP="00F37097">
      <w:pPr>
        <w:pStyle w:val="ListParagraph"/>
        <w:numPr>
          <w:ilvl w:val="0"/>
          <w:numId w:val="15"/>
        </w:numPr>
        <w:rPr>
          <w:rFonts w:ascii="Times New Roman" w:hAnsi="Times New Roman"/>
          <w:b/>
          <w:sz w:val="20"/>
          <w:szCs w:val="20"/>
        </w:rPr>
      </w:pPr>
      <w:r>
        <w:rPr>
          <w:rFonts w:ascii="Times New Roman" w:hAnsi="Times New Roman"/>
          <w:b/>
          <w:sz w:val="20"/>
          <w:szCs w:val="20"/>
        </w:rPr>
        <w:t>Redefine the RBG size to 16 PRBs, independent of the system bandwidth; or</w:t>
      </w:r>
    </w:p>
    <w:p w:rsidR="00F37097" w:rsidRPr="00F37097" w:rsidRDefault="00F37097" w:rsidP="00F37097">
      <w:pPr>
        <w:pStyle w:val="ListParagraph"/>
        <w:numPr>
          <w:ilvl w:val="0"/>
          <w:numId w:val="15"/>
        </w:numPr>
        <w:rPr>
          <w:rFonts w:ascii="Times New Roman" w:hAnsi="Times New Roman"/>
          <w:b/>
          <w:sz w:val="20"/>
          <w:szCs w:val="20"/>
        </w:rPr>
      </w:pPr>
      <w:r>
        <w:rPr>
          <w:rFonts w:ascii="Times New Roman" w:hAnsi="Times New Roman"/>
          <w:b/>
          <w:sz w:val="20"/>
          <w:szCs w:val="20"/>
        </w:rPr>
        <w:t>Remove the RBA field from the DCI</w:t>
      </w:r>
    </w:p>
    <w:p w:rsidR="00F37097" w:rsidRDefault="00F37097" w:rsidP="005A298B"/>
    <w:p w:rsidR="001E5AA4" w:rsidRPr="001E5AA4" w:rsidRDefault="00974542" w:rsidP="001E5AA4">
      <w:pPr>
        <w:rPr>
          <w:lang w:val="en-US" w:eastAsia="ja-JP"/>
        </w:rPr>
      </w:pPr>
      <w:r>
        <w:rPr>
          <w:rFonts w:hint="eastAsia"/>
          <w:lang w:eastAsia="ja-JP"/>
        </w:rPr>
        <w:t xml:space="preserve">Another consideration point </w:t>
      </w:r>
      <w:r>
        <w:rPr>
          <w:lang w:eastAsia="ja-JP"/>
        </w:rPr>
        <w:t>is that</w:t>
      </w:r>
      <w:r>
        <w:rPr>
          <w:rFonts w:hint="eastAsia"/>
          <w:lang w:eastAsia="ja-JP"/>
        </w:rPr>
        <w:t xml:space="preserve"> a</w:t>
      </w:r>
      <w:r w:rsidRPr="00C67F5F">
        <w:rPr>
          <w:lang w:eastAsia="ja-JP"/>
        </w:rPr>
        <w:t xml:space="preserve">ccording to ETSI regulation, the Occupied Channel Bandwidth </w:t>
      </w:r>
      <w:r>
        <w:rPr>
          <w:lang w:eastAsia="ja-JP"/>
        </w:rPr>
        <w:t>(</w:t>
      </w:r>
      <w:r w:rsidRPr="00C67F5F">
        <w:rPr>
          <w:lang w:eastAsia="ja-JP"/>
        </w:rPr>
        <w:t>defined to be the bandwidth containing 99% of the power of the signal</w:t>
      </w:r>
      <w:r>
        <w:rPr>
          <w:lang w:eastAsia="ja-JP"/>
        </w:rPr>
        <w:t>)</w:t>
      </w:r>
      <w:r w:rsidRPr="00C67F5F">
        <w:rPr>
          <w:lang w:eastAsia="ja-JP"/>
        </w:rPr>
        <w:t xml:space="preserve"> shall be between 80% and 100% of the declared Nominal Channel Bandwidth.</w:t>
      </w:r>
      <w:r>
        <w:rPr>
          <w:rFonts w:hint="eastAsia"/>
          <w:lang w:eastAsia="ja-JP"/>
        </w:rPr>
        <w:t xml:space="preserve"> For DL, </w:t>
      </w:r>
      <w:r>
        <w:rPr>
          <w:lang w:eastAsia="ja-JP"/>
        </w:rPr>
        <w:t>this rule needs to be fulfilled by the eNB but is not necessary to be fulfilled per UE assignment</w:t>
      </w:r>
      <w:r>
        <w:rPr>
          <w:rFonts w:hint="eastAsia"/>
          <w:lang w:eastAsia="ja-JP"/>
        </w:rPr>
        <w:t>.</w:t>
      </w: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b/>
        </w:rPr>
      </w:pPr>
      <w:r>
        <w:rPr>
          <w:b/>
        </w:rPr>
        <w:t>Observation 1: For assignments of more than 15-25 PRB, the indoor and UMi radio channels will usually show a negligible difference between contiguous and distributed assignments.</w:t>
      </w:r>
    </w:p>
    <w:p w:rsidR="00974542" w:rsidRPr="001619E6" w:rsidRDefault="00974542" w:rsidP="00974542">
      <w:pPr>
        <w:rPr>
          <w:b/>
        </w:rPr>
      </w:pPr>
      <w:r>
        <w:rPr>
          <w:b/>
        </w:rPr>
        <w:t xml:space="preserve">Observation 2: </w:t>
      </w:r>
      <w:r w:rsidR="004B47ED">
        <w:rPr>
          <w:b/>
        </w:rPr>
        <w:t xml:space="preserve">A scheduling granularity of </w:t>
      </w:r>
      <w:r w:rsidR="004B47ED">
        <w:rPr>
          <w:rFonts w:hint="eastAsia"/>
          <w:b/>
          <w:lang w:eastAsia="ja-JP"/>
        </w:rPr>
        <w:t xml:space="preserve">smaller or equal </w:t>
      </w:r>
      <w:r w:rsidR="004B47ED">
        <w:rPr>
          <w:b/>
          <w:lang w:eastAsia="ja-JP"/>
        </w:rPr>
        <w:t xml:space="preserve">to </w:t>
      </w:r>
      <w:r w:rsidR="004B47ED">
        <w:rPr>
          <w:rFonts w:hint="eastAsia"/>
          <w:b/>
          <w:lang w:eastAsia="ja-JP"/>
        </w:rPr>
        <w:t xml:space="preserve">around </w:t>
      </w:r>
      <w:r w:rsidR="004B47ED">
        <w:rPr>
          <w:b/>
        </w:rPr>
        <w:t>15 PRB is not necessary.</w:t>
      </w:r>
      <w:r>
        <w:rPr>
          <w:b/>
        </w:rPr>
        <w:t xml:space="preserve"> For a scheduling granularity of </w:t>
      </w:r>
      <w:r>
        <w:rPr>
          <w:rFonts w:hint="eastAsia"/>
          <w:b/>
          <w:lang w:eastAsia="ja-JP"/>
        </w:rPr>
        <w:t>larger</w:t>
      </w:r>
      <w:r>
        <w:rPr>
          <w:b/>
        </w:rPr>
        <w:t xml:space="preserve"> than </w:t>
      </w:r>
      <w:r>
        <w:rPr>
          <w:rFonts w:hint="eastAsia"/>
          <w:b/>
          <w:lang w:eastAsia="ja-JP"/>
        </w:rPr>
        <w:t xml:space="preserve">around </w:t>
      </w:r>
      <w:r>
        <w:rPr>
          <w:b/>
        </w:rPr>
        <w:t>15 PRB</w:t>
      </w:r>
      <w:r>
        <w:rPr>
          <w:rFonts w:hint="eastAsia"/>
          <w:b/>
          <w:lang w:eastAsia="ja-JP"/>
        </w:rPr>
        <w:t xml:space="preserve">, </w:t>
      </w:r>
      <w:r>
        <w:rPr>
          <w:b/>
        </w:rPr>
        <w:t xml:space="preserve"> </w:t>
      </w:r>
      <w:r w:rsidRPr="004C6CA7">
        <w:rPr>
          <w:b/>
        </w:rPr>
        <w:t xml:space="preserve">it </w:t>
      </w:r>
      <w:r>
        <w:rPr>
          <w:b/>
        </w:rPr>
        <w:t>is</w:t>
      </w:r>
      <w:r w:rsidRPr="004C6CA7">
        <w:rPr>
          <w:b/>
        </w:rPr>
        <w:t xml:space="preserve"> sufficient to support a limited set of the number of assigned PRB</w:t>
      </w:r>
      <w:r>
        <w:rPr>
          <w:b/>
        </w:rPr>
        <w:t>s</w:t>
      </w:r>
      <w:r w:rsidRPr="004C6CA7">
        <w:rPr>
          <w:b/>
        </w:rPr>
        <w:t xml:space="preserve"> and potential locations</w:t>
      </w:r>
      <w:r>
        <w:rPr>
          <w:b/>
        </w:rPr>
        <w:t>.</w:t>
      </w:r>
    </w:p>
    <w:p w:rsidR="00F37097" w:rsidRDefault="00F37097" w:rsidP="00F37097">
      <w:pPr>
        <w:rPr>
          <w:b/>
        </w:rPr>
      </w:pPr>
      <w:r>
        <w:rPr>
          <w:b/>
        </w:rPr>
        <w:t>Proposal: When scheduling an LAA cell by means of DCI format 2/2A/2B/2C/2D, adopt one of the following simplifications:</w:t>
      </w:r>
    </w:p>
    <w:p w:rsidR="00F37097" w:rsidRDefault="00F37097" w:rsidP="00F37097">
      <w:pPr>
        <w:pStyle w:val="ListParagraph"/>
        <w:numPr>
          <w:ilvl w:val="0"/>
          <w:numId w:val="16"/>
        </w:numPr>
        <w:rPr>
          <w:rFonts w:ascii="Times New Roman" w:hAnsi="Times New Roman"/>
          <w:b/>
          <w:sz w:val="20"/>
          <w:szCs w:val="20"/>
        </w:rPr>
      </w:pPr>
      <w:r>
        <w:rPr>
          <w:rFonts w:ascii="Times New Roman" w:hAnsi="Times New Roman"/>
          <w:b/>
          <w:sz w:val="20"/>
          <w:szCs w:val="20"/>
        </w:rPr>
        <w:lastRenderedPageBreak/>
        <w:t>Redefine the RBG size to 16 PRBs, independent of the system bandwidth; or</w:t>
      </w:r>
    </w:p>
    <w:p w:rsidR="00F37097" w:rsidRPr="00F37097" w:rsidRDefault="00F37097" w:rsidP="00F37097">
      <w:pPr>
        <w:pStyle w:val="ListParagraph"/>
        <w:numPr>
          <w:ilvl w:val="0"/>
          <w:numId w:val="16"/>
        </w:numPr>
        <w:rPr>
          <w:rFonts w:ascii="Times New Roman" w:hAnsi="Times New Roman"/>
          <w:b/>
          <w:sz w:val="20"/>
          <w:szCs w:val="20"/>
        </w:rPr>
      </w:pPr>
      <w:r>
        <w:rPr>
          <w:rFonts w:ascii="Times New Roman" w:hAnsi="Times New Roman"/>
          <w:b/>
          <w:sz w:val="20"/>
          <w:szCs w:val="20"/>
        </w:rPr>
        <w:t>Remove the RBA field from the DCI</w:t>
      </w:r>
    </w:p>
    <w:p w:rsidR="00454FBC" w:rsidRPr="00C72423" w:rsidRDefault="00454FBC" w:rsidP="009603D8">
      <w:pPr>
        <w:rPr>
          <w:sz w:val="18"/>
          <w:lang w:val="en-US"/>
        </w:rPr>
      </w:pPr>
      <w:bookmarkStart w:id="2" w:name="_Ref377995306"/>
      <w:bookmarkEnd w:id="2"/>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248" w:rsidRDefault="000A7248">
      <w:r>
        <w:separator/>
      </w:r>
    </w:p>
  </w:endnote>
  <w:endnote w:type="continuationSeparator" w:id="0">
    <w:p w:rsidR="000A7248" w:rsidRDefault="000A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248" w:rsidRDefault="000A7248">
      <w:r>
        <w:separator/>
      </w:r>
    </w:p>
  </w:footnote>
  <w:footnote w:type="continuationSeparator" w:id="0">
    <w:p w:rsidR="000A7248" w:rsidRDefault="000A7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02868C6"/>
    <w:multiLevelType w:val="hybridMultilevel"/>
    <w:tmpl w:val="69F8C0EC"/>
    <w:lvl w:ilvl="0" w:tplc="CCE023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234357"/>
    <w:multiLevelType w:val="hybridMultilevel"/>
    <w:tmpl w:val="29B8D6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4"/>
  </w:num>
  <w:num w:numId="2">
    <w:abstractNumId w:val="8"/>
  </w:num>
  <w:num w:numId="3">
    <w:abstractNumId w:val="11"/>
  </w:num>
  <w:num w:numId="4">
    <w:abstractNumId w:val="1"/>
  </w:num>
  <w:num w:numId="5">
    <w:abstractNumId w:val="9"/>
  </w:num>
  <w:num w:numId="6">
    <w:abstractNumId w:val="12"/>
  </w:num>
  <w:num w:numId="7">
    <w:abstractNumId w:val="3"/>
  </w:num>
  <w:num w:numId="8">
    <w:abstractNumId w:val="0"/>
  </w:num>
  <w:num w:numId="9">
    <w:abstractNumId w:val="4"/>
  </w:num>
  <w:num w:numId="10">
    <w:abstractNumId w:val="2"/>
  </w:num>
  <w:num w:numId="11">
    <w:abstractNumId w:val="10"/>
  </w:num>
  <w:num w:numId="12">
    <w:abstractNumId w:val="14"/>
  </w:num>
  <w:num w:numId="13">
    <w:abstractNumId w:val="6"/>
  </w:num>
  <w:num w:numId="14">
    <w:abstractNumId w:val="7"/>
  </w:num>
  <w:num w:numId="15">
    <w:abstractNumId w:val="13"/>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474BA"/>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A7248"/>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4DF8"/>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1F32"/>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67F7"/>
    <w:rsid w:val="002778E0"/>
    <w:rsid w:val="00277E3C"/>
    <w:rsid w:val="00277F1C"/>
    <w:rsid w:val="00285275"/>
    <w:rsid w:val="00285E86"/>
    <w:rsid w:val="00286DA6"/>
    <w:rsid w:val="00290B32"/>
    <w:rsid w:val="0029107F"/>
    <w:rsid w:val="0029129C"/>
    <w:rsid w:val="00292FCB"/>
    <w:rsid w:val="002959DE"/>
    <w:rsid w:val="0029782B"/>
    <w:rsid w:val="002A00B5"/>
    <w:rsid w:val="002A0D32"/>
    <w:rsid w:val="002A33DD"/>
    <w:rsid w:val="002A4CC1"/>
    <w:rsid w:val="002A68AC"/>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77F"/>
    <w:rsid w:val="00393F69"/>
    <w:rsid w:val="0039532B"/>
    <w:rsid w:val="00395AEE"/>
    <w:rsid w:val="003A220F"/>
    <w:rsid w:val="003A40EA"/>
    <w:rsid w:val="003A4B17"/>
    <w:rsid w:val="003A4C22"/>
    <w:rsid w:val="003B0093"/>
    <w:rsid w:val="003B09C4"/>
    <w:rsid w:val="003B1386"/>
    <w:rsid w:val="003B23DF"/>
    <w:rsid w:val="003B273A"/>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47ED"/>
    <w:rsid w:val="004B5759"/>
    <w:rsid w:val="004C6CA7"/>
    <w:rsid w:val="004D3CE7"/>
    <w:rsid w:val="004D4FEB"/>
    <w:rsid w:val="004D5BE1"/>
    <w:rsid w:val="004E0C8B"/>
    <w:rsid w:val="004E219A"/>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2F9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1C29"/>
    <w:rsid w:val="006A2E61"/>
    <w:rsid w:val="006A38BA"/>
    <w:rsid w:val="006A3BBC"/>
    <w:rsid w:val="006A46FD"/>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3D8"/>
    <w:rsid w:val="00960B91"/>
    <w:rsid w:val="009619D0"/>
    <w:rsid w:val="00962FC9"/>
    <w:rsid w:val="00965D70"/>
    <w:rsid w:val="0096674B"/>
    <w:rsid w:val="009712DE"/>
    <w:rsid w:val="009720D0"/>
    <w:rsid w:val="00972642"/>
    <w:rsid w:val="0097340F"/>
    <w:rsid w:val="00973DBE"/>
    <w:rsid w:val="00974064"/>
    <w:rsid w:val="00974542"/>
    <w:rsid w:val="00974CF0"/>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803"/>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7C0"/>
    <w:rsid w:val="00BF7852"/>
    <w:rsid w:val="00C01272"/>
    <w:rsid w:val="00C024E8"/>
    <w:rsid w:val="00C027D4"/>
    <w:rsid w:val="00C06F35"/>
    <w:rsid w:val="00C104BD"/>
    <w:rsid w:val="00C10823"/>
    <w:rsid w:val="00C110CB"/>
    <w:rsid w:val="00C1142D"/>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67F5F"/>
    <w:rsid w:val="00C709CB"/>
    <w:rsid w:val="00C71C0D"/>
    <w:rsid w:val="00C72423"/>
    <w:rsid w:val="00C72E00"/>
    <w:rsid w:val="00C73097"/>
    <w:rsid w:val="00C80BE4"/>
    <w:rsid w:val="00C84BC5"/>
    <w:rsid w:val="00C85741"/>
    <w:rsid w:val="00C8624E"/>
    <w:rsid w:val="00C900A7"/>
    <w:rsid w:val="00C914E4"/>
    <w:rsid w:val="00C9750C"/>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93F"/>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9B"/>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6395"/>
    <w:rsid w:val="00EE730C"/>
    <w:rsid w:val="00EF174C"/>
    <w:rsid w:val="00EF387F"/>
    <w:rsid w:val="00EF5139"/>
    <w:rsid w:val="00EF7366"/>
    <w:rsid w:val="00F03B34"/>
    <w:rsid w:val="00F062C2"/>
    <w:rsid w:val="00F07ADE"/>
    <w:rsid w:val="00F12842"/>
    <w:rsid w:val="00F12B6F"/>
    <w:rsid w:val="00F14E0F"/>
    <w:rsid w:val="00F158FB"/>
    <w:rsid w:val="00F17D4F"/>
    <w:rsid w:val="00F22F33"/>
    <w:rsid w:val="00F260F0"/>
    <w:rsid w:val="00F27210"/>
    <w:rsid w:val="00F27424"/>
    <w:rsid w:val="00F321EE"/>
    <w:rsid w:val="00F32F86"/>
    <w:rsid w:val="00F3400B"/>
    <w:rsid w:val="00F36928"/>
    <w:rsid w:val="00F36E01"/>
    <w:rsid w:val="00F37097"/>
    <w:rsid w:val="00F37FC7"/>
    <w:rsid w:val="00F40873"/>
    <w:rsid w:val="00F4128C"/>
    <w:rsid w:val="00F4135B"/>
    <w:rsid w:val="00F41E60"/>
    <w:rsid w:val="00F43316"/>
    <w:rsid w:val="00F43BDB"/>
    <w:rsid w:val="00F4588A"/>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6C7F"/>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5977B-24FF-4030-A77E-49E3EFFB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1173</Words>
  <Characters>5914</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2015-11-06T09:24:00Z</dcterms:created>
  <dcterms:modified xsi:type="dcterms:W3CDTF">2015-11-06T09:24:00Z</dcterms:modified>
</cp:coreProperties>
</file>