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A5D" w:rsidRPr="00894DE0" w:rsidRDefault="00AA4A5D" w:rsidP="00361F55">
      <w:pPr>
        <w:pStyle w:val="Header"/>
        <w:tabs>
          <w:tab w:val="clear" w:pos="4320"/>
          <w:tab w:val="clear" w:pos="8640"/>
          <w:tab w:val="right" w:pos="9072"/>
        </w:tabs>
        <w:rPr>
          <w:rFonts w:cs="Arial"/>
          <w:b/>
          <w:bCs/>
          <w:sz w:val="22"/>
          <w:szCs w:val="22"/>
          <w:lang w:val="en-AU"/>
        </w:rPr>
      </w:pPr>
      <w:bookmarkStart w:id="0" w:name="_GoBack"/>
      <w:bookmarkEnd w:id="0"/>
      <w:r w:rsidRPr="00894DE0">
        <w:rPr>
          <w:rFonts w:ascii="Arial" w:hAnsi="Arial" w:cs="Arial"/>
          <w:b/>
          <w:bCs/>
          <w:sz w:val="22"/>
          <w:szCs w:val="22"/>
          <w:lang w:val="en-AU"/>
        </w:rPr>
        <w:t>3GPP TSG RAN</w:t>
      </w:r>
      <w:r w:rsidR="008773C7" w:rsidRPr="00894DE0">
        <w:rPr>
          <w:rFonts w:ascii="Arial" w:hAnsi="Arial" w:cs="Arial"/>
          <w:b/>
          <w:bCs/>
          <w:sz w:val="22"/>
          <w:szCs w:val="22"/>
          <w:lang w:val="en-AU"/>
        </w:rPr>
        <w:t xml:space="preserve"> WG1 Meeting #8</w:t>
      </w:r>
      <w:r w:rsidR="00BF424D" w:rsidRPr="00894DE0">
        <w:rPr>
          <w:rFonts w:ascii="Arial" w:hAnsi="Arial" w:cs="Arial"/>
          <w:b/>
          <w:bCs/>
          <w:sz w:val="22"/>
          <w:szCs w:val="22"/>
          <w:lang w:val="en-AU"/>
        </w:rPr>
        <w:t>3</w:t>
      </w:r>
      <w:r w:rsidRPr="00894DE0">
        <w:rPr>
          <w:rFonts w:ascii="Arial" w:hAnsi="Arial" w:cs="Arial"/>
          <w:b/>
          <w:bCs/>
          <w:sz w:val="22"/>
          <w:szCs w:val="22"/>
          <w:lang w:val="en-AU"/>
        </w:rPr>
        <w:tab/>
      </w:r>
      <w:r w:rsidRPr="00286584">
        <w:rPr>
          <w:rFonts w:ascii="Arial" w:hAnsi="Arial" w:cs="Arial"/>
          <w:b/>
          <w:bCs/>
          <w:sz w:val="22"/>
          <w:lang w:val="en-AU"/>
        </w:rPr>
        <w:t>R</w:t>
      </w:r>
      <w:r w:rsidR="008773C7" w:rsidRPr="00286584">
        <w:rPr>
          <w:rFonts w:ascii="Arial" w:hAnsi="Arial" w:cs="Arial"/>
          <w:b/>
          <w:bCs/>
          <w:sz w:val="22"/>
          <w:lang w:val="en-AU"/>
        </w:rPr>
        <w:t>1</w:t>
      </w:r>
      <w:r w:rsidRPr="00286584">
        <w:rPr>
          <w:rFonts w:ascii="Arial" w:hAnsi="Arial" w:cs="Arial"/>
          <w:b/>
          <w:bCs/>
          <w:sz w:val="22"/>
          <w:lang w:val="en-AU"/>
        </w:rPr>
        <w:t>-1</w:t>
      </w:r>
      <w:r w:rsidR="008773C7" w:rsidRPr="00286584">
        <w:rPr>
          <w:rFonts w:ascii="Arial" w:hAnsi="Arial" w:cs="Arial"/>
          <w:b/>
          <w:bCs/>
          <w:sz w:val="22"/>
          <w:lang w:val="en-AU"/>
        </w:rPr>
        <w:t>5</w:t>
      </w:r>
      <w:r w:rsidR="00286584" w:rsidRPr="00286584">
        <w:rPr>
          <w:rFonts w:ascii="Arial" w:hAnsi="Arial" w:cs="Arial"/>
          <w:b/>
          <w:bCs/>
          <w:sz w:val="22"/>
          <w:lang w:val="en-AU"/>
        </w:rPr>
        <w:t>6674</w:t>
      </w:r>
    </w:p>
    <w:p w:rsidR="00AA4A5D" w:rsidRPr="00894DE0" w:rsidRDefault="00BF424D" w:rsidP="0077483C">
      <w:pPr>
        <w:pStyle w:val="Header"/>
        <w:tabs>
          <w:tab w:val="clear" w:pos="4320"/>
        </w:tabs>
        <w:rPr>
          <w:rFonts w:ascii="Arial" w:hAnsi="Arial" w:cs="Arial"/>
          <w:b/>
          <w:bCs/>
          <w:sz w:val="22"/>
          <w:szCs w:val="22"/>
          <w:lang w:val="en-AU"/>
        </w:rPr>
      </w:pPr>
      <w:r w:rsidRPr="00894DE0">
        <w:rPr>
          <w:rFonts w:ascii="Arial" w:hAnsi="Arial" w:cs="Arial"/>
          <w:b/>
          <w:bCs/>
          <w:sz w:val="22"/>
          <w:szCs w:val="22"/>
          <w:lang w:val="en-AU"/>
        </w:rPr>
        <w:t>Anaheim</w:t>
      </w:r>
      <w:r w:rsidR="008773C7" w:rsidRPr="00894DE0">
        <w:rPr>
          <w:rFonts w:ascii="Arial" w:hAnsi="Arial" w:cs="Arial"/>
          <w:b/>
          <w:bCs/>
          <w:sz w:val="22"/>
          <w:szCs w:val="22"/>
          <w:lang w:val="en-AU"/>
        </w:rPr>
        <w:t xml:space="preserve">, </w:t>
      </w:r>
      <w:r w:rsidRPr="00894DE0">
        <w:rPr>
          <w:rFonts w:ascii="Arial" w:hAnsi="Arial" w:cs="Arial"/>
          <w:b/>
          <w:bCs/>
          <w:sz w:val="22"/>
          <w:szCs w:val="22"/>
          <w:lang w:val="en-AU"/>
        </w:rPr>
        <w:t>USA</w:t>
      </w:r>
      <w:r w:rsidR="004A6EE2" w:rsidRPr="00894DE0">
        <w:rPr>
          <w:rFonts w:ascii="Arial" w:hAnsi="Arial" w:cs="Arial"/>
          <w:b/>
          <w:bCs/>
          <w:sz w:val="22"/>
          <w:szCs w:val="22"/>
          <w:lang w:val="en-AU"/>
        </w:rPr>
        <w:t xml:space="preserve">, </w:t>
      </w:r>
      <w:r w:rsidRPr="00894DE0">
        <w:rPr>
          <w:rFonts w:ascii="Arial" w:hAnsi="Arial" w:cs="Arial"/>
          <w:b/>
          <w:bCs/>
          <w:sz w:val="22"/>
          <w:szCs w:val="22"/>
          <w:lang w:val="en-AU"/>
        </w:rPr>
        <w:t>16</w:t>
      </w:r>
      <w:r w:rsidR="008773C7" w:rsidRPr="00894DE0">
        <w:rPr>
          <w:rFonts w:ascii="Arial" w:hAnsi="Arial" w:cs="Arial"/>
          <w:b/>
          <w:bCs/>
          <w:sz w:val="22"/>
          <w:szCs w:val="22"/>
          <w:lang w:val="en-AU"/>
        </w:rPr>
        <w:t xml:space="preserve"> – </w:t>
      </w:r>
      <w:r w:rsidRPr="00894DE0">
        <w:rPr>
          <w:rFonts w:ascii="Arial" w:hAnsi="Arial" w:cs="Arial"/>
          <w:b/>
          <w:bCs/>
          <w:sz w:val="22"/>
          <w:szCs w:val="22"/>
          <w:lang w:val="en-AU"/>
        </w:rPr>
        <w:t>20</w:t>
      </w:r>
      <w:r w:rsidR="00AA4A5D" w:rsidRPr="00894DE0">
        <w:rPr>
          <w:rFonts w:ascii="Arial" w:hAnsi="Arial" w:cs="Arial"/>
          <w:b/>
          <w:bCs/>
          <w:sz w:val="22"/>
          <w:szCs w:val="22"/>
          <w:lang w:val="en-AU"/>
        </w:rPr>
        <w:t xml:space="preserve"> </w:t>
      </w:r>
      <w:r w:rsidRPr="00894DE0">
        <w:rPr>
          <w:rFonts w:ascii="Arial" w:hAnsi="Arial" w:cs="Arial"/>
          <w:b/>
          <w:bCs/>
          <w:sz w:val="22"/>
          <w:szCs w:val="22"/>
          <w:lang w:val="en-AU"/>
        </w:rPr>
        <w:t>November</w:t>
      </w:r>
      <w:r w:rsidR="00AA4A5D" w:rsidRPr="00894DE0">
        <w:rPr>
          <w:rFonts w:ascii="Arial" w:hAnsi="Arial" w:cs="Arial"/>
          <w:b/>
          <w:bCs/>
          <w:sz w:val="22"/>
          <w:szCs w:val="22"/>
          <w:lang w:val="en-AU"/>
        </w:rPr>
        <w:t xml:space="preserve"> 2015</w:t>
      </w:r>
    </w:p>
    <w:p w:rsidR="00AA4A5D" w:rsidRPr="00894DE0" w:rsidRDefault="00AA4A5D" w:rsidP="00AA4A5D">
      <w:pPr>
        <w:pStyle w:val="Header"/>
        <w:rPr>
          <w:b/>
          <w:bCs/>
          <w:lang w:val="en-AU"/>
        </w:rPr>
      </w:pPr>
    </w:p>
    <w:p w:rsidR="00AA4A5D" w:rsidRPr="00894DE0" w:rsidRDefault="00AA4A5D" w:rsidP="00AA4A5D">
      <w:pPr>
        <w:tabs>
          <w:tab w:val="left" w:pos="1820"/>
        </w:tabs>
        <w:spacing w:after="60"/>
        <w:jc w:val="both"/>
        <w:rPr>
          <w:rFonts w:ascii="Arial" w:hAnsi="Arial" w:cs="Arial"/>
          <w:b/>
          <w:bCs/>
          <w:lang w:val="en-AU"/>
        </w:rPr>
      </w:pPr>
      <w:r w:rsidRPr="00894DE0">
        <w:rPr>
          <w:rFonts w:ascii="Arial" w:hAnsi="Arial" w:cs="Arial"/>
          <w:b/>
          <w:lang w:val="en-AU"/>
        </w:rPr>
        <w:t>Agenda Item:</w:t>
      </w:r>
      <w:r w:rsidR="008773C7" w:rsidRPr="00894DE0">
        <w:rPr>
          <w:rFonts w:ascii="Arial" w:hAnsi="Arial" w:cs="Arial"/>
          <w:b/>
          <w:bCs/>
          <w:lang w:val="en-AU"/>
        </w:rPr>
        <w:tab/>
      </w:r>
      <w:r w:rsidR="008626ED" w:rsidRPr="00894DE0">
        <w:rPr>
          <w:rFonts w:ascii="Arial" w:hAnsi="Arial" w:cs="Arial"/>
          <w:b/>
          <w:bCs/>
          <w:lang w:val="en-AU"/>
        </w:rPr>
        <w:t>6.2.8.1.3</w:t>
      </w:r>
    </w:p>
    <w:p w:rsidR="00AA4A5D" w:rsidRPr="00894DE0" w:rsidRDefault="00AA4A5D" w:rsidP="00AA4A5D">
      <w:pPr>
        <w:tabs>
          <w:tab w:val="left" w:pos="1820"/>
        </w:tabs>
        <w:spacing w:after="60"/>
        <w:jc w:val="both"/>
        <w:rPr>
          <w:rFonts w:ascii="Arial" w:hAnsi="Arial" w:cs="Arial"/>
          <w:b/>
          <w:bCs/>
          <w:lang w:val="en-AU"/>
        </w:rPr>
      </w:pPr>
      <w:r w:rsidRPr="00894DE0">
        <w:rPr>
          <w:rFonts w:ascii="Arial" w:hAnsi="Arial" w:cs="Arial"/>
          <w:b/>
          <w:lang w:val="en-AU"/>
        </w:rPr>
        <w:t>Source:</w:t>
      </w:r>
      <w:r w:rsidRPr="00894DE0">
        <w:rPr>
          <w:rFonts w:ascii="Arial" w:hAnsi="Arial" w:cs="Arial"/>
          <w:b/>
          <w:bCs/>
          <w:lang w:val="en-AU"/>
        </w:rPr>
        <w:t xml:space="preserve"> </w:t>
      </w:r>
      <w:r w:rsidRPr="00894DE0">
        <w:rPr>
          <w:rFonts w:ascii="Arial" w:hAnsi="Arial" w:cs="Arial"/>
          <w:b/>
          <w:bCs/>
          <w:lang w:val="en-AU"/>
        </w:rPr>
        <w:tab/>
        <w:t>NEC</w:t>
      </w:r>
    </w:p>
    <w:p w:rsidR="00AA4A5D" w:rsidRPr="00894DE0" w:rsidRDefault="00AA4A5D" w:rsidP="00AA4A5D">
      <w:pPr>
        <w:tabs>
          <w:tab w:val="left" w:pos="1820"/>
        </w:tabs>
        <w:spacing w:after="60"/>
        <w:ind w:left="1820" w:hanging="1820"/>
        <w:rPr>
          <w:rFonts w:ascii="Arial" w:hAnsi="Arial" w:cs="Arial"/>
          <w:b/>
          <w:lang w:val="en-AU"/>
        </w:rPr>
      </w:pPr>
      <w:r w:rsidRPr="00894DE0">
        <w:rPr>
          <w:rFonts w:ascii="Arial" w:hAnsi="Arial" w:cs="Arial"/>
          <w:b/>
          <w:lang w:val="en-AU"/>
        </w:rPr>
        <w:t>Title:</w:t>
      </w:r>
      <w:r w:rsidRPr="00894DE0">
        <w:rPr>
          <w:rFonts w:ascii="Arial" w:hAnsi="Arial" w:cs="Arial"/>
          <w:b/>
          <w:bCs/>
          <w:lang w:val="en-AU"/>
        </w:rPr>
        <w:tab/>
      </w:r>
      <w:r w:rsidR="00BF424D" w:rsidRPr="00894DE0">
        <w:rPr>
          <w:rFonts w:ascii="Arial" w:hAnsi="Arial" w:cs="Arial"/>
          <w:b/>
          <w:bCs/>
          <w:lang w:val="en-AU"/>
        </w:rPr>
        <w:t>Synchronisation in V2X</w:t>
      </w:r>
    </w:p>
    <w:p w:rsidR="00AA4A5D" w:rsidRPr="00894DE0" w:rsidRDefault="00AA4A5D" w:rsidP="00AA4A5D">
      <w:pPr>
        <w:pBdr>
          <w:bottom w:val="single" w:sz="6" w:space="7" w:color="auto"/>
        </w:pBdr>
        <w:tabs>
          <w:tab w:val="left" w:pos="1820"/>
        </w:tabs>
        <w:jc w:val="both"/>
        <w:rPr>
          <w:rFonts w:ascii="Arial" w:eastAsia="MS Mincho" w:hAnsi="Arial" w:cs="Arial"/>
          <w:b/>
          <w:bCs/>
          <w:lang w:val="en-AU" w:eastAsia="ja-JP"/>
        </w:rPr>
      </w:pPr>
      <w:r w:rsidRPr="00894DE0">
        <w:rPr>
          <w:rFonts w:ascii="Arial" w:hAnsi="Arial" w:cs="Arial"/>
          <w:b/>
          <w:lang w:val="en-AU"/>
        </w:rPr>
        <w:t>Document for:</w:t>
      </w:r>
      <w:r w:rsidRPr="00894DE0">
        <w:rPr>
          <w:rFonts w:ascii="Arial" w:hAnsi="Arial" w:cs="Arial"/>
          <w:b/>
          <w:bCs/>
          <w:lang w:val="en-AU"/>
        </w:rPr>
        <w:tab/>
      </w:r>
      <w:r w:rsidR="00907F18" w:rsidRPr="00894DE0">
        <w:rPr>
          <w:rFonts w:ascii="Arial" w:hAnsi="Arial" w:cs="Arial"/>
          <w:b/>
          <w:bCs/>
          <w:lang w:val="en-AU"/>
        </w:rPr>
        <w:t>Discussion</w:t>
      </w:r>
      <w:r w:rsidR="008773C7" w:rsidRPr="00894DE0">
        <w:rPr>
          <w:rFonts w:ascii="Arial" w:hAnsi="Arial" w:cs="Arial"/>
          <w:b/>
          <w:bCs/>
          <w:lang w:val="en-AU"/>
        </w:rPr>
        <w:t>/Decision</w:t>
      </w:r>
    </w:p>
    <w:p w:rsidR="00AA4A5D" w:rsidRPr="00894DE0" w:rsidRDefault="00AA4A5D" w:rsidP="00AA4A5D">
      <w:pPr>
        <w:pStyle w:val="Heading1"/>
        <w:spacing w:after="120"/>
        <w:jc w:val="both"/>
        <w:rPr>
          <w:bCs w:val="0"/>
          <w:sz w:val="22"/>
          <w:szCs w:val="22"/>
          <w:lang w:val="en-AU"/>
        </w:rPr>
      </w:pPr>
      <w:r w:rsidRPr="00894DE0">
        <w:rPr>
          <w:bCs w:val="0"/>
          <w:sz w:val="22"/>
          <w:szCs w:val="22"/>
          <w:lang w:val="en-AU"/>
        </w:rPr>
        <w:t>Introduction</w:t>
      </w:r>
    </w:p>
    <w:p w:rsidR="002204FB" w:rsidRPr="00894DE0" w:rsidRDefault="00EB7FF7" w:rsidP="00C51ACB">
      <w:pPr>
        <w:spacing w:before="120" w:after="120"/>
        <w:jc w:val="both"/>
        <w:rPr>
          <w:bCs/>
          <w:sz w:val="22"/>
          <w:szCs w:val="22"/>
          <w:lang w:val="en-AU" w:eastAsia="en-AU"/>
        </w:rPr>
      </w:pPr>
      <w:r w:rsidRPr="00894DE0">
        <w:rPr>
          <w:bCs/>
          <w:sz w:val="22"/>
          <w:szCs w:val="22"/>
          <w:lang w:val="en-AU" w:eastAsia="en-AU"/>
        </w:rPr>
        <w:t>In RAN1#82bis meeting, method of synchronisation for PC5 based V2V communication was discussed and the following agreements were reached [1].</w:t>
      </w:r>
    </w:p>
    <w:tbl>
      <w:tblPr>
        <w:tblStyle w:val="TableGrid"/>
        <w:tblW w:w="0" w:type="auto"/>
        <w:tblLook w:val="04A0" w:firstRow="1" w:lastRow="0" w:firstColumn="1" w:lastColumn="0" w:noHBand="0" w:noVBand="1"/>
      </w:tblPr>
      <w:tblGrid>
        <w:gridCol w:w="9242"/>
      </w:tblGrid>
      <w:tr w:rsidR="00EB7FF7" w:rsidRPr="00894DE0" w:rsidTr="00EB7FF7">
        <w:tc>
          <w:tcPr>
            <w:tcW w:w="9242" w:type="dxa"/>
          </w:tcPr>
          <w:p w:rsidR="00EB7FF7" w:rsidRPr="00894DE0" w:rsidRDefault="00EB7FF7" w:rsidP="00EB7FF7">
            <w:pPr>
              <w:rPr>
                <w:rFonts w:eastAsia="MS Mincho"/>
                <w:b/>
                <w:iCs/>
                <w:sz w:val="20"/>
                <w:u w:val="single"/>
                <w:lang w:val="en-AU" w:eastAsia="ja-JP"/>
              </w:rPr>
            </w:pPr>
            <w:r w:rsidRPr="00894DE0">
              <w:rPr>
                <w:rFonts w:eastAsia="MS Mincho"/>
                <w:b/>
                <w:iCs/>
                <w:sz w:val="20"/>
                <w:highlight w:val="green"/>
                <w:u w:val="single"/>
                <w:lang w:val="en-AU" w:eastAsia="ja-JP"/>
              </w:rPr>
              <w:t>Agreements:</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“Vehicle” UE indicates UE in PC5 V2V. This terminology is only used for discussion convenience.</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GNSS or GNSS-equivalent is at the highest priority of synchronization source for time and frequency when the vehicle UE directly receives GNSS or GNSS-equivalent with sufficient reliability and the UE does not detect any cell in any carrier.</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eNB instructs vehicle UE to prioritize either eNB-based synchronization or GNSS or GNSS-equivalent at least when the eNB is in the carrier where the vehicle UE operates on PC5 V2V</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Priority of GNSS or GNSS-equivalent for other cases needs further study</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Priority of other synchronization source needs further study</w:t>
            </w:r>
          </w:p>
          <w:p w:rsidR="00EB7FF7" w:rsidRPr="00894DE0" w:rsidRDefault="00EB7FF7" w:rsidP="00EB7FF7">
            <w:pPr>
              <w:numPr>
                <w:ilvl w:val="1"/>
                <w:numId w:val="11"/>
              </w:numPr>
              <w:rPr>
                <w:rFonts w:eastAsia="MS Mincho"/>
                <w:iCs/>
                <w:sz w:val="20"/>
                <w:lang w:val="en-AU" w:eastAsia="ja-JP"/>
              </w:rPr>
            </w:pPr>
            <w:r w:rsidRPr="00894DE0">
              <w:rPr>
                <w:rFonts w:eastAsia="MS Mincho"/>
                <w:iCs/>
                <w:sz w:val="20"/>
                <w:lang w:val="en-AU" w:eastAsia="ja-JP"/>
              </w:rPr>
              <w:t>Scenarios with there is no eNB coverage and GNSS or GNSS-equivalent coverage need to be studied</w:t>
            </w:r>
          </w:p>
          <w:p w:rsidR="00EB7FF7" w:rsidRPr="00894DE0" w:rsidRDefault="00EB7FF7" w:rsidP="00EB7FF7">
            <w:pPr>
              <w:numPr>
                <w:ilvl w:val="2"/>
                <w:numId w:val="11"/>
              </w:numPr>
              <w:rPr>
                <w:rFonts w:eastAsia="MS Mincho"/>
                <w:iCs/>
                <w:sz w:val="20"/>
                <w:lang w:val="en-AU" w:eastAsia="ja-JP"/>
              </w:rPr>
            </w:pPr>
            <w:r w:rsidRPr="00894DE0">
              <w:rPr>
                <w:rFonts w:eastAsia="MS Mincho"/>
                <w:iCs/>
                <w:sz w:val="20"/>
                <w:lang w:val="en-AU" w:eastAsia="ja-JP"/>
              </w:rPr>
              <w:t>RAN1 will not optimize only for this scenario</w:t>
            </w:r>
          </w:p>
          <w:p w:rsidR="00EB7FF7" w:rsidRPr="00894DE0" w:rsidRDefault="00EB7FF7" w:rsidP="00EB7FF7">
            <w:pPr>
              <w:numPr>
                <w:ilvl w:val="2"/>
                <w:numId w:val="11"/>
              </w:numPr>
              <w:rPr>
                <w:rFonts w:eastAsia="MS Mincho"/>
                <w:iCs/>
                <w:sz w:val="20"/>
                <w:lang w:val="en-AU" w:eastAsia="ja-JP"/>
              </w:rPr>
            </w:pPr>
            <w:r w:rsidRPr="00894DE0">
              <w:rPr>
                <w:rFonts w:eastAsia="MS Mincho"/>
                <w:iCs/>
                <w:sz w:val="20"/>
                <w:lang w:val="en-AU" w:eastAsia="ja-JP"/>
              </w:rPr>
              <w:t>This scenario needs to be supported from the synchronization perspective</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RAN1 assumes that eNBs may not always have GNSS or GNSS-equivalent</w:t>
            </w:r>
          </w:p>
          <w:p w:rsidR="00EB7FF7" w:rsidRPr="00894DE0" w:rsidRDefault="00EB7FF7" w:rsidP="00EB7FF7">
            <w:pPr>
              <w:numPr>
                <w:ilvl w:val="1"/>
                <w:numId w:val="11"/>
              </w:numPr>
              <w:rPr>
                <w:rFonts w:eastAsia="MS Mincho"/>
                <w:iCs/>
                <w:sz w:val="20"/>
                <w:lang w:val="en-AU" w:eastAsia="ja-JP"/>
              </w:rPr>
            </w:pPr>
            <w:r w:rsidRPr="00894DE0">
              <w:rPr>
                <w:rFonts w:eastAsia="MS Mincho"/>
                <w:iCs/>
                <w:sz w:val="20"/>
                <w:lang w:val="en-AU" w:eastAsia="ja-JP"/>
              </w:rPr>
              <w:t>Asynchronous network case should be supported.</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Perspectives for further study:</w:t>
            </w:r>
          </w:p>
          <w:p w:rsidR="00EB7FF7" w:rsidRPr="00894DE0" w:rsidRDefault="00EB7FF7" w:rsidP="00EB7FF7">
            <w:pPr>
              <w:numPr>
                <w:ilvl w:val="1"/>
                <w:numId w:val="11"/>
              </w:numPr>
              <w:rPr>
                <w:rFonts w:eastAsia="MS Mincho"/>
                <w:iCs/>
                <w:sz w:val="20"/>
                <w:lang w:val="en-AU" w:eastAsia="ja-JP"/>
              </w:rPr>
            </w:pPr>
            <w:r w:rsidRPr="00894DE0">
              <w:rPr>
                <w:rFonts w:eastAsia="MS Mincho"/>
                <w:iCs/>
                <w:sz w:val="20"/>
                <w:lang w:val="en-AU" w:eastAsia="ja-JP"/>
              </w:rPr>
              <w:t>eNB assistant information, e.g.</w:t>
            </w:r>
          </w:p>
          <w:p w:rsidR="00EB7FF7" w:rsidRPr="00894DE0" w:rsidRDefault="00EB7FF7" w:rsidP="00EB7FF7">
            <w:pPr>
              <w:numPr>
                <w:ilvl w:val="2"/>
                <w:numId w:val="11"/>
              </w:numPr>
              <w:rPr>
                <w:rFonts w:eastAsia="MS Mincho"/>
                <w:iCs/>
                <w:sz w:val="20"/>
                <w:lang w:val="en-AU" w:eastAsia="ja-JP"/>
              </w:rPr>
            </w:pPr>
            <w:r w:rsidRPr="00894DE0">
              <w:rPr>
                <w:rFonts w:eastAsia="MS Mincho"/>
                <w:iCs/>
                <w:sz w:val="20"/>
                <w:lang w:val="en-AU" w:eastAsia="ja-JP"/>
              </w:rPr>
              <w:t>Timing offset to UTC</w:t>
            </w:r>
          </w:p>
          <w:p w:rsidR="00611884" w:rsidRPr="00894DE0" w:rsidRDefault="00EB7FF7" w:rsidP="00611884">
            <w:pPr>
              <w:numPr>
                <w:ilvl w:val="2"/>
                <w:numId w:val="11"/>
              </w:numPr>
              <w:rPr>
                <w:rFonts w:eastAsia="MS Mincho"/>
                <w:iCs/>
                <w:sz w:val="20"/>
                <w:lang w:val="en-AU" w:eastAsia="ja-JP"/>
              </w:rPr>
            </w:pPr>
            <w:r w:rsidRPr="00894DE0">
              <w:rPr>
                <w:rFonts w:eastAsia="MS Mincho"/>
                <w:iCs/>
                <w:sz w:val="20"/>
                <w:lang w:val="en-AU" w:eastAsia="ja-JP"/>
              </w:rPr>
              <w:t>TA or eNB location</w:t>
            </w:r>
          </w:p>
          <w:p w:rsidR="00EB7FF7" w:rsidRPr="00894DE0" w:rsidRDefault="00EB7FF7" w:rsidP="00611884">
            <w:pPr>
              <w:numPr>
                <w:ilvl w:val="2"/>
                <w:numId w:val="11"/>
              </w:numPr>
              <w:rPr>
                <w:rFonts w:eastAsia="MS Mincho"/>
                <w:i/>
                <w:iCs/>
                <w:sz w:val="20"/>
                <w:lang w:val="en-AU" w:eastAsia="ja-JP"/>
              </w:rPr>
            </w:pPr>
            <w:r w:rsidRPr="00894DE0">
              <w:rPr>
                <w:rFonts w:eastAsia="MS Mincho"/>
                <w:iCs/>
                <w:sz w:val="20"/>
                <w:lang w:val="en-AU" w:eastAsia="ja-JP"/>
              </w:rPr>
              <w:t>others</w:t>
            </w:r>
          </w:p>
        </w:tc>
      </w:tr>
    </w:tbl>
    <w:p w:rsidR="001B61B4" w:rsidRPr="00894DE0" w:rsidRDefault="001B61B4" w:rsidP="00894DE0">
      <w:pPr>
        <w:spacing w:before="120" w:after="120"/>
        <w:jc w:val="both"/>
        <w:rPr>
          <w:bCs/>
          <w:sz w:val="22"/>
          <w:szCs w:val="22"/>
          <w:lang w:val="en-AU" w:eastAsia="en-AU"/>
        </w:rPr>
      </w:pPr>
      <w:r w:rsidRPr="00894DE0">
        <w:rPr>
          <w:bCs/>
          <w:sz w:val="22"/>
          <w:szCs w:val="22"/>
          <w:lang w:val="en-AU" w:eastAsia="en-AU"/>
        </w:rPr>
        <w:t xml:space="preserve">From the above agreements, it is clear that GNSS or GNSS-equivalent signal(s) </w:t>
      </w:r>
      <w:r w:rsidR="00DB6140" w:rsidRPr="00894DE0">
        <w:rPr>
          <w:bCs/>
          <w:sz w:val="22"/>
          <w:szCs w:val="22"/>
          <w:lang w:val="en-AU" w:eastAsia="en-AU"/>
        </w:rPr>
        <w:t xml:space="preserve">if available </w:t>
      </w:r>
      <w:r w:rsidRPr="00894DE0">
        <w:rPr>
          <w:bCs/>
          <w:sz w:val="22"/>
          <w:szCs w:val="22"/>
          <w:lang w:val="en-AU" w:eastAsia="en-AU"/>
        </w:rPr>
        <w:t xml:space="preserve">should be used as the basis for V2X timing and frequency synchronisation when </w:t>
      </w:r>
      <w:r w:rsidR="00A954D5">
        <w:rPr>
          <w:bCs/>
          <w:sz w:val="22"/>
          <w:szCs w:val="22"/>
          <w:lang w:val="en-AU" w:eastAsia="en-AU"/>
        </w:rPr>
        <w:t xml:space="preserve">UE is </w:t>
      </w:r>
      <w:r w:rsidRPr="00894DE0">
        <w:rPr>
          <w:bCs/>
          <w:sz w:val="22"/>
          <w:szCs w:val="22"/>
          <w:lang w:val="en-AU" w:eastAsia="en-AU"/>
        </w:rPr>
        <w:t xml:space="preserve">out-of-network coverage (OOC). When in-network coverage (IC) and Uu and PC5 V2V are on the same carrier, eNB </w:t>
      </w:r>
      <w:r w:rsidR="00DB6140" w:rsidRPr="00894DE0">
        <w:rPr>
          <w:bCs/>
          <w:sz w:val="22"/>
          <w:szCs w:val="22"/>
          <w:lang w:val="en-AU" w:eastAsia="en-AU"/>
        </w:rPr>
        <w:t>is able to instruct UE</w:t>
      </w:r>
      <w:r w:rsidRPr="00894DE0">
        <w:rPr>
          <w:bCs/>
          <w:sz w:val="22"/>
          <w:szCs w:val="22"/>
          <w:lang w:val="en-AU" w:eastAsia="en-AU"/>
        </w:rPr>
        <w:t xml:space="preserve"> to follow GNSS(-equivalent) or eNB signals for </w:t>
      </w:r>
      <w:r w:rsidR="00A954D5">
        <w:rPr>
          <w:bCs/>
          <w:sz w:val="22"/>
          <w:szCs w:val="22"/>
          <w:lang w:val="en-AU" w:eastAsia="en-AU"/>
        </w:rPr>
        <w:t xml:space="preserve">V2V </w:t>
      </w:r>
      <w:r w:rsidRPr="00894DE0">
        <w:rPr>
          <w:bCs/>
          <w:sz w:val="22"/>
          <w:szCs w:val="22"/>
          <w:lang w:val="en-AU" w:eastAsia="en-AU"/>
        </w:rPr>
        <w:t xml:space="preserve">timing and frequency synchronisation. </w:t>
      </w:r>
    </w:p>
    <w:p w:rsidR="00240180" w:rsidRPr="00894DE0" w:rsidRDefault="00C51ACB" w:rsidP="00894DE0">
      <w:pPr>
        <w:spacing w:before="120" w:after="120"/>
        <w:jc w:val="both"/>
        <w:rPr>
          <w:bCs/>
          <w:sz w:val="22"/>
          <w:szCs w:val="22"/>
          <w:lang w:val="en-AU" w:eastAsia="en-AU"/>
        </w:rPr>
      </w:pPr>
      <w:r w:rsidRPr="00894DE0">
        <w:rPr>
          <w:bCs/>
          <w:sz w:val="22"/>
          <w:szCs w:val="22"/>
          <w:lang w:val="en-AU" w:eastAsia="en-AU"/>
        </w:rPr>
        <w:t xml:space="preserve">In this contribution, we provide </w:t>
      </w:r>
      <w:r w:rsidR="00100732" w:rsidRPr="00894DE0">
        <w:rPr>
          <w:bCs/>
          <w:sz w:val="22"/>
          <w:szCs w:val="22"/>
          <w:lang w:val="en-AU" w:eastAsia="en-AU"/>
        </w:rPr>
        <w:t>discussions on further eNB assistant information needed as part of synchronisation process for V2X, and some existing signals/channels that may be also required for fine tuning of synchronisation timing</w:t>
      </w:r>
      <w:r w:rsidR="00DB6140" w:rsidRPr="00894DE0">
        <w:rPr>
          <w:bCs/>
          <w:sz w:val="22"/>
          <w:szCs w:val="22"/>
          <w:lang w:val="en-AU" w:eastAsia="en-AU"/>
        </w:rPr>
        <w:t xml:space="preserve"> and frequency</w:t>
      </w:r>
      <w:r w:rsidR="00100732" w:rsidRPr="00894DE0">
        <w:rPr>
          <w:bCs/>
          <w:sz w:val="22"/>
          <w:szCs w:val="22"/>
          <w:lang w:val="en-AU" w:eastAsia="en-AU"/>
        </w:rPr>
        <w:t>.</w:t>
      </w:r>
    </w:p>
    <w:p w:rsidR="00AA4A5D" w:rsidRPr="00894DE0" w:rsidRDefault="008773C7" w:rsidP="00B31292">
      <w:pPr>
        <w:pStyle w:val="Heading1"/>
        <w:spacing w:after="120"/>
        <w:jc w:val="both"/>
        <w:rPr>
          <w:sz w:val="22"/>
          <w:szCs w:val="22"/>
          <w:lang w:val="en-AU" w:eastAsia="en-AU"/>
        </w:rPr>
      </w:pPr>
      <w:r w:rsidRPr="00894DE0">
        <w:rPr>
          <w:sz w:val="22"/>
          <w:szCs w:val="22"/>
          <w:lang w:val="en-AU" w:eastAsia="en-AU"/>
        </w:rPr>
        <w:t>Discussion</w:t>
      </w:r>
    </w:p>
    <w:p w:rsidR="00937414" w:rsidRDefault="00E45D39" w:rsidP="00894DE0">
      <w:pPr>
        <w:spacing w:after="120"/>
        <w:jc w:val="both"/>
        <w:rPr>
          <w:sz w:val="22"/>
          <w:lang w:val="en-AU"/>
        </w:rPr>
      </w:pPr>
      <w:r w:rsidRPr="00894DE0">
        <w:rPr>
          <w:sz w:val="22"/>
          <w:lang w:val="en-AU"/>
        </w:rPr>
        <w:t xml:space="preserve">In [2], </w:t>
      </w:r>
      <w:r w:rsidR="00CF518E" w:rsidRPr="00894DE0">
        <w:rPr>
          <w:sz w:val="22"/>
          <w:lang w:val="en-AU"/>
        </w:rPr>
        <w:t>issue</w:t>
      </w:r>
      <w:r w:rsidRPr="00894DE0">
        <w:rPr>
          <w:sz w:val="22"/>
          <w:lang w:val="en-AU"/>
        </w:rPr>
        <w:t>s</w:t>
      </w:r>
      <w:r w:rsidR="00CF518E" w:rsidRPr="00894DE0">
        <w:rPr>
          <w:sz w:val="22"/>
          <w:lang w:val="en-AU"/>
        </w:rPr>
        <w:t xml:space="preserve"> of </w:t>
      </w:r>
      <w:r w:rsidRPr="00894DE0">
        <w:rPr>
          <w:sz w:val="22"/>
          <w:lang w:val="en-AU"/>
        </w:rPr>
        <w:t xml:space="preserve">reusing the existing </w:t>
      </w:r>
      <w:r w:rsidR="00A67D7C" w:rsidRPr="00894DE0">
        <w:rPr>
          <w:sz w:val="22"/>
          <w:lang w:val="en-AU"/>
        </w:rPr>
        <w:t xml:space="preserve">Rel-12 ProSe </w:t>
      </w:r>
      <w:r w:rsidRPr="00894DE0">
        <w:rPr>
          <w:sz w:val="22"/>
          <w:lang w:val="en-AU"/>
        </w:rPr>
        <w:t>D2D synchronization mechanism</w:t>
      </w:r>
      <w:r w:rsidR="00CF518E" w:rsidRPr="00894DE0">
        <w:rPr>
          <w:sz w:val="22"/>
          <w:lang w:val="en-AU"/>
        </w:rPr>
        <w:t xml:space="preserve"> in d</w:t>
      </w:r>
      <w:r w:rsidRPr="00894DE0">
        <w:rPr>
          <w:sz w:val="22"/>
          <w:lang w:val="en-AU"/>
        </w:rPr>
        <w:t xml:space="preserve">ifferent operating scenarios (same-eNB </w:t>
      </w:r>
      <w:r w:rsidR="00A67D7C" w:rsidRPr="00894DE0">
        <w:rPr>
          <w:sz w:val="22"/>
          <w:lang w:val="en-AU"/>
        </w:rPr>
        <w:t>IC, inter-eNB IC</w:t>
      </w:r>
      <w:r w:rsidR="00CF518E" w:rsidRPr="00894DE0">
        <w:rPr>
          <w:sz w:val="22"/>
          <w:lang w:val="en-AU"/>
        </w:rPr>
        <w:t xml:space="preserve">, OOC, partial-coverage) </w:t>
      </w:r>
      <w:r w:rsidRPr="00894DE0">
        <w:rPr>
          <w:sz w:val="22"/>
          <w:lang w:val="en-AU"/>
        </w:rPr>
        <w:t xml:space="preserve">for V2X are discussed. It is found the current </w:t>
      </w:r>
      <w:r w:rsidR="00A954D5">
        <w:rPr>
          <w:sz w:val="22"/>
          <w:lang w:val="en-AU"/>
        </w:rPr>
        <w:t>ProSe D2D</w:t>
      </w:r>
      <w:r w:rsidR="00A954D5" w:rsidRPr="00894DE0">
        <w:rPr>
          <w:sz w:val="22"/>
          <w:lang w:val="en-AU"/>
        </w:rPr>
        <w:t xml:space="preserve"> </w:t>
      </w:r>
      <w:r w:rsidR="00473DF7" w:rsidRPr="00894DE0">
        <w:rPr>
          <w:sz w:val="22"/>
          <w:lang w:val="en-AU"/>
        </w:rPr>
        <w:t xml:space="preserve">synchronization scheme is insufficient </w:t>
      </w:r>
      <w:r w:rsidR="00A67D7C" w:rsidRPr="00894DE0">
        <w:rPr>
          <w:sz w:val="22"/>
          <w:lang w:val="en-AU"/>
        </w:rPr>
        <w:t>to</w:t>
      </w:r>
      <w:r w:rsidR="00473DF7" w:rsidRPr="00894DE0">
        <w:rPr>
          <w:sz w:val="22"/>
          <w:lang w:val="en-AU"/>
        </w:rPr>
        <w:t xml:space="preserve"> </w:t>
      </w:r>
      <w:r w:rsidR="00A67D7C" w:rsidRPr="00894DE0">
        <w:rPr>
          <w:sz w:val="22"/>
          <w:lang w:val="en-AU"/>
        </w:rPr>
        <w:t>provide</w:t>
      </w:r>
      <w:r w:rsidR="0027212B" w:rsidRPr="00894DE0">
        <w:rPr>
          <w:sz w:val="22"/>
          <w:lang w:val="en-AU"/>
        </w:rPr>
        <w:t xml:space="preserve"> accurate enough </w:t>
      </w:r>
      <w:r w:rsidR="00A67D7C" w:rsidRPr="00894DE0">
        <w:rPr>
          <w:sz w:val="22"/>
          <w:lang w:val="en-AU"/>
        </w:rPr>
        <w:t xml:space="preserve">timing due to propagation delays from different transmissions nodes/terminals. It is recommended that a synchronization source that could provide a global timing </w:t>
      </w:r>
      <w:r w:rsidR="00E732D8">
        <w:rPr>
          <w:sz w:val="22"/>
          <w:lang w:val="en-AU"/>
        </w:rPr>
        <w:t xml:space="preserve">(e.g. GPS signal) </w:t>
      </w:r>
      <w:r w:rsidR="00A67D7C" w:rsidRPr="00894DE0">
        <w:rPr>
          <w:sz w:val="22"/>
          <w:lang w:val="en-AU"/>
        </w:rPr>
        <w:t>to all V2X nodes/terminals would be needed.</w:t>
      </w:r>
    </w:p>
    <w:p w:rsidR="00C7223C" w:rsidRPr="00894DE0" w:rsidRDefault="00E64D21" w:rsidP="00E732D8">
      <w:pPr>
        <w:spacing w:after="180"/>
        <w:jc w:val="both"/>
        <w:rPr>
          <w:sz w:val="22"/>
          <w:lang w:val="en-AU"/>
        </w:rPr>
      </w:pPr>
      <w:r>
        <w:rPr>
          <w:sz w:val="22"/>
          <w:lang w:val="en-AU"/>
        </w:rPr>
        <w:t>F</w:t>
      </w:r>
      <w:r w:rsidR="00C7223C" w:rsidRPr="00894DE0">
        <w:rPr>
          <w:sz w:val="22"/>
          <w:lang w:val="en-AU"/>
        </w:rPr>
        <w:t xml:space="preserve">or a V2X node/device </w:t>
      </w:r>
      <w:r w:rsidR="00B373FC">
        <w:rPr>
          <w:sz w:val="22"/>
          <w:lang w:val="en-AU"/>
        </w:rPr>
        <w:t xml:space="preserve">using GNSS signals as the basis for V2X timing and frequency </w:t>
      </w:r>
      <w:r>
        <w:rPr>
          <w:sz w:val="22"/>
          <w:lang w:val="en-AU"/>
        </w:rPr>
        <w:t>synchronisation</w:t>
      </w:r>
      <w:r w:rsidR="00E242F4">
        <w:rPr>
          <w:sz w:val="22"/>
          <w:lang w:val="en-AU"/>
        </w:rPr>
        <w:t xml:space="preserve"> in OOC</w:t>
      </w:r>
      <w:r>
        <w:rPr>
          <w:sz w:val="22"/>
          <w:lang w:val="en-AU"/>
        </w:rPr>
        <w:t xml:space="preserve">, it </w:t>
      </w:r>
      <w:r w:rsidR="00FE668A">
        <w:rPr>
          <w:sz w:val="22"/>
          <w:lang w:val="en-AU"/>
        </w:rPr>
        <w:t xml:space="preserve">would </w:t>
      </w:r>
      <w:r>
        <w:rPr>
          <w:sz w:val="22"/>
          <w:lang w:val="en-AU"/>
        </w:rPr>
        <w:t xml:space="preserve">also need to know </w:t>
      </w:r>
      <w:r w:rsidR="00C076B9">
        <w:rPr>
          <w:sz w:val="22"/>
          <w:lang w:val="en-AU"/>
        </w:rPr>
        <w:t xml:space="preserve">a </w:t>
      </w:r>
      <w:r w:rsidR="00FE668A">
        <w:rPr>
          <w:sz w:val="22"/>
          <w:lang w:val="en-AU"/>
        </w:rPr>
        <w:t xml:space="preserve">point in time that can be used as a reference timing (e.g. after power-up) to determine the starting point of sidelink radio frame (SFN/VFN=0). This can be </w:t>
      </w:r>
      <w:r w:rsidR="00E242F4">
        <w:rPr>
          <w:sz w:val="22"/>
          <w:lang w:val="en-AU"/>
        </w:rPr>
        <w:t xml:space="preserve">preconfigured </w:t>
      </w:r>
      <w:r w:rsidR="00374AFD">
        <w:rPr>
          <w:sz w:val="22"/>
          <w:lang w:val="en-AU"/>
        </w:rPr>
        <w:t xml:space="preserve">for OOC or configured by eNB for IC </w:t>
      </w:r>
      <w:r w:rsidR="00FE668A">
        <w:rPr>
          <w:sz w:val="22"/>
          <w:lang w:val="en-AU"/>
        </w:rPr>
        <w:t xml:space="preserve">as a </w:t>
      </w:r>
      <w:r w:rsidR="00C076B9">
        <w:rPr>
          <w:sz w:val="22"/>
          <w:lang w:val="en-AU"/>
        </w:rPr>
        <w:t>reference timing (</w:t>
      </w:r>
      <w:r w:rsidR="00C076B9" w:rsidRPr="00C076B9">
        <w:rPr>
          <w:i/>
          <w:sz w:val="22"/>
          <w:lang w:val="en-AU"/>
        </w:rPr>
        <w:t>T</w:t>
      </w:r>
      <w:r w:rsidR="00C076B9" w:rsidRPr="00C076B9">
        <w:rPr>
          <w:i/>
          <w:sz w:val="22"/>
          <w:vertAlign w:val="subscript"/>
          <w:lang w:val="en-AU"/>
        </w:rPr>
        <w:t>REF</w:t>
      </w:r>
      <w:r w:rsidR="00C076B9">
        <w:rPr>
          <w:sz w:val="22"/>
          <w:lang w:val="en-AU"/>
        </w:rPr>
        <w:t>)</w:t>
      </w:r>
      <w:r w:rsidR="00E242F4">
        <w:rPr>
          <w:sz w:val="22"/>
          <w:lang w:val="en-AU"/>
        </w:rPr>
        <w:t xml:space="preserve"> in UTC</w:t>
      </w:r>
      <w:r w:rsidR="00C076B9">
        <w:rPr>
          <w:sz w:val="22"/>
          <w:lang w:val="en-AU"/>
        </w:rPr>
        <w:t xml:space="preserve"> to which the UE can derive the staring of radio frame/subframe for </w:t>
      </w:r>
      <w:r w:rsidR="00FE668A">
        <w:rPr>
          <w:sz w:val="22"/>
          <w:lang w:val="en-AU"/>
        </w:rPr>
        <w:t>V2X operations</w:t>
      </w:r>
      <w:r w:rsidR="00C076B9">
        <w:rPr>
          <w:sz w:val="22"/>
          <w:lang w:val="en-AU"/>
        </w:rPr>
        <w:t xml:space="preserve">. </w:t>
      </w:r>
      <w:r>
        <w:rPr>
          <w:sz w:val="22"/>
          <w:lang w:val="en-AU"/>
        </w:rPr>
        <w:t>T</w:t>
      </w:r>
      <w:r w:rsidR="00C7223C" w:rsidRPr="00894DE0">
        <w:rPr>
          <w:sz w:val="22"/>
          <w:lang w:val="en-AU"/>
        </w:rPr>
        <w:t xml:space="preserve">o determine the </w:t>
      </w:r>
      <w:r w:rsidR="00C7223C" w:rsidRPr="00894DE0">
        <w:rPr>
          <w:sz w:val="22"/>
          <w:lang w:val="en-AU"/>
        </w:rPr>
        <w:lastRenderedPageBreak/>
        <w:t>incoming/next radio frame</w:t>
      </w:r>
      <w:r w:rsidR="00C36B53" w:rsidRPr="00894DE0">
        <w:rPr>
          <w:sz w:val="22"/>
          <w:lang w:val="en-AU"/>
        </w:rPr>
        <w:t>(s) (</w:t>
      </w:r>
      <w:r w:rsidR="00C36B53" w:rsidRPr="00894DE0">
        <w:rPr>
          <w:i/>
          <w:sz w:val="22"/>
          <w:lang w:val="en-AU"/>
        </w:rPr>
        <w:t>Ti</w:t>
      </w:r>
      <w:r w:rsidR="00C36B53" w:rsidRPr="00894DE0">
        <w:rPr>
          <w:sz w:val="22"/>
          <w:lang w:val="en-AU"/>
        </w:rPr>
        <w:t>)</w:t>
      </w:r>
      <w:r w:rsidR="00C7223C" w:rsidRPr="00894DE0">
        <w:rPr>
          <w:sz w:val="22"/>
          <w:lang w:val="en-AU"/>
        </w:rPr>
        <w:t xml:space="preserve"> and subframe</w:t>
      </w:r>
      <w:r w:rsidR="00C36B53" w:rsidRPr="00894DE0">
        <w:rPr>
          <w:sz w:val="22"/>
          <w:lang w:val="en-AU"/>
        </w:rPr>
        <w:t>(s)</w:t>
      </w:r>
      <w:r w:rsidR="00C7223C" w:rsidRPr="00894DE0">
        <w:rPr>
          <w:sz w:val="22"/>
          <w:lang w:val="en-AU"/>
        </w:rPr>
        <w:t xml:space="preserve"> on which it can </w:t>
      </w:r>
      <w:r w:rsidR="00C076B9">
        <w:rPr>
          <w:sz w:val="22"/>
          <w:lang w:val="en-AU"/>
        </w:rPr>
        <w:t>expect synchronisation signals (e.g. SLSS) from other nodes/devices</w:t>
      </w:r>
      <w:r w:rsidR="00C7223C" w:rsidRPr="00894DE0">
        <w:rPr>
          <w:sz w:val="22"/>
          <w:lang w:val="en-AU"/>
        </w:rPr>
        <w:t xml:space="preserve">, </w:t>
      </w:r>
      <w:r w:rsidR="00C076B9">
        <w:rPr>
          <w:sz w:val="22"/>
          <w:lang w:val="en-AU"/>
        </w:rPr>
        <w:t>the</w:t>
      </w:r>
      <w:r w:rsidR="00C36B53" w:rsidRPr="00894DE0">
        <w:rPr>
          <w:sz w:val="22"/>
          <w:lang w:val="en-AU"/>
        </w:rPr>
        <w:t xml:space="preserve"> </w:t>
      </w:r>
      <w:r w:rsidR="00C076B9">
        <w:rPr>
          <w:sz w:val="22"/>
          <w:lang w:val="en-AU"/>
        </w:rPr>
        <w:t xml:space="preserve">above reference timing in </w:t>
      </w:r>
      <w:r w:rsidR="00C36B53" w:rsidRPr="00894DE0">
        <w:rPr>
          <w:sz w:val="22"/>
          <w:lang w:val="en-AU"/>
        </w:rPr>
        <w:t>UT</w:t>
      </w:r>
      <w:r w:rsidR="00C076B9">
        <w:rPr>
          <w:sz w:val="22"/>
          <w:lang w:val="en-AU"/>
        </w:rPr>
        <w:t>C</w:t>
      </w:r>
      <w:r w:rsidR="00C36B53" w:rsidRPr="00894DE0">
        <w:rPr>
          <w:sz w:val="22"/>
          <w:lang w:val="en-AU"/>
        </w:rPr>
        <w:t xml:space="preserve"> (</w:t>
      </w:r>
      <w:r w:rsidR="00C076B9" w:rsidRPr="00C076B9">
        <w:rPr>
          <w:i/>
          <w:sz w:val="22"/>
          <w:lang w:val="en-AU"/>
        </w:rPr>
        <w:t>T</w:t>
      </w:r>
      <w:r w:rsidR="00C076B9" w:rsidRPr="00C076B9">
        <w:rPr>
          <w:i/>
          <w:sz w:val="22"/>
          <w:vertAlign w:val="subscript"/>
          <w:lang w:val="en-AU"/>
        </w:rPr>
        <w:t>REF</w:t>
      </w:r>
      <w:r w:rsidR="00C36B53" w:rsidRPr="00894DE0">
        <w:rPr>
          <w:sz w:val="22"/>
          <w:lang w:val="en-AU"/>
        </w:rPr>
        <w:t>) and a V2X Sync Offset Indicator that satisfy the following relation could be used.</w:t>
      </w:r>
      <w:r w:rsidR="00C076B9">
        <w:rPr>
          <w:sz w:val="22"/>
          <w:lang w:val="en-AU"/>
        </w:rPr>
        <w:t xml:space="preserve"> A relationship diagram of these radio frame timings is depicted in Figure 1.</w:t>
      </w:r>
    </w:p>
    <w:p w:rsidR="00C36B53" w:rsidRPr="00894DE0" w:rsidRDefault="00C076B9" w:rsidP="00E64D21">
      <w:pPr>
        <w:spacing w:after="180"/>
        <w:jc w:val="center"/>
        <w:rPr>
          <w:sz w:val="22"/>
          <w:lang w:val="en-AU"/>
        </w:rPr>
      </w:pPr>
      <w:r w:rsidRPr="00894DE0">
        <w:rPr>
          <w:rFonts w:ascii="Calibri Light" w:hAnsi="Calibri Light"/>
          <w:position w:val="-26"/>
          <w:lang w:val="en-AU"/>
        </w:rPr>
        <w:object w:dxaOrig="553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pt;height:31.7pt" o:ole="">
            <v:imagedata r:id="rId6" o:title=""/>
          </v:shape>
          <o:OLEObject Type="Embed" ProgID="Equation.3" ShapeID="_x0000_i1025" DrawAspect="Content" ObjectID="_1508334386" r:id="rId7"/>
        </w:object>
      </w:r>
    </w:p>
    <w:p w:rsidR="00C076B9" w:rsidRDefault="00C076B9" w:rsidP="00C076B9">
      <w:pPr>
        <w:keepNext/>
        <w:spacing w:after="240"/>
        <w:jc w:val="both"/>
      </w:pPr>
      <w:r w:rsidRPr="00C076B9">
        <w:rPr>
          <w:noProof/>
          <w:lang w:val="en-AU" w:eastAsia="en-AU"/>
        </w:rPr>
        <w:drawing>
          <wp:inline distT="0" distB="0" distL="0" distR="0" wp14:anchorId="7ED4A847" wp14:editId="3F48A34E">
            <wp:extent cx="5530215" cy="2428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30215" cy="2428875"/>
                    </a:xfrm>
                    <a:prstGeom prst="rect">
                      <a:avLst/>
                    </a:prstGeom>
                    <a:noFill/>
                    <a:ln>
                      <a:noFill/>
                    </a:ln>
                  </pic:spPr>
                </pic:pic>
              </a:graphicData>
            </a:graphic>
          </wp:inline>
        </w:drawing>
      </w:r>
    </w:p>
    <w:p w:rsidR="00C076B9" w:rsidRPr="00C076B9" w:rsidRDefault="00C076B9" w:rsidP="00C076B9">
      <w:pPr>
        <w:pStyle w:val="Caption"/>
        <w:spacing w:after="360"/>
        <w:jc w:val="center"/>
        <w:rPr>
          <w:color w:val="auto"/>
          <w:sz w:val="24"/>
          <w:lang w:val="en-AU"/>
        </w:rPr>
      </w:pPr>
      <w:r w:rsidRPr="00C076B9">
        <w:rPr>
          <w:color w:val="auto"/>
          <w:sz w:val="20"/>
        </w:rPr>
        <w:t xml:space="preserve">Figure </w:t>
      </w:r>
      <w:r w:rsidRPr="00C076B9">
        <w:rPr>
          <w:color w:val="auto"/>
          <w:sz w:val="20"/>
        </w:rPr>
        <w:fldChar w:fldCharType="begin"/>
      </w:r>
      <w:r w:rsidRPr="00C076B9">
        <w:rPr>
          <w:color w:val="auto"/>
          <w:sz w:val="20"/>
        </w:rPr>
        <w:instrText xml:space="preserve"> SEQ Figure \* ARABIC </w:instrText>
      </w:r>
      <w:r w:rsidRPr="00C076B9">
        <w:rPr>
          <w:color w:val="auto"/>
          <w:sz w:val="20"/>
        </w:rPr>
        <w:fldChar w:fldCharType="separate"/>
      </w:r>
      <w:r w:rsidRPr="00C076B9">
        <w:rPr>
          <w:noProof/>
          <w:color w:val="auto"/>
          <w:sz w:val="20"/>
        </w:rPr>
        <w:t>1</w:t>
      </w:r>
      <w:r w:rsidRPr="00C076B9">
        <w:rPr>
          <w:color w:val="auto"/>
          <w:sz w:val="20"/>
        </w:rPr>
        <w:fldChar w:fldCharType="end"/>
      </w:r>
      <w:r w:rsidRPr="00C076B9">
        <w:rPr>
          <w:color w:val="auto"/>
          <w:sz w:val="20"/>
        </w:rPr>
        <w:t>: UTC reference timing and radio frame containing synchronization signal relation.</w:t>
      </w:r>
    </w:p>
    <w:p w:rsidR="00C36B53" w:rsidRPr="00894DE0" w:rsidRDefault="00AE1EC1" w:rsidP="00C076B9">
      <w:pPr>
        <w:spacing w:after="240"/>
        <w:jc w:val="both"/>
        <w:rPr>
          <w:sz w:val="22"/>
          <w:lang w:val="en-AU"/>
        </w:rPr>
      </w:pPr>
      <w:r>
        <w:rPr>
          <w:sz w:val="22"/>
          <w:lang w:val="en-AU"/>
        </w:rPr>
        <w:t>Additionally</w:t>
      </w:r>
      <w:r w:rsidR="00374AFD">
        <w:rPr>
          <w:sz w:val="22"/>
          <w:lang w:val="en-AU"/>
        </w:rPr>
        <w:t xml:space="preserve"> to help with fine tuning of synchronisation timing and frequency</w:t>
      </w:r>
      <w:r>
        <w:rPr>
          <w:sz w:val="22"/>
          <w:lang w:val="en-AU"/>
        </w:rPr>
        <w:t>, a</w:t>
      </w:r>
      <w:r w:rsidR="00894DE0" w:rsidRPr="00894DE0">
        <w:rPr>
          <w:sz w:val="22"/>
          <w:lang w:val="en-AU"/>
        </w:rPr>
        <w:t xml:space="preserve"> V2X device equipped on a RSU </w:t>
      </w:r>
      <w:r w:rsidR="00E732D8">
        <w:rPr>
          <w:sz w:val="22"/>
          <w:lang w:val="en-AU"/>
        </w:rPr>
        <w:t>could</w:t>
      </w:r>
      <w:r w:rsidR="00894DE0" w:rsidRPr="00894DE0">
        <w:rPr>
          <w:sz w:val="22"/>
          <w:lang w:val="en-AU"/>
        </w:rPr>
        <w:t xml:space="preserve"> be preconfigured to periodically transmit synchronisation signal(s) </w:t>
      </w:r>
      <w:r>
        <w:rPr>
          <w:sz w:val="22"/>
          <w:lang w:val="en-AU"/>
        </w:rPr>
        <w:t>over the PC5</w:t>
      </w:r>
      <w:r w:rsidR="00894DE0" w:rsidRPr="00894DE0">
        <w:rPr>
          <w:sz w:val="22"/>
          <w:lang w:val="en-AU"/>
        </w:rPr>
        <w:t xml:space="preserve"> interface in </w:t>
      </w:r>
      <w:r>
        <w:rPr>
          <w:sz w:val="22"/>
          <w:lang w:val="en-AU"/>
        </w:rPr>
        <w:t xml:space="preserve">the above determined </w:t>
      </w:r>
      <w:r w:rsidR="00894DE0" w:rsidRPr="00894DE0">
        <w:rPr>
          <w:sz w:val="22"/>
          <w:lang w:val="en-AU"/>
        </w:rPr>
        <w:t xml:space="preserve">subframes and radio frames </w:t>
      </w:r>
      <w:r w:rsidR="00374AFD">
        <w:rPr>
          <w:sz w:val="22"/>
          <w:lang w:val="en-AU"/>
        </w:rPr>
        <w:t xml:space="preserve">for </w:t>
      </w:r>
      <w:r w:rsidR="00894DE0" w:rsidRPr="00894DE0">
        <w:rPr>
          <w:sz w:val="22"/>
          <w:lang w:val="en-AU"/>
        </w:rPr>
        <w:t xml:space="preserve">providing reference timing within its proximity. On the other hand, a V2X device equipped on a vehicle </w:t>
      </w:r>
      <w:r>
        <w:rPr>
          <w:sz w:val="22"/>
          <w:lang w:val="en-AU"/>
        </w:rPr>
        <w:t>can</w:t>
      </w:r>
      <w:r w:rsidR="00894DE0" w:rsidRPr="00894DE0">
        <w:rPr>
          <w:sz w:val="22"/>
          <w:lang w:val="en-AU"/>
        </w:rPr>
        <w:t xml:space="preserve"> further perform fine-time synchronisation by scanning the preconfigured carrier frequencies for existing synchronisation signal</w:t>
      </w:r>
      <w:r w:rsidR="00D22591">
        <w:rPr>
          <w:sz w:val="22"/>
          <w:lang w:val="en-AU"/>
        </w:rPr>
        <w:t>(s)</w:t>
      </w:r>
      <w:r w:rsidR="00894DE0" w:rsidRPr="00894DE0">
        <w:rPr>
          <w:sz w:val="22"/>
          <w:lang w:val="en-AU"/>
        </w:rPr>
        <w:t xml:space="preserve">. Upon detecting an infrastructure (i.e. RSU) originated synchronisation signal(s), a </w:t>
      </w:r>
      <w:r w:rsidR="00791AC2">
        <w:rPr>
          <w:sz w:val="22"/>
          <w:lang w:val="en-AU"/>
        </w:rPr>
        <w:t>vehicular</w:t>
      </w:r>
      <w:r w:rsidR="00894DE0" w:rsidRPr="00894DE0">
        <w:rPr>
          <w:sz w:val="22"/>
          <w:lang w:val="en-AU"/>
        </w:rPr>
        <w:t xml:space="preserve"> V2X device may align its clock i.e. internal time for further V2X message transmission/reception. Upon detecting only vehicle originated synchronisation signal(s), a </w:t>
      </w:r>
      <w:r w:rsidR="00791AC2">
        <w:rPr>
          <w:sz w:val="22"/>
          <w:lang w:val="en-AU"/>
        </w:rPr>
        <w:t>vehicular</w:t>
      </w:r>
      <w:r w:rsidR="00791AC2" w:rsidRPr="00894DE0">
        <w:rPr>
          <w:sz w:val="22"/>
          <w:lang w:val="en-AU"/>
        </w:rPr>
        <w:t xml:space="preserve"> </w:t>
      </w:r>
      <w:r w:rsidR="00894DE0" w:rsidRPr="00894DE0">
        <w:rPr>
          <w:sz w:val="22"/>
          <w:lang w:val="en-AU"/>
        </w:rPr>
        <w:t xml:space="preserve">V2X device may align its clock for further V2X application messages transmission/reception and further participate in maintaining the local reference timing by periodically performing contention together with existing </w:t>
      </w:r>
      <w:r w:rsidR="00791AC2">
        <w:rPr>
          <w:sz w:val="22"/>
          <w:lang w:val="en-AU"/>
        </w:rPr>
        <w:t>vehicular</w:t>
      </w:r>
      <w:r w:rsidR="00791AC2" w:rsidRPr="00894DE0">
        <w:rPr>
          <w:sz w:val="22"/>
          <w:lang w:val="en-AU"/>
        </w:rPr>
        <w:t xml:space="preserve"> </w:t>
      </w:r>
      <w:r w:rsidR="00894DE0" w:rsidRPr="00894DE0">
        <w:rPr>
          <w:sz w:val="22"/>
          <w:lang w:val="en-AU"/>
        </w:rPr>
        <w:t xml:space="preserve">X2V devices in the local proximity for its synchronisation signal transmission. Upon detecting no synchronisation signal(s), a </w:t>
      </w:r>
      <w:r w:rsidR="00791AC2">
        <w:rPr>
          <w:sz w:val="22"/>
          <w:lang w:val="en-AU"/>
        </w:rPr>
        <w:t>vehicular</w:t>
      </w:r>
      <w:r w:rsidR="00791AC2" w:rsidRPr="00894DE0">
        <w:rPr>
          <w:sz w:val="22"/>
          <w:lang w:val="en-AU"/>
        </w:rPr>
        <w:t xml:space="preserve"> </w:t>
      </w:r>
      <w:r w:rsidR="00894DE0" w:rsidRPr="00894DE0">
        <w:rPr>
          <w:sz w:val="22"/>
          <w:lang w:val="en-AU"/>
        </w:rPr>
        <w:t>V2X device may use its internal clock as reference time for synchronisation signal transmission, providing reference timing for further V2X message transmission and/or reception within it</w:t>
      </w:r>
      <w:r w:rsidR="00791AC2">
        <w:rPr>
          <w:sz w:val="22"/>
          <w:lang w:val="en-AU"/>
        </w:rPr>
        <w:t>s</w:t>
      </w:r>
      <w:r w:rsidR="00894DE0" w:rsidRPr="00894DE0">
        <w:rPr>
          <w:sz w:val="22"/>
          <w:lang w:val="en-AU"/>
        </w:rPr>
        <w:t xml:space="preserve"> range.</w:t>
      </w:r>
    </w:p>
    <w:p w:rsidR="00894DE0" w:rsidRDefault="00894DE0" w:rsidP="00E64D21">
      <w:pPr>
        <w:jc w:val="both"/>
        <w:rPr>
          <w:rFonts w:eastAsia="MS Mincho"/>
          <w:b/>
          <w:i/>
          <w:iCs/>
          <w:sz w:val="22"/>
          <w:szCs w:val="22"/>
          <w:lang w:val="en-AU" w:eastAsia="ja-JP"/>
        </w:rPr>
      </w:pPr>
      <w:r w:rsidRPr="00894DE0">
        <w:rPr>
          <w:rFonts w:eastAsia="MS Mincho"/>
          <w:b/>
          <w:i/>
          <w:iCs/>
          <w:sz w:val="22"/>
          <w:szCs w:val="22"/>
          <w:lang w:val="en-AU" w:eastAsia="ja-JP"/>
        </w:rPr>
        <w:t>Proposal</w:t>
      </w:r>
      <w:r>
        <w:rPr>
          <w:rFonts w:eastAsia="MS Mincho"/>
          <w:b/>
          <w:i/>
          <w:iCs/>
          <w:sz w:val="22"/>
          <w:szCs w:val="22"/>
          <w:lang w:val="en-AU" w:eastAsia="ja-JP"/>
        </w:rPr>
        <w:t xml:space="preserve"> 1</w:t>
      </w:r>
      <w:r w:rsidRPr="00894DE0">
        <w:rPr>
          <w:rFonts w:eastAsia="MS Mincho"/>
          <w:b/>
          <w:i/>
          <w:iCs/>
          <w:sz w:val="22"/>
          <w:szCs w:val="22"/>
          <w:lang w:val="en-AU" w:eastAsia="ja-JP"/>
        </w:rPr>
        <w:t xml:space="preserve">: </w:t>
      </w:r>
      <w:r>
        <w:rPr>
          <w:rFonts w:eastAsia="MS Mincho"/>
          <w:b/>
          <w:i/>
          <w:iCs/>
          <w:sz w:val="22"/>
          <w:szCs w:val="22"/>
          <w:lang w:val="en-AU" w:eastAsia="ja-JP"/>
        </w:rPr>
        <w:t xml:space="preserve">For coarse timing synchronisation, a pre-configured or network configured </w:t>
      </w:r>
      <w:r w:rsidR="00FE668A">
        <w:rPr>
          <w:rFonts w:eastAsia="MS Mincho"/>
          <w:b/>
          <w:i/>
          <w:iCs/>
          <w:sz w:val="22"/>
          <w:szCs w:val="22"/>
          <w:lang w:val="en-AU" w:eastAsia="ja-JP"/>
        </w:rPr>
        <w:t xml:space="preserve">reference </w:t>
      </w:r>
      <w:r>
        <w:rPr>
          <w:rFonts w:eastAsia="MS Mincho"/>
          <w:b/>
          <w:i/>
          <w:iCs/>
          <w:sz w:val="22"/>
          <w:szCs w:val="22"/>
          <w:lang w:val="en-AU" w:eastAsia="ja-JP"/>
        </w:rPr>
        <w:t xml:space="preserve">timing </w:t>
      </w:r>
      <w:r w:rsidR="00FE668A">
        <w:rPr>
          <w:rFonts w:eastAsia="MS Mincho"/>
          <w:b/>
          <w:i/>
          <w:iCs/>
          <w:sz w:val="22"/>
          <w:szCs w:val="22"/>
          <w:lang w:val="en-AU" w:eastAsia="ja-JP"/>
        </w:rPr>
        <w:t xml:space="preserve">in UTC </w:t>
      </w:r>
      <w:r>
        <w:rPr>
          <w:rFonts w:eastAsia="MS Mincho"/>
          <w:b/>
          <w:i/>
          <w:iCs/>
          <w:sz w:val="22"/>
          <w:szCs w:val="22"/>
          <w:lang w:val="en-AU" w:eastAsia="ja-JP"/>
        </w:rPr>
        <w:t>should be used to determine the starting radio frame(s) and subframe(s) for V2X operation.</w:t>
      </w:r>
    </w:p>
    <w:p w:rsidR="00894DE0" w:rsidRDefault="00894DE0" w:rsidP="00894DE0">
      <w:pPr>
        <w:jc w:val="both"/>
        <w:rPr>
          <w:rFonts w:eastAsia="MS Mincho"/>
          <w:b/>
          <w:i/>
          <w:iCs/>
          <w:sz w:val="22"/>
          <w:szCs w:val="22"/>
          <w:lang w:val="en-AU" w:eastAsia="ja-JP"/>
        </w:rPr>
      </w:pPr>
    </w:p>
    <w:p w:rsidR="005D4B8B" w:rsidRDefault="00894DE0" w:rsidP="00894DE0">
      <w:pPr>
        <w:jc w:val="both"/>
        <w:rPr>
          <w:rFonts w:eastAsia="MS Mincho"/>
          <w:b/>
          <w:i/>
          <w:iCs/>
          <w:sz w:val="22"/>
          <w:szCs w:val="22"/>
          <w:lang w:val="en-AU" w:eastAsia="ja-JP"/>
        </w:rPr>
      </w:pPr>
      <w:r>
        <w:rPr>
          <w:rFonts w:eastAsia="MS Mincho"/>
          <w:b/>
          <w:i/>
          <w:iCs/>
          <w:sz w:val="22"/>
          <w:szCs w:val="22"/>
          <w:lang w:val="en-AU" w:eastAsia="ja-JP"/>
        </w:rPr>
        <w:t xml:space="preserve">Observation 1: </w:t>
      </w:r>
      <w:r w:rsidR="00AE1EC1">
        <w:rPr>
          <w:rFonts w:eastAsia="MS Mincho"/>
          <w:b/>
          <w:i/>
          <w:iCs/>
          <w:sz w:val="22"/>
          <w:szCs w:val="22"/>
          <w:lang w:val="en-AU" w:eastAsia="ja-JP"/>
        </w:rPr>
        <w:t>By scanning and detecting existing synchronisation signals, vehicular V2X devices can further fine-tune its synchronisation timing to align with other devices within its proximity.</w:t>
      </w:r>
    </w:p>
    <w:p w:rsidR="005D4B8B" w:rsidRDefault="005D4B8B" w:rsidP="00894DE0">
      <w:pPr>
        <w:jc w:val="both"/>
        <w:rPr>
          <w:rFonts w:eastAsia="MS Mincho"/>
          <w:b/>
          <w:i/>
          <w:iCs/>
          <w:sz w:val="22"/>
          <w:szCs w:val="22"/>
          <w:lang w:val="en-AU" w:eastAsia="ja-JP"/>
        </w:rPr>
      </w:pPr>
    </w:p>
    <w:p w:rsidR="00894DE0" w:rsidRPr="00894DE0" w:rsidRDefault="005D4B8B" w:rsidP="00894DE0">
      <w:pPr>
        <w:jc w:val="both"/>
        <w:rPr>
          <w:rFonts w:eastAsia="MS Mincho"/>
          <w:b/>
          <w:i/>
          <w:iCs/>
          <w:sz w:val="22"/>
          <w:szCs w:val="22"/>
          <w:lang w:val="en-AU" w:eastAsia="ja-JP"/>
        </w:rPr>
      </w:pPr>
      <w:r>
        <w:rPr>
          <w:rFonts w:eastAsia="MS Mincho"/>
          <w:b/>
          <w:i/>
          <w:iCs/>
          <w:sz w:val="22"/>
          <w:szCs w:val="22"/>
          <w:lang w:val="en-AU" w:eastAsia="ja-JP"/>
        </w:rPr>
        <w:t xml:space="preserve">Proposal 2: </w:t>
      </w:r>
      <w:r w:rsidR="00894DE0">
        <w:rPr>
          <w:rFonts w:eastAsia="MS Mincho"/>
          <w:b/>
          <w:i/>
          <w:iCs/>
          <w:sz w:val="22"/>
          <w:szCs w:val="22"/>
          <w:lang w:val="en-AU" w:eastAsia="ja-JP"/>
        </w:rPr>
        <w:t xml:space="preserve"> </w:t>
      </w:r>
      <w:r>
        <w:rPr>
          <w:rFonts w:eastAsia="MS Mincho"/>
          <w:b/>
          <w:i/>
          <w:iCs/>
          <w:sz w:val="22"/>
          <w:szCs w:val="22"/>
          <w:lang w:val="en-AU" w:eastAsia="ja-JP"/>
        </w:rPr>
        <w:t>For fine-tuning of V2X timing and frequency synchronisation, existing synchronisation or reference signals (PSS/SSS, SLSS and/or DMRS in PSBCH) should be make available in V2X.</w:t>
      </w:r>
    </w:p>
    <w:p w:rsidR="008773C7" w:rsidRPr="00894DE0" w:rsidRDefault="008773C7" w:rsidP="00894DE0">
      <w:pPr>
        <w:pStyle w:val="Heading1"/>
        <w:spacing w:after="120"/>
        <w:jc w:val="both"/>
        <w:rPr>
          <w:sz w:val="22"/>
          <w:szCs w:val="22"/>
          <w:lang w:val="en-AU" w:eastAsia="en-AU"/>
        </w:rPr>
      </w:pPr>
      <w:r w:rsidRPr="00894DE0">
        <w:rPr>
          <w:sz w:val="22"/>
          <w:szCs w:val="22"/>
          <w:lang w:val="en-AU" w:eastAsia="en-AU"/>
        </w:rPr>
        <w:lastRenderedPageBreak/>
        <w:t>Conclusion</w:t>
      </w:r>
    </w:p>
    <w:p w:rsidR="008773C7" w:rsidRDefault="00374AFD" w:rsidP="00894DE0">
      <w:pPr>
        <w:spacing w:after="240"/>
        <w:jc w:val="both"/>
        <w:rPr>
          <w:bCs/>
          <w:sz w:val="22"/>
          <w:szCs w:val="22"/>
          <w:lang w:val="en-AU" w:eastAsia="en-AU"/>
        </w:rPr>
      </w:pPr>
      <w:r w:rsidRPr="009966D8">
        <w:rPr>
          <w:bCs/>
          <w:sz w:val="22"/>
          <w:szCs w:val="22"/>
          <w:lang w:val="en-AU" w:eastAsia="en-AU"/>
        </w:rPr>
        <w:t xml:space="preserve">In this contribution, we visited the issue of insufficiency of reusing the existing ProSe D2D synchronisation mechanism for V2X operations and provided discussions on further eNB assistant information needed as part of synchronisation process for V2X, and some existing signals/channels </w:t>
      </w:r>
      <w:r w:rsidRPr="00894DE0">
        <w:rPr>
          <w:bCs/>
          <w:sz w:val="22"/>
          <w:szCs w:val="22"/>
          <w:lang w:val="en-AU" w:eastAsia="en-AU"/>
        </w:rPr>
        <w:t>that may be also required for fine tuning of synchronisation timing and frequency.</w:t>
      </w:r>
    </w:p>
    <w:p w:rsidR="00374AFD" w:rsidRDefault="00374AFD" w:rsidP="00894DE0">
      <w:pPr>
        <w:spacing w:after="240"/>
        <w:jc w:val="both"/>
        <w:rPr>
          <w:bCs/>
          <w:sz w:val="22"/>
          <w:szCs w:val="22"/>
          <w:lang w:val="en-AU" w:eastAsia="en-AU"/>
        </w:rPr>
      </w:pPr>
      <w:r>
        <w:rPr>
          <w:bCs/>
          <w:sz w:val="22"/>
          <w:szCs w:val="22"/>
          <w:lang w:val="en-AU" w:eastAsia="en-AU"/>
        </w:rPr>
        <w:t>In summary:</w:t>
      </w:r>
    </w:p>
    <w:p w:rsidR="00374AFD" w:rsidRDefault="00374AFD" w:rsidP="00374AFD">
      <w:pPr>
        <w:jc w:val="both"/>
        <w:rPr>
          <w:rFonts w:eastAsia="MS Mincho"/>
          <w:b/>
          <w:i/>
          <w:iCs/>
          <w:sz w:val="22"/>
          <w:szCs w:val="22"/>
          <w:lang w:val="en-AU" w:eastAsia="ja-JP"/>
        </w:rPr>
      </w:pPr>
      <w:r w:rsidRPr="00894DE0">
        <w:rPr>
          <w:rFonts w:eastAsia="MS Mincho"/>
          <w:b/>
          <w:i/>
          <w:iCs/>
          <w:sz w:val="22"/>
          <w:szCs w:val="22"/>
          <w:lang w:val="en-AU" w:eastAsia="ja-JP"/>
        </w:rPr>
        <w:t>Proposal</w:t>
      </w:r>
      <w:r>
        <w:rPr>
          <w:rFonts w:eastAsia="MS Mincho"/>
          <w:b/>
          <w:i/>
          <w:iCs/>
          <w:sz w:val="22"/>
          <w:szCs w:val="22"/>
          <w:lang w:val="en-AU" w:eastAsia="ja-JP"/>
        </w:rPr>
        <w:t xml:space="preserve"> 1</w:t>
      </w:r>
      <w:r w:rsidRPr="00894DE0">
        <w:rPr>
          <w:rFonts w:eastAsia="MS Mincho"/>
          <w:b/>
          <w:i/>
          <w:iCs/>
          <w:sz w:val="22"/>
          <w:szCs w:val="22"/>
          <w:lang w:val="en-AU" w:eastAsia="ja-JP"/>
        </w:rPr>
        <w:t xml:space="preserve">: </w:t>
      </w:r>
      <w:r>
        <w:rPr>
          <w:rFonts w:eastAsia="MS Mincho"/>
          <w:b/>
          <w:i/>
          <w:iCs/>
          <w:sz w:val="22"/>
          <w:szCs w:val="22"/>
          <w:lang w:val="en-AU" w:eastAsia="ja-JP"/>
        </w:rPr>
        <w:t>For coarse timing synchronisation, a pre-configured or network configured reference timing in UTC should be used to determine the starting radio frame(s) and subframe(s) for V2X operation.</w:t>
      </w:r>
    </w:p>
    <w:p w:rsidR="00374AFD" w:rsidRDefault="00374AFD" w:rsidP="00374AFD">
      <w:pPr>
        <w:jc w:val="both"/>
        <w:rPr>
          <w:rFonts w:eastAsia="MS Mincho"/>
          <w:b/>
          <w:i/>
          <w:iCs/>
          <w:sz w:val="22"/>
          <w:szCs w:val="22"/>
          <w:lang w:val="en-AU" w:eastAsia="ja-JP"/>
        </w:rPr>
      </w:pPr>
    </w:p>
    <w:p w:rsidR="00374AFD" w:rsidRDefault="00374AFD" w:rsidP="00374AFD">
      <w:pPr>
        <w:jc w:val="both"/>
        <w:rPr>
          <w:rFonts w:eastAsia="MS Mincho"/>
          <w:b/>
          <w:i/>
          <w:iCs/>
          <w:sz w:val="22"/>
          <w:szCs w:val="22"/>
          <w:lang w:val="en-AU" w:eastAsia="ja-JP"/>
        </w:rPr>
      </w:pPr>
      <w:r>
        <w:rPr>
          <w:rFonts w:eastAsia="MS Mincho"/>
          <w:b/>
          <w:i/>
          <w:iCs/>
          <w:sz w:val="22"/>
          <w:szCs w:val="22"/>
          <w:lang w:val="en-AU" w:eastAsia="ja-JP"/>
        </w:rPr>
        <w:t>Observation 1: By scanning and detecting existing synchronisation signals, vehicular V2X devices can further fine-tune its synchronisation timing to align with other devices within its proximity.</w:t>
      </w:r>
    </w:p>
    <w:p w:rsidR="00374AFD" w:rsidRDefault="00374AFD" w:rsidP="00374AFD">
      <w:pPr>
        <w:jc w:val="both"/>
        <w:rPr>
          <w:rFonts w:eastAsia="MS Mincho"/>
          <w:b/>
          <w:i/>
          <w:iCs/>
          <w:sz w:val="22"/>
          <w:szCs w:val="22"/>
          <w:lang w:val="en-AU" w:eastAsia="ja-JP"/>
        </w:rPr>
      </w:pPr>
    </w:p>
    <w:p w:rsidR="00374AFD" w:rsidRPr="00894DE0" w:rsidRDefault="00374AFD" w:rsidP="00374AFD">
      <w:pPr>
        <w:jc w:val="both"/>
        <w:rPr>
          <w:rFonts w:eastAsia="MS Mincho"/>
          <w:b/>
          <w:i/>
          <w:iCs/>
          <w:sz w:val="22"/>
          <w:szCs w:val="22"/>
          <w:lang w:val="en-AU" w:eastAsia="ja-JP"/>
        </w:rPr>
      </w:pPr>
      <w:r>
        <w:rPr>
          <w:rFonts w:eastAsia="MS Mincho"/>
          <w:b/>
          <w:i/>
          <w:iCs/>
          <w:sz w:val="22"/>
          <w:szCs w:val="22"/>
          <w:lang w:val="en-AU" w:eastAsia="ja-JP"/>
        </w:rPr>
        <w:t>Proposal 2:  For fine-tuning of V2X timing and frequency synchronisation, existing synchronisation or reference signals (PSS/SSS, SLSS and/or DMRS in PSBCH) should be make available in V2X.</w:t>
      </w:r>
    </w:p>
    <w:p w:rsidR="00374AFD" w:rsidRPr="00894DE0" w:rsidRDefault="00374AFD" w:rsidP="00894DE0">
      <w:pPr>
        <w:spacing w:after="240"/>
        <w:jc w:val="both"/>
        <w:rPr>
          <w:bCs/>
          <w:color w:val="FF0000"/>
          <w:sz w:val="22"/>
          <w:szCs w:val="22"/>
          <w:lang w:val="en-AU" w:eastAsia="en-AU"/>
        </w:rPr>
      </w:pPr>
    </w:p>
    <w:p w:rsidR="008773C7" w:rsidRPr="00894DE0" w:rsidRDefault="008773C7" w:rsidP="00894DE0">
      <w:pPr>
        <w:pStyle w:val="Heading1"/>
        <w:numPr>
          <w:ilvl w:val="0"/>
          <w:numId w:val="0"/>
        </w:numPr>
        <w:spacing w:after="120"/>
        <w:ind w:left="425" w:hanging="425"/>
        <w:jc w:val="both"/>
        <w:rPr>
          <w:sz w:val="22"/>
          <w:szCs w:val="22"/>
          <w:lang w:val="en-AU" w:eastAsia="en-AU"/>
        </w:rPr>
      </w:pPr>
      <w:r w:rsidRPr="00894DE0">
        <w:rPr>
          <w:sz w:val="22"/>
          <w:szCs w:val="22"/>
          <w:lang w:val="en-AU" w:eastAsia="en-AU"/>
        </w:rPr>
        <w:t>References</w:t>
      </w:r>
    </w:p>
    <w:p w:rsidR="008744C0" w:rsidRPr="00894DE0" w:rsidRDefault="008744C0" w:rsidP="00894DE0">
      <w:pPr>
        <w:tabs>
          <w:tab w:val="left" w:pos="567"/>
        </w:tabs>
        <w:jc w:val="both"/>
        <w:rPr>
          <w:sz w:val="22"/>
          <w:lang w:val="en-AU"/>
        </w:rPr>
      </w:pPr>
      <w:r w:rsidRPr="00894DE0">
        <w:rPr>
          <w:sz w:val="22"/>
          <w:lang w:val="en-AU"/>
        </w:rPr>
        <w:t>[1]</w:t>
      </w:r>
      <w:r w:rsidRPr="00894DE0">
        <w:rPr>
          <w:sz w:val="22"/>
          <w:lang w:val="en-AU"/>
        </w:rPr>
        <w:tab/>
      </w:r>
      <w:r w:rsidR="00BD51B2" w:rsidRPr="00894DE0">
        <w:rPr>
          <w:sz w:val="22"/>
          <w:lang w:val="en-AU"/>
        </w:rPr>
        <w:t xml:space="preserve">RAN1Chairman’s notes (final </w:t>
      </w:r>
      <w:r w:rsidR="002204FB" w:rsidRPr="00894DE0">
        <w:rPr>
          <w:sz w:val="22"/>
          <w:lang w:val="en-AU"/>
        </w:rPr>
        <w:t>version), RAN1#82Bis</w:t>
      </w:r>
      <w:r w:rsidR="00BD51B2" w:rsidRPr="00894DE0">
        <w:rPr>
          <w:sz w:val="22"/>
          <w:lang w:val="en-AU"/>
        </w:rPr>
        <w:t>.</w:t>
      </w:r>
    </w:p>
    <w:p w:rsidR="002204FB" w:rsidRPr="00894DE0" w:rsidRDefault="002204FB" w:rsidP="00894DE0">
      <w:pPr>
        <w:tabs>
          <w:tab w:val="left" w:pos="567"/>
        </w:tabs>
        <w:jc w:val="both"/>
        <w:rPr>
          <w:sz w:val="22"/>
          <w:lang w:val="en-AU"/>
        </w:rPr>
      </w:pPr>
      <w:r w:rsidRPr="00894DE0">
        <w:rPr>
          <w:sz w:val="22"/>
          <w:lang w:val="en-AU"/>
        </w:rPr>
        <w:t>[2]</w:t>
      </w:r>
      <w:r w:rsidRPr="00894DE0">
        <w:rPr>
          <w:sz w:val="22"/>
          <w:lang w:val="en-AU"/>
        </w:rPr>
        <w:tab/>
      </w:r>
      <w:r w:rsidR="00A643B4" w:rsidRPr="00894DE0">
        <w:rPr>
          <w:sz w:val="22"/>
          <w:lang w:val="en-AU"/>
        </w:rPr>
        <w:t xml:space="preserve">R1-155224 “On synchronization issues in PC5-based V2V”, </w:t>
      </w:r>
      <w:r w:rsidRPr="00894DE0">
        <w:rPr>
          <w:sz w:val="22"/>
          <w:lang w:val="en-AU"/>
        </w:rPr>
        <w:t>CATT</w:t>
      </w:r>
    </w:p>
    <w:sectPr w:rsidR="002204FB" w:rsidRPr="00894D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4">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6">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1">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7"/>
  </w:num>
  <w:num w:numId="3">
    <w:abstractNumId w:val="1"/>
  </w:num>
  <w:num w:numId="4">
    <w:abstractNumId w:val="6"/>
  </w:num>
  <w:num w:numId="5">
    <w:abstractNumId w:val="9"/>
  </w:num>
  <w:num w:numId="6">
    <w:abstractNumId w:val="3"/>
  </w:num>
  <w:num w:numId="7">
    <w:abstractNumId w:val="11"/>
  </w:num>
  <w:num w:numId="8">
    <w:abstractNumId w:val="0"/>
  </w:num>
  <w:num w:numId="9">
    <w:abstractNumId w:val="5"/>
  </w:num>
  <w:num w:numId="10">
    <w:abstractNumId w:val="8"/>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5D"/>
    <w:rsid w:val="00000858"/>
    <w:rsid w:val="00020745"/>
    <w:rsid w:val="00022D7B"/>
    <w:rsid w:val="000252C7"/>
    <w:rsid w:val="00040C03"/>
    <w:rsid w:val="00043263"/>
    <w:rsid w:val="000479BC"/>
    <w:rsid w:val="00056F51"/>
    <w:rsid w:val="00071AC4"/>
    <w:rsid w:val="00073367"/>
    <w:rsid w:val="00077429"/>
    <w:rsid w:val="000A390F"/>
    <w:rsid w:val="000C00EA"/>
    <w:rsid w:val="000C018A"/>
    <w:rsid w:val="000C5788"/>
    <w:rsid w:val="000C7AE4"/>
    <w:rsid w:val="000D079C"/>
    <w:rsid w:val="000E1AFC"/>
    <w:rsid w:val="000E5175"/>
    <w:rsid w:val="00100732"/>
    <w:rsid w:val="00134258"/>
    <w:rsid w:val="00136892"/>
    <w:rsid w:val="00146C64"/>
    <w:rsid w:val="00156460"/>
    <w:rsid w:val="00183A18"/>
    <w:rsid w:val="001A0C26"/>
    <w:rsid w:val="001A62A1"/>
    <w:rsid w:val="001B2ED3"/>
    <w:rsid w:val="001B55CD"/>
    <w:rsid w:val="001B61B4"/>
    <w:rsid w:val="001C151A"/>
    <w:rsid w:val="001C384D"/>
    <w:rsid w:val="001C5AFF"/>
    <w:rsid w:val="001D0EA3"/>
    <w:rsid w:val="001E02F6"/>
    <w:rsid w:val="001E0797"/>
    <w:rsid w:val="001E3561"/>
    <w:rsid w:val="00211EDD"/>
    <w:rsid w:val="00212166"/>
    <w:rsid w:val="00213011"/>
    <w:rsid w:val="00214DED"/>
    <w:rsid w:val="002204FB"/>
    <w:rsid w:val="002277ED"/>
    <w:rsid w:val="00240180"/>
    <w:rsid w:val="0024263C"/>
    <w:rsid w:val="00245F41"/>
    <w:rsid w:val="00255203"/>
    <w:rsid w:val="0026456C"/>
    <w:rsid w:val="002700A4"/>
    <w:rsid w:val="0027212B"/>
    <w:rsid w:val="00286584"/>
    <w:rsid w:val="00295972"/>
    <w:rsid w:val="002E4B09"/>
    <w:rsid w:val="00310331"/>
    <w:rsid w:val="003227CE"/>
    <w:rsid w:val="00335778"/>
    <w:rsid w:val="003475F9"/>
    <w:rsid w:val="0035566D"/>
    <w:rsid w:val="00361F55"/>
    <w:rsid w:val="00363670"/>
    <w:rsid w:val="00363F36"/>
    <w:rsid w:val="00373E78"/>
    <w:rsid w:val="00374AFD"/>
    <w:rsid w:val="003A013F"/>
    <w:rsid w:val="003A13A6"/>
    <w:rsid w:val="003B6D6D"/>
    <w:rsid w:val="003D7CA4"/>
    <w:rsid w:val="004044BE"/>
    <w:rsid w:val="00417A8D"/>
    <w:rsid w:val="00471FA6"/>
    <w:rsid w:val="00473DF7"/>
    <w:rsid w:val="004A5493"/>
    <w:rsid w:val="004A6EE2"/>
    <w:rsid w:val="004B17E5"/>
    <w:rsid w:val="004D52E8"/>
    <w:rsid w:val="00500466"/>
    <w:rsid w:val="005014DF"/>
    <w:rsid w:val="00511D2A"/>
    <w:rsid w:val="00514E2C"/>
    <w:rsid w:val="00515512"/>
    <w:rsid w:val="005226F2"/>
    <w:rsid w:val="00524121"/>
    <w:rsid w:val="00536CEE"/>
    <w:rsid w:val="00544477"/>
    <w:rsid w:val="005A222E"/>
    <w:rsid w:val="005B0DEC"/>
    <w:rsid w:val="005C62C8"/>
    <w:rsid w:val="005D4B8B"/>
    <w:rsid w:val="005D6D5A"/>
    <w:rsid w:val="005E5943"/>
    <w:rsid w:val="005F0590"/>
    <w:rsid w:val="006013E3"/>
    <w:rsid w:val="006065FC"/>
    <w:rsid w:val="00611884"/>
    <w:rsid w:val="00611AEE"/>
    <w:rsid w:val="00614770"/>
    <w:rsid w:val="00617787"/>
    <w:rsid w:val="006320A2"/>
    <w:rsid w:val="006634CC"/>
    <w:rsid w:val="006874F4"/>
    <w:rsid w:val="00690117"/>
    <w:rsid w:val="00691E73"/>
    <w:rsid w:val="006A0CC1"/>
    <w:rsid w:val="006A6221"/>
    <w:rsid w:val="006B5ECA"/>
    <w:rsid w:val="006C1108"/>
    <w:rsid w:val="006D56AC"/>
    <w:rsid w:val="006E2C6F"/>
    <w:rsid w:val="006F6E8D"/>
    <w:rsid w:val="0072662E"/>
    <w:rsid w:val="0073683A"/>
    <w:rsid w:val="007371F1"/>
    <w:rsid w:val="007702C9"/>
    <w:rsid w:val="0077483C"/>
    <w:rsid w:val="0079114C"/>
    <w:rsid w:val="00791AC2"/>
    <w:rsid w:val="00796B45"/>
    <w:rsid w:val="00797BFA"/>
    <w:rsid w:val="007A3D5A"/>
    <w:rsid w:val="007A3DAA"/>
    <w:rsid w:val="007A5DBA"/>
    <w:rsid w:val="007B1EEE"/>
    <w:rsid w:val="007B3CBD"/>
    <w:rsid w:val="007D0669"/>
    <w:rsid w:val="007E13D1"/>
    <w:rsid w:val="007F4A0A"/>
    <w:rsid w:val="008118F4"/>
    <w:rsid w:val="00814695"/>
    <w:rsid w:val="0084257B"/>
    <w:rsid w:val="0084290B"/>
    <w:rsid w:val="008626ED"/>
    <w:rsid w:val="00871657"/>
    <w:rsid w:val="008744C0"/>
    <w:rsid w:val="008773C7"/>
    <w:rsid w:val="00894DE0"/>
    <w:rsid w:val="008B5D42"/>
    <w:rsid w:val="008C7026"/>
    <w:rsid w:val="008D4D3D"/>
    <w:rsid w:val="008D4F22"/>
    <w:rsid w:val="00907F18"/>
    <w:rsid w:val="00934F73"/>
    <w:rsid w:val="00937414"/>
    <w:rsid w:val="00937DE3"/>
    <w:rsid w:val="0094473D"/>
    <w:rsid w:val="00946FDD"/>
    <w:rsid w:val="00952304"/>
    <w:rsid w:val="00971CD8"/>
    <w:rsid w:val="00976EBF"/>
    <w:rsid w:val="00991FA3"/>
    <w:rsid w:val="00992B14"/>
    <w:rsid w:val="009966D8"/>
    <w:rsid w:val="009A3ADE"/>
    <w:rsid w:val="009A3EB9"/>
    <w:rsid w:val="009E7779"/>
    <w:rsid w:val="009F38C1"/>
    <w:rsid w:val="00A00472"/>
    <w:rsid w:val="00A052B7"/>
    <w:rsid w:val="00A0605B"/>
    <w:rsid w:val="00A21568"/>
    <w:rsid w:val="00A25C5C"/>
    <w:rsid w:val="00A60367"/>
    <w:rsid w:val="00A60525"/>
    <w:rsid w:val="00A643B4"/>
    <w:rsid w:val="00A67D7C"/>
    <w:rsid w:val="00A73F35"/>
    <w:rsid w:val="00A922DD"/>
    <w:rsid w:val="00A954D5"/>
    <w:rsid w:val="00AA4A5D"/>
    <w:rsid w:val="00AE1EC1"/>
    <w:rsid w:val="00AF126C"/>
    <w:rsid w:val="00AF346B"/>
    <w:rsid w:val="00AF668A"/>
    <w:rsid w:val="00B00695"/>
    <w:rsid w:val="00B074B6"/>
    <w:rsid w:val="00B22102"/>
    <w:rsid w:val="00B22F3C"/>
    <w:rsid w:val="00B31292"/>
    <w:rsid w:val="00B368ED"/>
    <w:rsid w:val="00B373FC"/>
    <w:rsid w:val="00B648D7"/>
    <w:rsid w:val="00B770E4"/>
    <w:rsid w:val="00B87325"/>
    <w:rsid w:val="00BA03FB"/>
    <w:rsid w:val="00BB68C5"/>
    <w:rsid w:val="00BC5971"/>
    <w:rsid w:val="00BD51B2"/>
    <w:rsid w:val="00BE68A2"/>
    <w:rsid w:val="00BF424D"/>
    <w:rsid w:val="00BF441E"/>
    <w:rsid w:val="00C016C8"/>
    <w:rsid w:val="00C076B9"/>
    <w:rsid w:val="00C12ABC"/>
    <w:rsid w:val="00C3105F"/>
    <w:rsid w:val="00C36B53"/>
    <w:rsid w:val="00C4377D"/>
    <w:rsid w:val="00C51ACB"/>
    <w:rsid w:val="00C63660"/>
    <w:rsid w:val="00C63A20"/>
    <w:rsid w:val="00C64568"/>
    <w:rsid w:val="00C7223C"/>
    <w:rsid w:val="00C914C4"/>
    <w:rsid w:val="00CB0628"/>
    <w:rsid w:val="00CB0E40"/>
    <w:rsid w:val="00CC1DF5"/>
    <w:rsid w:val="00CC359F"/>
    <w:rsid w:val="00CE4079"/>
    <w:rsid w:val="00CE4349"/>
    <w:rsid w:val="00CE4549"/>
    <w:rsid w:val="00CF4AB8"/>
    <w:rsid w:val="00CF518E"/>
    <w:rsid w:val="00D00471"/>
    <w:rsid w:val="00D007AB"/>
    <w:rsid w:val="00D02624"/>
    <w:rsid w:val="00D06657"/>
    <w:rsid w:val="00D22591"/>
    <w:rsid w:val="00D227C5"/>
    <w:rsid w:val="00D25D67"/>
    <w:rsid w:val="00D313B3"/>
    <w:rsid w:val="00D34641"/>
    <w:rsid w:val="00DB1C87"/>
    <w:rsid w:val="00DB6140"/>
    <w:rsid w:val="00DC2234"/>
    <w:rsid w:val="00DD65A2"/>
    <w:rsid w:val="00E075EC"/>
    <w:rsid w:val="00E10ADC"/>
    <w:rsid w:val="00E13E64"/>
    <w:rsid w:val="00E20C1F"/>
    <w:rsid w:val="00E242F4"/>
    <w:rsid w:val="00E424AA"/>
    <w:rsid w:val="00E42BCA"/>
    <w:rsid w:val="00E45D39"/>
    <w:rsid w:val="00E529D5"/>
    <w:rsid w:val="00E64D21"/>
    <w:rsid w:val="00E732D8"/>
    <w:rsid w:val="00E74B4B"/>
    <w:rsid w:val="00E82A17"/>
    <w:rsid w:val="00E8399D"/>
    <w:rsid w:val="00E847B2"/>
    <w:rsid w:val="00E94502"/>
    <w:rsid w:val="00E95D67"/>
    <w:rsid w:val="00EB7FF7"/>
    <w:rsid w:val="00EE7A8D"/>
    <w:rsid w:val="00F25609"/>
    <w:rsid w:val="00F2664D"/>
    <w:rsid w:val="00F552F6"/>
    <w:rsid w:val="00F60BA5"/>
    <w:rsid w:val="00F666E1"/>
    <w:rsid w:val="00F70555"/>
    <w:rsid w:val="00F75F43"/>
    <w:rsid w:val="00F77E4F"/>
    <w:rsid w:val="00F810CC"/>
    <w:rsid w:val="00F83165"/>
    <w:rsid w:val="00F84BDB"/>
    <w:rsid w:val="00F86DD6"/>
    <w:rsid w:val="00FB1D9F"/>
    <w:rsid w:val="00FD09A0"/>
    <w:rsid w:val="00FD1DE4"/>
    <w:rsid w:val="00FE668A"/>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984</Words>
  <Characters>5612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6583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Kevin.Lin@nec.com.au</dc:creator>
  <cp:lastModifiedBy>NEC</cp:lastModifiedBy>
  <cp:revision>2</cp:revision>
  <cp:lastPrinted>2015-09-22T05:05:00Z</cp:lastPrinted>
  <dcterms:created xsi:type="dcterms:W3CDTF">2015-11-06T06:00:00Z</dcterms:created>
  <dcterms:modified xsi:type="dcterms:W3CDTF">2015-11-06T06:00:00Z</dcterms:modified>
</cp:coreProperties>
</file>