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2DA" w:rsidRPr="002F1264" w:rsidRDefault="009402DA" w:rsidP="009402DA">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0D28A2">
        <w:rPr>
          <w:rFonts w:ascii="Arial" w:eastAsia="Times New Roman" w:hAnsi="Arial" w:cs="Arial"/>
          <w:b/>
          <w:bCs/>
          <w:noProof/>
          <w:szCs w:val="18"/>
          <w:lang w:eastAsia="zh-CN"/>
        </w:rPr>
        <w:t xml:space="preserve">3GPP TSG RAN WG1 Meeting #82bis                                                                        </w:t>
      </w:r>
      <w:r w:rsidR="00CA3ED2">
        <w:rPr>
          <w:rFonts w:ascii="Arial" w:eastAsia="Times New Roman" w:hAnsi="Arial" w:cs="Arial"/>
          <w:b/>
          <w:bCs/>
          <w:noProof/>
          <w:szCs w:val="18"/>
          <w:lang w:eastAsia="zh-CN"/>
        </w:rPr>
        <w:t xml:space="preserve">   </w:t>
      </w:r>
      <w:r w:rsidRPr="002F1264">
        <w:rPr>
          <w:rFonts w:ascii="Arial" w:eastAsia="Times New Roman" w:hAnsi="Arial" w:cs="Arial"/>
          <w:b/>
          <w:bCs/>
          <w:noProof/>
          <w:szCs w:val="18"/>
          <w:lang w:eastAsia="zh-CN"/>
        </w:rPr>
        <w:t>R1-15</w:t>
      </w:r>
      <w:r w:rsidR="00CA3ED2" w:rsidRPr="002F1264">
        <w:rPr>
          <w:rFonts w:ascii="Arial" w:eastAsia="Times New Roman" w:hAnsi="Arial" w:cs="Arial"/>
          <w:b/>
          <w:bCs/>
          <w:noProof/>
          <w:szCs w:val="18"/>
          <w:lang w:eastAsia="zh-CN"/>
        </w:rPr>
        <w:t>5536</w:t>
      </w:r>
    </w:p>
    <w:p w:rsidR="009402DA" w:rsidRPr="000D28A2" w:rsidRDefault="009402DA" w:rsidP="009402DA">
      <w:pPr>
        <w:pStyle w:val="TdocHeader2"/>
        <w:rPr>
          <w:rFonts w:eastAsia="Times New Roman" w:cs="Arial"/>
          <w:bCs/>
          <w:noProof/>
          <w:sz w:val="20"/>
          <w:szCs w:val="18"/>
          <w:lang w:val="en-US" w:eastAsia="zh-CN"/>
        </w:rPr>
      </w:pPr>
      <w:r w:rsidRPr="000D28A2">
        <w:rPr>
          <w:rFonts w:eastAsia="Times New Roman" w:cs="Arial"/>
          <w:bCs/>
          <w:noProof/>
          <w:sz w:val="20"/>
          <w:szCs w:val="18"/>
          <w:lang w:val="en-US" w:eastAsia="zh-CN"/>
        </w:rPr>
        <w:t>Malmö, Sweden, 5</w:t>
      </w:r>
      <w:r w:rsidRPr="000D28A2">
        <w:rPr>
          <w:rFonts w:eastAsia="Times New Roman" w:cs="Arial"/>
          <w:bCs/>
          <w:noProof/>
          <w:sz w:val="20"/>
          <w:szCs w:val="18"/>
          <w:vertAlign w:val="superscript"/>
          <w:lang w:val="en-US" w:eastAsia="zh-CN"/>
        </w:rPr>
        <w:t>th</w:t>
      </w:r>
      <w:r w:rsidRPr="000D28A2">
        <w:rPr>
          <w:rFonts w:eastAsia="Times New Roman" w:cs="Arial"/>
          <w:bCs/>
          <w:noProof/>
          <w:sz w:val="20"/>
          <w:szCs w:val="18"/>
          <w:lang w:val="en-US" w:eastAsia="zh-CN"/>
        </w:rPr>
        <w:t xml:space="preserve"> - 9</w:t>
      </w:r>
      <w:r w:rsidRPr="000D28A2">
        <w:rPr>
          <w:rFonts w:eastAsia="Times New Roman" w:cs="Arial"/>
          <w:bCs/>
          <w:noProof/>
          <w:sz w:val="20"/>
          <w:szCs w:val="18"/>
          <w:vertAlign w:val="superscript"/>
          <w:lang w:val="en-US" w:eastAsia="zh-CN"/>
        </w:rPr>
        <w:t xml:space="preserve">th </w:t>
      </w:r>
      <w:r w:rsidRPr="000D28A2">
        <w:rPr>
          <w:rFonts w:eastAsia="Times New Roman" w:cs="Arial"/>
          <w:bCs/>
          <w:noProof/>
          <w:sz w:val="20"/>
          <w:szCs w:val="18"/>
          <w:lang w:val="en-US" w:eastAsia="zh-CN"/>
        </w:rPr>
        <w:t>October 2015</w:t>
      </w:r>
    </w:p>
    <w:p w:rsidR="00D1140C" w:rsidRDefault="00D1140C" w:rsidP="009402DA">
      <w:pPr>
        <w:pStyle w:val="FootnoteText"/>
        <w:tabs>
          <w:tab w:val="left" w:pos="8222"/>
        </w:tabs>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CA3ED2">
        <w:rPr>
          <w:sz w:val="20"/>
          <w:lang w:val="en-US"/>
        </w:rPr>
        <w:t xml:space="preserve">New </w:t>
      </w:r>
      <w:r w:rsidR="007E303F">
        <w:rPr>
          <w:sz w:val="20"/>
          <w:lang w:val="en-US"/>
        </w:rPr>
        <w:t xml:space="preserve">PUCCH </w:t>
      </w:r>
      <w:r w:rsidR="006D2F2D">
        <w:rPr>
          <w:sz w:val="20"/>
          <w:lang w:val="en-US"/>
        </w:rPr>
        <w:t>format design for CA enhancement</w:t>
      </w:r>
    </w:p>
    <w:p w:rsidR="009402DA" w:rsidRPr="002F1264" w:rsidRDefault="009402DA" w:rsidP="009402DA">
      <w:pPr>
        <w:pStyle w:val="TdocHeader2"/>
        <w:rPr>
          <w:sz w:val="20"/>
          <w:lang w:val="en-US"/>
        </w:rPr>
      </w:pPr>
      <w:r w:rsidRPr="002F1264">
        <w:rPr>
          <w:sz w:val="20"/>
          <w:lang w:val="en-US"/>
        </w:rPr>
        <w:t>Agenda Item:</w:t>
      </w:r>
      <w:r w:rsidRPr="002F1264">
        <w:rPr>
          <w:sz w:val="20"/>
          <w:lang w:val="en-US"/>
        </w:rPr>
        <w:tab/>
        <w:t>7.2.2.1.</w:t>
      </w:r>
      <w:r w:rsidR="00CA3ED2" w:rsidRPr="002F1264">
        <w:rPr>
          <w:sz w:val="20"/>
          <w:lang w:val="en-US"/>
        </w:rPr>
        <w:t>1</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3" w:name="_Ref298777854"/>
      <w:bookmarkEnd w:id="0"/>
      <w:bookmarkEnd w:id="1"/>
      <w:r w:rsidRPr="00310B2F">
        <w:rPr>
          <w:lang w:val="en-US"/>
        </w:rPr>
        <w:t>Introduction</w:t>
      </w:r>
      <w:bookmarkEnd w:id="3"/>
    </w:p>
    <w:p w:rsidR="009E5A53" w:rsidRDefault="005E4540" w:rsidP="00685DE3">
      <w:r>
        <w:t>A new WI was agreed at RAN #66 plenary meeting to support LTE carrier aggregation beyond 5 carriers</w:t>
      </w:r>
      <w:r w:rsidR="000323DE">
        <w:t xml:space="preserve"> </w:t>
      </w:r>
      <w:r w:rsidR="000323DE" w:rsidRPr="002F5DB1">
        <w:fldChar w:fldCharType="begin"/>
      </w:r>
      <w:r w:rsidR="000323DE" w:rsidRPr="002F5DB1">
        <w:instrText xml:space="preserve"> REF _Ref415666081 \r \h </w:instrText>
      </w:r>
      <w:r w:rsidR="002F5DB1">
        <w:instrText xml:space="preserve"> \* MERGEFORMAT </w:instrText>
      </w:r>
      <w:r w:rsidR="000323DE" w:rsidRPr="002F5DB1">
        <w:fldChar w:fldCharType="separate"/>
      </w:r>
      <w:r w:rsidR="00B3452E">
        <w:t>[1]</w:t>
      </w:r>
      <w:r w:rsidR="000323DE" w:rsidRPr="002F5DB1">
        <w:fldChar w:fldCharType="end"/>
      </w:r>
      <w:r w:rsidRPr="002F5DB1">
        <w:t>.</w:t>
      </w:r>
      <w:r w:rsidR="00AC0EDF" w:rsidRPr="002F5DB1">
        <w:t xml:space="preserve"> </w:t>
      </w:r>
      <w:r w:rsidR="005E60A2" w:rsidRPr="00D4108B">
        <w:t xml:space="preserve">In </w:t>
      </w:r>
      <w:r w:rsidR="001F687E" w:rsidRPr="00D4108B">
        <w:fldChar w:fldCharType="begin"/>
      </w:r>
      <w:r w:rsidR="001F687E" w:rsidRPr="00D4108B">
        <w:instrText xml:space="preserve"> REF _Ref419144631 \n \h </w:instrText>
      </w:r>
      <w:r w:rsidR="00C134C0" w:rsidRPr="00D4108B">
        <w:instrText xml:space="preserve"> \* MERGEFORMAT </w:instrText>
      </w:r>
      <w:r w:rsidR="001F687E" w:rsidRPr="00D4108B">
        <w:fldChar w:fldCharType="separate"/>
      </w:r>
      <w:r w:rsidR="00B3452E">
        <w:t>[2]</w:t>
      </w:r>
      <w:r w:rsidR="001F687E" w:rsidRPr="00D4108B">
        <w:fldChar w:fldCharType="end"/>
      </w:r>
      <w:r w:rsidR="009E5A53">
        <w:t xml:space="preserve">, </w:t>
      </w:r>
      <w:r w:rsidR="00BB3E80" w:rsidRPr="00D4108B">
        <w:t>design</w:t>
      </w:r>
      <w:r w:rsidR="00BB3E80">
        <w:t xml:space="preserve"> options for a new PUCCH format supporting </w:t>
      </w:r>
      <w:r w:rsidR="00BB3E80" w:rsidRPr="00E16CD2">
        <w:t xml:space="preserve">up to 32 DL </w:t>
      </w:r>
      <w:r w:rsidR="00BB3E80">
        <w:t xml:space="preserve">component </w:t>
      </w:r>
      <w:r w:rsidR="00BB3E80" w:rsidRPr="00E16CD2">
        <w:t>carriers</w:t>
      </w:r>
      <w:r w:rsidR="00BB3E80">
        <w:t xml:space="preserve"> were discussed accompanied by</w:t>
      </w:r>
      <w:r w:rsidR="0039388E">
        <w:t xml:space="preserve"> </w:t>
      </w:r>
      <w:r w:rsidR="00BB3E80">
        <w:t>link-level simulation results</w:t>
      </w:r>
      <w:r w:rsidR="009E5A53">
        <w:t xml:space="preserve"> and a PUSCH-like based design is proposed for Rel-13 CA enhancements</w:t>
      </w:r>
      <w:r w:rsidR="00BB3E80">
        <w:t xml:space="preserve">. </w:t>
      </w:r>
      <w:r w:rsidR="00A654AA">
        <w:t xml:space="preserve">At RAN1#82, it was agreed to introduce at least one new PUCCH format in Rel-13 CA based on PUSCH-like structure with a few details for further study. </w:t>
      </w:r>
    </w:p>
    <w:p w:rsidR="009E5A53" w:rsidRPr="002F1264" w:rsidRDefault="009E5A53" w:rsidP="002F1264">
      <w:pPr>
        <w:numPr>
          <w:ilvl w:val="1"/>
          <w:numId w:val="41"/>
        </w:numPr>
        <w:overflowPunct/>
        <w:autoSpaceDE/>
        <w:autoSpaceDN/>
        <w:adjustRightInd/>
        <w:jc w:val="left"/>
        <w:textAlignment w:val="auto"/>
        <w:rPr>
          <w:rFonts w:eastAsia="MS Mincho"/>
          <w:i/>
          <w:lang w:val="en-US" w:eastAsia="ja-JP"/>
        </w:rPr>
      </w:pPr>
      <w:r w:rsidRPr="002F1264">
        <w:rPr>
          <w:rFonts w:eastAsia="MS Mincho"/>
          <w:i/>
          <w:lang w:eastAsia="ja-JP"/>
        </w:rPr>
        <w:t>PUSCH-like PUCCH structure (without CDM for data/control symbols)</w:t>
      </w:r>
    </w:p>
    <w:p w:rsidR="009E5A53" w:rsidRPr="002F1264" w:rsidRDefault="009E5A53" w:rsidP="002F1264">
      <w:pPr>
        <w:numPr>
          <w:ilvl w:val="2"/>
          <w:numId w:val="41"/>
        </w:numPr>
        <w:overflowPunct/>
        <w:autoSpaceDE/>
        <w:autoSpaceDN/>
        <w:adjustRightInd/>
        <w:jc w:val="left"/>
        <w:textAlignment w:val="auto"/>
        <w:rPr>
          <w:rFonts w:eastAsia="MS Mincho"/>
          <w:i/>
          <w:lang w:val="en-US" w:eastAsia="ja-JP"/>
        </w:rPr>
      </w:pPr>
      <w:r w:rsidRPr="002F1264">
        <w:rPr>
          <w:rFonts w:eastAsia="MS Mincho"/>
          <w:i/>
          <w:lang w:eastAsia="ja-JP"/>
        </w:rPr>
        <w:t>Working assumption: One DMRS per slot</w:t>
      </w:r>
    </w:p>
    <w:p w:rsidR="009E5A53" w:rsidRPr="002F1264" w:rsidRDefault="009E5A53" w:rsidP="002F1264">
      <w:pPr>
        <w:numPr>
          <w:ilvl w:val="3"/>
          <w:numId w:val="41"/>
        </w:numPr>
        <w:overflowPunct/>
        <w:autoSpaceDE/>
        <w:autoSpaceDN/>
        <w:adjustRightInd/>
        <w:jc w:val="left"/>
        <w:textAlignment w:val="auto"/>
        <w:rPr>
          <w:rFonts w:eastAsia="MS Mincho"/>
          <w:i/>
          <w:lang w:val="en-US" w:eastAsia="ja-JP"/>
        </w:rPr>
      </w:pPr>
      <w:r w:rsidRPr="002F1264">
        <w:rPr>
          <w:rFonts w:eastAsia="MS Mincho"/>
          <w:i/>
          <w:lang w:eastAsia="ja-JP"/>
        </w:rPr>
        <w:t>FFS: Two DMRS per slot (normal CP)</w:t>
      </w:r>
    </w:p>
    <w:p w:rsidR="009E5A53" w:rsidRPr="002F1264" w:rsidRDefault="009E5A53" w:rsidP="002F1264">
      <w:pPr>
        <w:numPr>
          <w:ilvl w:val="2"/>
          <w:numId w:val="41"/>
        </w:numPr>
        <w:overflowPunct/>
        <w:autoSpaceDE/>
        <w:autoSpaceDN/>
        <w:adjustRightInd/>
        <w:jc w:val="left"/>
        <w:textAlignment w:val="auto"/>
        <w:rPr>
          <w:rFonts w:eastAsia="MS Mincho"/>
          <w:i/>
          <w:lang w:val="en-US" w:eastAsia="ja-JP"/>
        </w:rPr>
      </w:pPr>
      <w:r w:rsidRPr="002F1264">
        <w:rPr>
          <w:rFonts w:eastAsia="MS Mincho"/>
          <w:i/>
          <w:lang w:eastAsia="ja-JP"/>
        </w:rPr>
        <w:t>Frequency hopping between slots</w:t>
      </w:r>
    </w:p>
    <w:p w:rsidR="009E5A53" w:rsidRPr="002F1264" w:rsidRDefault="009E5A53" w:rsidP="002F1264">
      <w:pPr>
        <w:numPr>
          <w:ilvl w:val="3"/>
          <w:numId w:val="41"/>
        </w:numPr>
        <w:overflowPunct/>
        <w:autoSpaceDE/>
        <w:autoSpaceDN/>
        <w:adjustRightInd/>
        <w:jc w:val="left"/>
        <w:textAlignment w:val="auto"/>
        <w:rPr>
          <w:rFonts w:eastAsia="MS Mincho"/>
          <w:i/>
          <w:lang w:val="en-US" w:eastAsia="ja-JP"/>
        </w:rPr>
      </w:pPr>
      <w:r w:rsidRPr="002F1264">
        <w:rPr>
          <w:rFonts w:eastAsia="MS Mincho"/>
          <w:i/>
          <w:lang w:eastAsia="ja-JP"/>
        </w:rPr>
        <w:t>FFS: Whether /when FH is applicable</w:t>
      </w:r>
    </w:p>
    <w:p w:rsidR="009E5A53" w:rsidRPr="002F1264" w:rsidRDefault="009E5A53" w:rsidP="002F1264">
      <w:pPr>
        <w:numPr>
          <w:ilvl w:val="2"/>
          <w:numId w:val="41"/>
        </w:numPr>
        <w:overflowPunct/>
        <w:autoSpaceDE/>
        <w:autoSpaceDN/>
        <w:adjustRightInd/>
        <w:jc w:val="left"/>
        <w:textAlignment w:val="auto"/>
        <w:rPr>
          <w:rFonts w:eastAsia="MS Mincho"/>
          <w:i/>
          <w:lang w:val="en-US" w:eastAsia="ja-JP"/>
        </w:rPr>
      </w:pPr>
      <w:r w:rsidRPr="002F1264">
        <w:rPr>
          <w:rFonts w:eastAsia="MS Mincho"/>
          <w:i/>
          <w:lang w:eastAsia="ja-JP"/>
        </w:rPr>
        <w:t>With at least one PRB per slot</w:t>
      </w:r>
    </w:p>
    <w:p w:rsidR="009E5A53" w:rsidRPr="002F1264" w:rsidRDefault="009E5A53" w:rsidP="002F1264">
      <w:pPr>
        <w:numPr>
          <w:ilvl w:val="2"/>
          <w:numId w:val="41"/>
        </w:numPr>
        <w:overflowPunct/>
        <w:autoSpaceDE/>
        <w:autoSpaceDN/>
        <w:adjustRightInd/>
        <w:jc w:val="left"/>
        <w:textAlignment w:val="auto"/>
        <w:rPr>
          <w:rFonts w:eastAsia="MS Mincho"/>
          <w:i/>
          <w:lang w:val="en-US" w:eastAsia="ja-JP"/>
        </w:rPr>
      </w:pPr>
      <w:r w:rsidRPr="002F1264">
        <w:rPr>
          <w:rFonts w:eastAsia="MS Mincho"/>
          <w:i/>
          <w:lang w:eastAsia="ja-JP"/>
        </w:rPr>
        <w:t xml:space="preserve">FFS: Coded bits-to-RE mapping </w:t>
      </w:r>
    </w:p>
    <w:p w:rsidR="00E71A58" w:rsidRPr="00E16CD2" w:rsidRDefault="005E4540" w:rsidP="00685DE3">
      <w:pPr>
        <w:rPr>
          <w:lang w:val="en-US"/>
        </w:rPr>
      </w:pPr>
      <w:r>
        <w:t xml:space="preserve">In this contribution, we </w:t>
      </w:r>
      <w:r w:rsidR="00A654AA">
        <w:t xml:space="preserve">provide our views on remaining details of new PUCCH format </w:t>
      </w:r>
      <w:r w:rsidR="009E5A53">
        <w:t xml:space="preserve">based on PUSCH-like design </w:t>
      </w:r>
      <w:r w:rsidR="00A654AA">
        <w:t>with</w:t>
      </w:r>
      <w:r w:rsidR="00C65DFE">
        <w:t xml:space="preserve"> </w:t>
      </w:r>
      <w:r w:rsidR="00D82513">
        <w:t xml:space="preserve">additional </w:t>
      </w:r>
      <w:r w:rsidR="00364BE0">
        <w:t xml:space="preserve">link-level </w:t>
      </w:r>
      <w:r w:rsidR="008D3140">
        <w:t xml:space="preserve">simulation </w:t>
      </w:r>
      <w:r w:rsidR="00364BE0">
        <w:t>results</w:t>
      </w:r>
      <w:r w:rsidR="00E97467">
        <w:t>.</w:t>
      </w:r>
      <w:r w:rsidR="00BB3E80">
        <w:t xml:space="preserve"> </w:t>
      </w:r>
    </w:p>
    <w:p w:rsidR="00023372" w:rsidRDefault="00023372" w:rsidP="00E16CD2">
      <w:pPr>
        <w:pStyle w:val="Heading1"/>
      </w:pPr>
      <w:r>
        <w:t>Discussion</w:t>
      </w:r>
    </w:p>
    <w:p w:rsidR="005B369B" w:rsidRDefault="005B369B" w:rsidP="005B369B">
      <w:pPr>
        <w:pStyle w:val="Heading2"/>
      </w:pPr>
      <w:r>
        <w:t>Frequency hopping</w:t>
      </w:r>
    </w:p>
    <w:p w:rsidR="005B369B" w:rsidRDefault="005B369B" w:rsidP="005B369B">
      <w:r>
        <w:t xml:space="preserve">Slot-based frequency hopping was agreed to be supported for the PUSCH-like PUCCH format but there was an FFS point regarding whether additional configuration flexibility is needed. </w:t>
      </w:r>
    </w:p>
    <w:p w:rsidR="005B369B" w:rsidRDefault="005B369B" w:rsidP="005B369B">
      <w:r>
        <w:t xml:space="preserve">In our understanding, one motivation for this configurability is to enable frequency offset estimation if one DMRS per slot is adopted. In this case, the frequency diversity gain cannot be achieved which is in general important for control channel information. Another motivation is to enable the possibility of frequency selective scheduling for PUCCH. However, this also does not seem to be well identified given that the number of PUCCH resource candidates will be limited. Furthermore, these candidate resources are configured by higher layer signalling and most likely contiguous in frequency in order to avoid frequency resource fragmentation. Therefore, the practical gain from frequency selective scheduling is questionable. </w:t>
      </w:r>
    </w:p>
    <w:p w:rsidR="005B369B" w:rsidRDefault="005B369B" w:rsidP="005B369B">
      <w:r>
        <w:t xml:space="preserve">Given the reasons above, it is preferred that slot-based frequency hopping is always enabled for the PUSCH-like PUCCH format. </w:t>
      </w:r>
    </w:p>
    <w:p w:rsidR="005B369B" w:rsidRPr="00EE2E45" w:rsidRDefault="005B369B" w:rsidP="005B369B">
      <w:pPr>
        <w:rPr>
          <w:b/>
          <w:szCs w:val="22"/>
          <w:lang w:val="en-US"/>
        </w:rPr>
      </w:pPr>
      <w:r w:rsidRPr="00787D44">
        <w:rPr>
          <w:b/>
          <w:szCs w:val="22"/>
          <w:lang w:val="en-US"/>
        </w:rPr>
        <w:t xml:space="preserve">Proposal: </w:t>
      </w:r>
    </w:p>
    <w:p w:rsidR="005B369B" w:rsidRPr="00787D44" w:rsidRDefault="005B369B" w:rsidP="005B369B">
      <w:pPr>
        <w:pStyle w:val="ListParagraph"/>
        <w:numPr>
          <w:ilvl w:val="0"/>
          <w:numId w:val="44"/>
        </w:numPr>
        <w:rPr>
          <w:b/>
          <w:sz w:val="22"/>
          <w:szCs w:val="22"/>
        </w:rPr>
      </w:pPr>
      <w:r>
        <w:rPr>
          <w:b/>
          <w:sz w:val="22"/>
          <w:szCs w:val="22"/>
        </w:rPr>
        <w:t>Slot-based f</w:t>
      </w:r>
      <w:r w:rsidRPr="00787D44">
        <w:rPr>
          <w:b/>
          <w:sz w:val="22"/>
          <w:szCs w:val="22"/>
        </w:rPr>
        <w:t xml:space="preserve">requency hopping </w:t>
      </w:r>
      <w:r>
        <w:rPr>
          <w:b/>
          <w:sz w:val="22"/>
          <w:szCs w:val="22"/>
        </w:rPr>
        <w:t xml:space="preserve">is </w:t>
      </w:r>
      <w:r w:rsidRPr="00787D44">
        <w:rPr>
          <w:b/>
          <w:sz w:val="22"/>
          <w:szCs w:val="22"/>
        </w:rPr>
        <w:t xml:space="preserve">always </w:t>
      </w:r>
      <w:r>
        <w:rPr>
          <w:b/>
          <w:sz w:val="22"/>
          <w:szCs w:val="22"/>
        </w:rPr>
        <w:t>enabled for the new PUCCH format.</w:t>
      </w:r>
    </w:p>
    <w:p w:rsidR="005B369B" w:rsidRPr="00D43094" w:rsidRDefault="005B369B" w:rsidP="00D43094">
      <w:pPr>
        <w:rPr>
          <w:lang w:val="en-US"/>
        </w:rPr>
      </w:pPr>
    </w:p>
    <w:p w:rsidR="00E16CD2" w:rsidRPr="00E16CD2" w:rsidRDefault="00CA4C92" w:rsidP="00D43094">
      <w:pPr>
        <w:pStyle w:val="Heading2"/>
      </w:pPr>
      <w:r>
        <w:lastRenderedPageBreak/>
        <w:t>UE Frequency offset</w:t>
      </w:r>
      <w:r w:rsidR="008C580B">
        <w:t xml:space="preserve"> </w:t>
      </w:r>
    </w:p>
    <w:p w:rsidR="00226DA4" w:rsidRPr="00A654AA" w:rsidRDefault="00614BFB" w:rsidP="002F1264">
      <w:r>
        <w:t>In</w:t>
      </w:r>
      <w:r w:rsidR="009E5A53">
        <w:t xml:space="preserve"> </w:t>
      </w:r>
      <w:r w:rsidR="009E5A53">
        <w:fldChar w:fldCharType="begin"/>
      </w:r>
      <w:r w:rsidR="009E5A53">
        <w:instrText xml:space="preserve"> REF _Ref419144631 \r \h </w:instrText>
      </w:r>
      <w:r w:rsidR="009E5A53">
        <w:fldChar w:fldCharType="separate"/>
      </w:r>
      <w:r w:rsidR="009E5A53">
        <w:t>[2]</w:t>
      </w:r>
      <w:r w:rsidR="009E5A53">
        <w:fldChar w:fldCharType="end"/>
      </w:r>
      <w:r>
        <w:t xml:space="preserve">, </w:t>
      </w:r>
      <w:r w:rsidR="00B5512A">
        <w:t>link</w:t>
      </w:r>
      <w:r w:rsidR="00221463">
        <w:t>-</w:t>
      </w:r>
      <w:r w:rsidR="00B5512A">
        <w:t>level simulation</w:t>
      </w:r>
      <w:r w:rsidR="00261A06">
        <w:t xml:space="preserve"> results </w:t>
      </w:r>
      <w:r>
        <w:t xml:space="preserve">are </w:t>
      </w:r>
      <w:r w:rsidR="005F014B">
        <w:t>provided</w:t>
      </w:r>
      <w:r>
        <w:t xml:space="preserve"> for</w:t>
      </w:r>
      <w:r w:rsidR="00B5512A">
        <w:t xml:space="preserve"> the</w:t>
      </w:r>
      <w:r w:rsidR="00D15266">
        <w:t xml:space="preserve"> </w:t>
      </w:r>
      <w:r w:rsidR="005F014B">
        <w:t>PUSCH-like</w:t>
      </w:r>
      <w:r w:rsidR="00172B4D">
        <w:t xml:space="preserve"> </w:t>
      </w:r>
      <w:r w:rsidR="00B5512A">
        <w:t xml:space="preserve">design </w:t>
      </w:r>
      <w:r w:rsidR="005F014B">
        <w:t>option with 1 or 2 DMRS/slot and 1-</w:t>
      </w:r>
      <w:r w:rsidR="005C2F99">
        <w:t>6</w:t>
      </w:r>
      <w:r w:rsidR="003F7DDD">
        <w:t xml:space="preserve"> </w:t>
      </w:r>
      <w:r w:rsidR="005F014B">
        <w:t>number of allocated PRBs per UE.</w:t>
      </w:r>
      <w:r w:rsidR="00CA4C92">
        <w:t xml:space="preserve"> </w:t>
      </w:r>
      <w:r w:rsidR="00386285">
        <w:t xml:space="preserve">Based on </w:t>
      </w:r>
      <w:r w:rsidR="00CA4C92">
        <w:t xml:space="preserve">the </w:t>
      </w:r>
      <w:r w:rsidR="00386285">
        <w:t>simulations</w:t>
      </w:r>
      <w:r w:rsidR="0047163E">
        <w:t>,</w:t>
      </w:r>
      <w:r w:rsidR="00386285">
        <w:t xml:space="preserve"> it </w:t>
      </w:r>
      <w:r w:rsidR="00CA4C92">
        <w:t>was</w:t>
      </w:r>
      <w:r w:rsidR="00386285">
        <w:t xml:space="preserve"> concluded that one new PUCCH format based on PUSCH-like design can be used to </w:t>
      </w:r>
      <w:r w:rsidR="0047163E">
        <w:t>support HARQ-ACK payload size up to</w:t>
      </w:r>
      <w:r w:rsidR="00386285">
        <w:t xml:space="preserve"> 128 bits with reliable performance. Regarding the number of DMRS</w:t>
      </w:r>
      <w:r w:rsidR="005644B2">
        <w:t>s</w:t>
      </w:r>
      <w:r w:rsidR="00386285">
        <w:t xml:space="preserve">, it </w:t>
      </w:r>
      <w:r w:rsidR="00CA4C92">
        <w:t xml:space="preserve">is observed that </w:t>
      </w:r>
      <w:r w:rsidR="00386285">
        <w:t>2 DMRS/slot perform</w:t>
      </w:r>
      <w:r w:rsidR="00CA4C92">
        <w:t>s</w:t>
      </w:r>
      <w:r w:rsidR="00386285">
        <w:t xml:space="preserve"> well in </w:t>
      </w:r>
      <w:r w:rsidR="00594D50">
        <w:t xml:space="preserve">the </w:t>
      </w:r>
      <w:r w:rsidR="00386285">
        <w:t xml:space="preserve">majority </w:t>
      </w:r>
      <w:r w:rsidR="00594D50">
        <w:t xml:space="preserve">of considered </w:t>
      </w:r>
      <w:r w:rsidR="00386285">
        <w:t xml:space="preserve">scenarios. </w:t>
      </w:r>
      <w:r w:rsidR="00594D50">
        <w:t>One</w:t>
      </w:r>
      <w:r w:rsidR="00386285">
        <w:t xml:space="preserve"> DMRS/slot only performs better if the code rate is very high which can be alleviated by increas</w:t>
      </w:r>
      <w:r w:rsidR="005644B2">
        <w:t>ing</w:t>
      </w:r>
      <w:r w:rsidR="00386285">
        <w:t xml:space="preserve"> </w:t>
      </w:r>
      <w:r w:rsidR="00594D50">
        <w:t xml:space="preserve">the </w:t>
      </w:r>
      <w:r w:rsidR="00386285">
        <w:t xml:space="preserve">number of PRBs. </w:t>
      </w:r>
    </w:p>
    <w:p w:rsidR="00B219B1" w:rsidRDefault="00CA4C92">
      <w:pPr>
        <w:keepNext/>
      </w:pPr>
      <w:r>
        <w:t xml:space="preserve">Herein, </w:t>
      </w:r>
      <w:r w:rsidR="001C52C0">
        <w:t xml:space="preserve">we </w:t>
      </w:r>
      <w:r>
        <w:t xml:space="preserve">further </w:t>
      </w:r>
      <w:r w:rsidR="001C52C0">
        <w:t>study the impact of UE frequency offset on the operating SNR</w:t>
      </w:r>
      <w:r>
        <w:t xml:space="preserve"> when using 1</w:t>
      </w:r>
      <w:r w:rsidR="008E1241">
        <w:t xml:space="preserve"> </w:t>
      </w:r>
      <w:r>
        <w:t>DMRS/slot and 2 DMRS/slot</w:t>
      </w:r>
      <w:r w:rsidR="001C52C0">
        <w:t>. The different curves show the operating SNR as a function of the payload for a UE frequen</w:t>
      </w:r>
      <w:r w:rsidR="00B219B1">
        <w:t xml:space="preserve">cy offset of 0, 200, or 400 Hz. We are especially interested in the case with 1 DMRS/slot, since here the frequency offset is difficult to estimate in the eNB. If a 2 DMRS/slot format is adopted on the other hand, algorithms exist that can be used to compensate </w:t>
      </w:r>
      <w:r w:rsidR="00B97FE2">
        <w:t>for the frequency offset. We therefore also plot curves for the 2 DMRS/slot with no frequency offset as a</w:t>
      </w:r>
      <w:r w:rsidR="00C70820">
        <w:t xml:space="preserve"> </w:t>
      </w:r>
      <w:r w:rsidR="005B369B">
        <w:t>reference.</w:t>
      </w:r>
      <w:r w:rsidR="00B97FE2">
        <w:t>. As noted above, 2</w:t>
      </w:r>
      <w:r w:rsidR="00A53F56">
        <w:t xml:space="preserve"> </w:t>
      </w:r>
      <w:r w:rsidR="00B97FE2">
        <w:t>DMRS/slot performs better at low and moderate payload. Taking the frequency offset into account we observe the following:</w:t>
      </w:r>
    </w:p>
    <w:p w:rsidR="0007038C" w:rsidRDefault="00B97FE2" w:rsidP="00D43094">
      <w:pPr>
        <w:rPr>
          <w:b/>
          <w:lang w:val="en-US"/>
        </w:rPr>
      </w:pPr>
      <w:r w:rsidRPr="00094EB3">
        <w:rPr>
          <w:b/>
        </w:rPr>
        <w:t xml:space="preserve">Observation: </w:t>
      </w:r>
      <w:r>
        <w:rPr>
          <w:lang w:val="en-US"/>
        </w:rPr>
        <w:t xml:space="preserve"> </w:t>
      </w:r>
    </w:p>
    <w:p w:rsidR="00B97FE2" w:rsidRPr="00E3438A" w:rsidRDefault="00B97FE2" w:rsidP="00D43094">
      <w:pPr>
        <w:pStyle w:val="ListParagraph"/>
        <w:numPr>
          <w:ilvl w:val="0"/>
          <w:numId w:val="46"/>
        </w:numPr>
      </w:pPr>
      <w:r w:rsidRPr="00D43094">
        <w:rPr>
          <w:b/>
          <w:sz w:val="22"/>
        </w:rPr>
        <w:t>1 DMRS/slot with a frequency offset of up to 200 Hz performs the same as 2 DMRS/slot with no frequency offset except at 128 bit payload with only 1 PRB.</w:t>
      </w:r>
      <w:r w:rsidR="0007038C">
        <w:rPr>
          <w:b/>
          <w:sz w:val="22"/>
        </w:rPr>
        <w:t xml:space="preserve"> </w:t>
      </w:r>
    </w:p>
    <w:p w:rsidR="00250871" w:rsidRPr="00D43094" w:rsidRDefault="00B97FE2" w:rsidP="00EB31E1">
      <w:pPr>
        <w:pStyle w:val="BodyText"/>
        <w:keepNext/>
        <w:numPr>
          <w:ilvl w:val="0"/>
          <w:numId w:val="32"/>
        </w:numPr>
        <w:rPr>
          <w:lang w:val="en-US"/>
        </w:rPr>
      </w:pPr>
      <w:r>
        <w:rPr>
          <w:b/>
          <w:lang w:val="en-US"/>
        </w:rPr>
        <w:t>1 DMRS/slot with a frequency offset of 400 Hz performs 1 dB worse than 2 DMRS/slot without frequency offset.</w:t>
      </w:r>
    </w:p>
    <w:p w:rsidR="0007038C" w:rsidRPr="00EB31E1" w:rsidRDefault="0007038C" w:rsidP="00D43094">
      <w:pPr>
        <w:pStyle w:val="BodyText"/>
        <w:keepNext/>
        <w:ind w:left="360"/>
        <w:rPr>
          <w:lang w:val="en-US"/>
        </w:rPr>
      </w:pPr>
    </w:p>
    <w:p w:rsidR="002726DE" w:rsidRDefault="002726DE" w:rsidP="00D43094">
      <w:pPr>
        <w:keepNext/>
        <w:jc w:val="center"/>
      </w:pPr>
      <w:r w:rsidRPr="002726DE">
        <w:rPr>
          <w:noProof/>
          <w:lang w:val="en-US"/>
        </w:rPr>
        <w:drawing>
          <wp:inline distT="0" distB="0" distL="0" distR="0" wp14:anchorId="6270538E" wp14:editId="0A425CBC">
            <wp:extent cx="4800600" cy="36027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800600" cy="3602736"/>
                    </a:xfrm>
                    <a:prstGeom prst="rect">
                      <a:avLst/>
                    </a:prstGeom>
                  </pic:spPr>
                </pic:pic>
              </a:graphicData>
            </a:graphic>
          </wp:inline>
        </w:drawing>
      </w:r>
    </w:p>
    <w:p w:rsidR="002726DE" w:rsidRDefault="002726DE" w:rsidP="008756F8">
      <w:pPr>
        <w:pStyle w:val="Caption"/>
        <w:jc w:val="center"/>
      </w:pPr>
      <w:r>
        <w:t xml:space="preserve">Figure </w:t>
      </w:r>
      <w:r>
        <w:fldChar w:fldCharType="begin"/>
      </w:r>
      <w:r>
        <w:instrText xml:space="preserve"> SEQ Figure \* ARABIC </w:instrText>
      </w:r>
      <w:r>
        <w:fldChar w:fldCharType="separate"/>
      </w:r>
      <w:r w:rsidR="005D7C6A">
        <w:rPr>
          <w:noProof/>
        </w:rPr>
        <w:t>1</w:t>
      </w:r>
      <w:r>
        <w:fldChar w:fldCharType="end"/>
      </w:r>
      <w:r>
        <w:t xml:space="preserve">: </w:t>
      </w:r>
      <w:r w:rsidRPr="00E0074B">
        <w:t>Operating SNR, EPA 3 km/h, 8 bits CRC.</w:t>
      </w:r>
    </w:p>
    <w:p w:rsidR="005D7C6A" w:rsidRDefault="005D7C6A" w:rsidP="00D43094">
      <w:pPr>
        <w:keepNext/>
        <w:jc w:val="center"/>
      </w:pPr>
      <w:r w:rsidRPr="005D7C6A">
        <w:rPr>
          <w:noProof/>
          <w:lang w:val="en-US"/>
        </w:rPr>
        <w:lastRenderedPageBreak/>
        <w:drawing>
          <wp:inline distT="0" distB="0" distL="0" distR="0" wp14:anchorId="1DADB4AE" wp14:editId="2BF947AF">
            <wp:extent cx="4800600" cy="36027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800600" cy="3602736"/>
                    </a:xfrm>
                    <a:prstGeom prst="rect">
                      <a:avLst/>
                    </a:prstGeom>
                  </pic:spPr>
                </pic:pic>
              </a:graphicData>
            </a:graphic>
          </wp:inline>
        </w:drawing>
      </w:r>
    </w:p>
    <w:p w:rsidR="005D7C6A" w:rsidRPr="005D7C6A" w:rsidRDefault="005D7C6A" w:rsidP="008756F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8756F8">
        <w:t>Operating SNR</w:t>
      </w:r>
      <w:r w:rsidRPr="00630709">
        <w:t>, ETU 3 km/h, 8 bits CRC.</w:t>
      </w:r>
    </w:p>
    <w:p w:rsidR="001C52C0" w:rsidRDefault="001C52C0" w:rsidP="001C52C0">
      <w:pPr>
        <w:keepNext/>
      </w:pPr>
    </w:p>
    <w:p w:rsidR="005B369B" w:rsidRDefault="005B369B" w:rsidP="005B369B">
      <w:pPr>
        <w:pStyle w:val="CommentText"/>
      </w:pPr>
      <w:r>
        <w:t>The often assumed inaccuracy of the UE oscillator of ± 0.1ppm may g</w:t>
      </w:r>
      <w:r w:rsidR="003D4F28">
        <w:t>ive a frequency error of 250 Hz</w:t>
      </w:r>
      <w:r>
        <w:t xml:space="preserve"> at a carrier frequency </w:t>
      </w:r>
      <w:r w:rsidR="003D4F28">
        <w:t xml:space="preserve">of </w:t>
      </w:r>
      <w:r>
        <w:t xml:space="preserve">2.5 GHz and </w:t>
      </w:r>
      <w:r w:rsidR="003D4F28">
        <w:t>350 Hz at a carrier frequency of</w:t>
      </w:r>
      <w:r>
        <w:t xml:space="preserve"> 3.5 GHz. Any significant velocity of the UE also contributes to the frequency error. Thus, in order to use deployments at 3.5 GHz it is important to allow </w:t>
      </w:r>
      <w:r w:rsidR="003D4F28">
        <w:t xml:space="preserve">for </w:t>
      </w:r>
      <w:r>
        <w:t>mechanisms</w:t>
      </w:r>
      <w:r w:rsidR="003D4F28">
        <w:t xml:space="preserve"> to correct</w:t>
      </w:r>
      <w:r>
        <w:t xml:space="preserve"> frequency offset error</w:t>
      </w:r>
      <w:r w:rsidR="003D4F28">
        <w:t>s</w:t>
      </w:r>
      <w:r>
        <w:t xml:space="preserve">.  </w:t>
      </w:r>
    </w:p>
    <w:p w:rsidR="003D4F28" w:rsidRDefault="003D4F28" w:rsidP="003D4F28">
      <w:pPr>
        <w:rPr>
          <w:b/>
          <w:lang w:val="en-US"/>
        </w:rPr>
      </w:pPr>
      <w:r w:rsidRPr="00094EB3">
        <w:rPr>
          <w:b/>
        </w:rPr>
        <w:t xml:space="preserve">Observation: </w:t>
      </w:r>
      <w:r>
        <w:rPr>
          <w:lang w:val="en-US"/>
        </w:rPr>
        <w:t xml:space="preserve"> </w:t>
      </w:r>
    </w:p>
    <w:p w:rsidR="003D4F28" w:rsidRPr="00D43094" w:rsidRDefault="003D4F28" w:rsidP="003D4F28">
      <w:pPr>
        <w:pStyle w:val="ListParagraph"/>
        <w:numPr>
          <w:ilvl w:val="0"/>
          <w:numId w:val="46"/>
        </w:numPr>
      </w:pPr>
      <w:r>
        <w:rPr>
          <w:b/>
          <w:sz w:val="22"/>
        </w:rPr>
        <w:t>Using 2 DMRS/slot allows for frequency offset estimation while still benefitting from frequency diversity due to slot-based frequency hopping.</w:t>
      </w:r>
    </w:p>
    <w:p w:rsidR="003D4F28" w:rsidRPr="00D43094" w:rsidRDefault="003D4F28" w:rsidP="003D4F28">
      <w:pPr>
        <w:pStyle w:val="ListParagraph"/>
        <w:numPr>
          <w:ilvl w:val="0"/>
          <w:numId w:val="46"/>
        </w:numPr>
      </w:pPr>
      <w:r>
        <w:rPr>
          <w:b/>
          <w:sz w:val="22"/>
        </w:rPr>
        <w:t>2 DMRS/slot performs better than 1 DMRS/slot at low and moderate payloads even without frequency offset compensation.</w:t>
      </w:r>
    </w:p>
    <w:p w:rsidR="003D4F28" w:rsidRPr="00D43094" w:rsidRDefault="003D4F28" w:rsidP="00D43094">
      <w:pPr>
        <w:pStyle w:val="ListParagraph"/>
        <w:numPr>
          <w:ilvl w:val="0"/>
          <w:numId w:val="46"/>
        </w:numPr>
      </w:pPr>
      <w:r>
        <w:rPr>
          <w:b/>
          <w:sz w:val="22"/>
        </w:rPr>
        <w:t xml:space="preserve">Using 2 DMRS/slot </w:t>
      </w:r>
      <w:r w:rsidR="0026789F">
        <w:rPr>
          <w:b/>
          <w:sz w:val="22"/>
        </w:rPr>
        <w:t xml:space="preserve">often </w:t>
      </w:r>
      <w:r>
        <w:rPr>
          <w:b/>
          <w:sz w:val="22"/>
        </w:rPr>
        <w:t xml:space="preserve">allows for </w:t>
      </w:r>
      <w:r w:rsidR="0026789F">
        <w:rPr>
          <w:b/>
          <w:sz w:val="22"/>
        </w:rPr>
        <w:t xml:space="preserve">improved </w:t>
      </w:r>
      <w:r>
        <w:rPr>
          <w:b/>
          <w:sz w:val="22"/>
        </w:rPr>
        <w:t>use of interference rejection combining in scenarios with inter-cell interference.</w:t>
      </w:r>
    </w:p>
    <w:p w:rsidR="003D4F28" w:rsidRPr="0026789F" w:rsidRDefault="003D4F28" w:rsidP="00D43094">
      <w:pPr>
        <w:pStyle w:val="ListParagraph"/>
      </w:pPr>
    </w:p>
    <w:p w:rsidR="001C52C0" w:rsidRDefault="005D7C6A" w:rsidP="001C52C0">
      <w:pPr>
        <w:keepNext/>
      </w:pPr>
      <w:r>
        <w:t>Based on these observations we propose the following:</w:t>
      </w:r>
    </w:p>
    <w:p w:rsidR="005D7C6A" w:rsidRPr="00287369" w:rsidRDefault="005D7C6A" w:rsidP="005D7C6A">
      <w:pPr>
        <w:rPr>
          <w:b/>
        </w:rPr>
      </w:pPr>
      <w:r>
        <w:rPr>
          <w:b/>
        </w:rPr>
        <w:t>Proposal:</w:t>
      </w:r>
    </w:p>
    <w:p w:rsidR="005D7C6A" w:rsidRDefault="005D7C6A" w:rsidP="005D7C6A">
      <w:pPr>
        <w:pStyle w:val="BodyText"/>
        <w:numPr>
          <w:ilvl w:val="0"/>
          <w:numId w:val="32"/>
        </w:numPr>
        <w:rPr>
          <w:b/>
          <w:lang w:val="en-US"/>
        </w:rPr>
      </w:pPr>
      <w:r>
        <w:rPr>
          <w:b/>
          <w:lang w:val="en-US"/>
        </w:rPr>
        <w:t>The new PUCCH format shall use 2 DMRS/slot.</w:t>
      </w:r>
    </w:p>
    <w:p w:rsidR="00226DA4" w:rsidRDefault="00226DA4" w:rsidP="00D43094">
      <w:pPr>
        <w:pStyle w:val="Heading2"/>
      </w:pPr>
      <w:r>
        <w:t>Encoding of more than one type of UCI</w:t>
      </w:r>
    </w:p>
    <w:p w:rsidR="00BD51FF" w:rsidRDefault="005E7F18" w:rsidP="00226DA4">
      <w:r>
        <w:t xml:space="preserve">The reason for separate encoding of CQI and HARQ feedback when UCI is reported on PUSCH is the </w:t>
      </w:r>
      <w:r w:rsidR="00CA4C92">
        <w:t>different</w:t>
      </w:r>
      <w:r>
        <w:t xml:space="preserve"> BLER requirements for the different kinds of UCI</w:t>
      </w:r>
      <w:r w:rsidR="00CA4C92">
        <w:t>s</w:t>
      </w:r>
      <w:r>
        <w:t xml:space="preserve">. </w:t>
      </w:r>
      <w:r w:rsidR="00CA4C92">
        <w:t xml:space="preserve">In Rel-10, </w:t>
      </w:r>
      <w:r>
        <w:t xml:space="preserve">the BLER target </w:t>
      </w:r>
      <w:r w:rsidR="00CA4C92">
        <w:t xml:space="preserve">of different UCIs have been discussed for the design of UCI on PUSCH as in </w:t>
      </w:r>
      <w:r w:rsidR="00CA4C92">
        <w:fldChar w:fldCharType="begin"/>
      </w:r>
      <w:r w:rsidR="00CA4C92">
        <w:instrText xml:space="preserve"> REF _Ref430856442 \r \h </w:instrText>
      </w:r>
      <w:r w:rsidR="00CA4C92">
        <w:fldChar w:fldCharType="separate"/>
      </w:r>
      <w:r w:rsidR="00CA4C92">
        <w:t>[3]</w:t>
      </w:r>
      <w:r w:rsidR="00CA4C92">
        <w:fldChar w:fldCharType="end"/>
      </w:r>
      <w:r w:rsidR="00CA4C92">
        <w:t>, where</w:t>
      </w:r>
      <w:r w:rsidR="003D7A4D">
        <w:t>in</w:t>
      </w:r>
      <w:r w:rsidR="00CA4C92">
        <w:t xml:space="preserve"> the BLER target of</w:t>
      </w:r>
      <w:r>
        <w:t xml:space="preserve"> CQI is around 1%-10%, while the B</w:t>
      </w:r>
      <w:r w:rsidR="00CA4C92">
        <w:t>L</w:t>
      </w:r>
      <w:r>
        <w:t>ER target of HARQ feedback is much lower in order to avoid costly RLC retransmissions. We note that in the proposed new PUCCH format the use of a CRC to protect from NACK-to-ACK-errors brings the BLER of the new forma</w:t>
      </w:r>
      <w:r w:rsidR="00BD51FF">
        <w:t>t to ~1% also for HARQ feedback, reducing the need for separate encoding of HARQ feedback and CQI. Joint encoding also allows for a larger coding gain compared with separate encoding.</w:t>
      </w:r>
    </w:p>
    <w:p w:rsidR="00ED2C2B" w:rsidRDefault="00ED2C2B" w:rsidP="00ED2C2B">
      <w:r>
        <w:lastRenderedPageBreak/>
        <w:t>In LTE, w</w:t>
      </w:r>
      <w:r w:rsidR="00BD51FF">
        <w:t xml:space="preserve">hen the </w:t>
      </w:r>
      <w:r>
        <w:t xml:space="preserve">number of </w:t>
      </w:r>
      <w:r w:rsidR="00BD51FF">
        <w:t xml:space="preserve">CQI </w:t>
      </w:r>
      <w:r>
        <w:t xml:space="preserve">bits </w:t>
      </w:r>
      <w:r w:rsidR="00BD51FF">
        <w:t xml:space="preserve">reported is </w:t>
      </w:r>
      <w:r>
        <w:t xml:space="preserve">larger than </w:t>
      </w:r>
      <w:r w:rsidR="00CE2F15">
        <w:t xml:space="preserve">11 </w:t>
      </w:r>
      <w:r>
        <w:t>bits, a</w:t>
      </w:r>
      <w:r w:rsidR="002F1264">
        <w:t>n</w:t>
      </w:r>
      <w:r>
        <w:t xml:space="preserve"> </w:t>
      </w:r>
      <w:r w:rsidR="00CE2F15">
        <w:t xml:space="preserve">8-bit </w:t>
      </w:r>
      <w:r>
        <w:t xml:space="preserve">CRC is attached. </w:t>
      </w:r>
      <w:r w:rsidR="00526614">
        <w:t>U</w:t>
      </w:r>
      <w:r>
        <w:t xml:space="preserve">sing separate CRCs for separate types </w:t>
      </w:r>
      <w:r w:rsidR="00526614">
        <w:t>of UCI</w:t>
      </w:r>
      <w:r w:rsidR="00CE2F15">
        <w:t xml:space="preserve">, e.g. HARQ-ACK and CQI, </w:t>
      </w:r>
      <w:r w:rsidR="00526614">
        <w:t xml:space="preserve">increases the code rate and we see from </w:t>
      </w:r>
      <w:r w:rsidR="00526614">
        <w:fldChar w:fldCharType="begin"/>
      </w:r>
      <w:r w:rsidR="00526614">
        <w:instrText xml:space="preserve"> REF _Ref426717281 \h </w:instrText>
      </w:r>
      <w:r w:rsidR="00526614">
        <w:fldChar w:fldCharType="separate"/>
      </w:r>
      <w:r w:rsidR="00526614">
        <w:t xml:space="preserve">Figure </w:t>
      </w:r>
      <w:r w:rsidR="00526614">
        <w:rPr>
          <w:noProof/>
        </w:rPr>
        <w:t>3</w:t>
      </w:r>
      <w:r w:rsidR="00526614">
        <w:fldChar w:fldCharType="end"/>
      </w:r>
      <w:r w:rsidR="00526614">
        <w:t xml:space="preserve"> and </w:t>
      </w:r>
      <w:r w:rsidR="00526614">
        <w:fldChar w:fldCharType="begin"/>
      </w:r>
      <w:r w:rsidR="00526614">
        <w:instrText xml:space="preserve"> REF _Ref426717237 \h </w:instrText>
      </w:r>
      <w:r w:rsidR="00526614">
        <w:fldChar w:fldCharType="separate"/>
      </w:r>
      <w:r w:rsidR="00526614">
        <w:rPr>
          <w:noProof/>
        </w:rPr>
        <w:t>4</w:t>
      </w:r>
      <w:r w:rsidR="00526614">
        <w:fldChar w:fldCharType="end"/>
      </w:r>
      <w:r w:rsidR="008756F8">
        <w:t xml:space="preserve"> in [2]</w:t>
      </w:r>
      <w:r w:rsidR="00526614">
        <w:t xml:space="preserve"> that eight additional CRC bits raise</w:t>
      </w:r>
      <w:r>
        <w:t xml:space="preserve"> the operating SNR by ~0.5 dB. On the other hand, using a single CRC would lead to ACK-to-NACK-errors if only CQI bits are decoded in error.</w:t>
      </w:r>
      <w:r w:rsidR="00526614">
        <w:t xml:space="preserve"> </w:t>
      </w:r>
      <w:r w:rsidR="00CE2F15">
        <w:t>However, w</w:t>
      </w:r>
      <w:r w:rsidR="00526614">
        <w:t xml:space="preserve">e note that most decoding errors of the TBCC lead to having several bits in error, making this kind of event rare.  </w:t>
      </w:r>
    </w:p>
    <w:p w:rsidR="005D7C6A" w:rsidRPr="00D4108B" w:rsidRDefault="005D7C6A" w:rsidP="005D7C6A">
      <w:pPr>
        <w:rPr>
          <w:b/>
        </w:rPr>
      </w:pPr>
      <w:r w:rsidRPr="00D4108B">
        <w:rPr>
          <w:b/>
        </w:rPr>
        <w:t>Observations:</w:t>
      </w:r>
    </w:p>
    <w:p w:rsidR="005D7C6A" w:rsidRPr="00B97FE2" w:rsidRDefault="005D7C6A" w:rsidP="005D7C6A">
      <w:pPr>
        <w:pStyle w:val="BodyText"/>
        <w:keepNext/>
        <w:numPr>
          <w:ilvl w:val="0"/>
          <w:numId w:val="32"/>
        </w:numPr>
        <w:rPr>
          <w:lang w:val="en-US"/>
        </w:rPr>
      </w:pPr>
      <w:r>
        <w:rPr>
          <w:b/>
          <w:lang w:val="en-US"/>
        </w:rPr>
        <w:t xml:space="preserve">The BLER target for HARQ feedback of the new PUCCH format is close </w:t>
      </w:r>
      <w:r w:rsidR="008756F8">
        <w:rPr>
          <w:b/>
          <w:lang w:val="en-US"/>
        </w:rPr>
        <w:t xml:space="preserve">to </w:t>
      </w:r>
      <w:r>
        <w:rPr>
          <w:b/>
          <w:lang w:val="en-US"/>
        </w:rPr>
        <w:t>the BLER target of CQI.</w:t>
      </w:r>
    </w:p>
    <w:p w:rsidR="005D7C6A" w:rsidRPr="00B97FE2" w:rsidRDefault="005D7C6A" w:rsidP="005D7C6A">
      <w:pPr>
        <w:pStyle w:val="BodyText"/>
        <w:keepNext/>
        <w:numPr>
          <w:ilvl w:val="0"/>
          <w:numId w:val="32"/>
        </w:numPr>
        <w:rPr>
          <w:lang w:val="en-US"/>
        </w:rPr>
      </w:pPr>
      <w:r>
        <w:rPr>
          <w:b/>
          <w:lang w:val="en-US"/>
        </w:rPr>
        <w:t>Using separate CRCs for separate types of UCI increases the code rate but does not significantly reduce the probability of decoding error.</w:t>
      </w:r>
    </w:p>
    <w:p w:rsidR="00526614" w:rsidRDefault="00526614" w:rsidP="00ED2C2B">
      <w:pPr>
        <w:rPr>
          <w:noProof/>
        </w:rPr>
      </w:pPr>
      <w:r>
        <w:rPr>
          <w:noProof/>
        </w:rPr>
        <w:t>Based on these two observations we propose the following:</w:t>
      </w:r>
    </w:p>
    <w:p w:rsidR="00526614" w:rsidRPr="00287369" w:rsidRDefault="00526614" w:rsidP="00526614">
      <w:pPr>
        <w:rPr>
          <w:b/>
        </w:rPr>
      </w:pPr>
      <w:r>
        <w:rPr>
          <w:b/>
        </w:rPr>
        <w:t>Proposal:</w:t>
      </w:r>
    </w:p>
    <w:p w:rsidR="00526614" w:rsidRDefault="00526614" w:rsidP="00526614">
      <w:pPr>
        <w:pStyle w:val="BodyText"/>
        <w:numPr>
          <w:ilvl w:val="0"/>
          <w:numId w:val="32"/>
        </w:numPr>
        <w:rPr>
          <w:b/>
          <w:lang w:val="en-US"/>
        </w:rPr>
      </w:pPr>
      <w:r>
        <w:rPr>
          <w:b/>
          <w:lang w:val="en-US"/>
        </w:rPr>
        <w:t xml:space="preserve">When transmitting more than one kind of UCI over the new PUCCH format </w:t>
      </w:r>
      <w:r w:rsidR="005D7C6A">
        <w:rPr>
          <w:b/>
          <w:lang w:val="en-US"/>
        </w:rPr>
        <w:t xml:space="preserve">they shall be </w:t>
      </w:r>
      <w:r>
        <w:rPr>
          <w:b/>
          <w:lang w:val="en-US"/>
        </w:rPr>
        <w:t>encode</w:t>
      </w:r>
      <w:r w:rsidR="005D7C6A">
        <w:rPr>
          <w:b/>
          <w:lang w:val="en-US"/>
        </w:rPr>
        <w:t>d</w:t>
      </w:r>
      <w:r>
        <w:rPr>
          <w:b/>
          <w:lang w:val="en-US"/>
        </w:rPr>
        <w:t xml:space="preserve"> jointly.</w:t>
      </w:r>
    </w:p>
    <w:p w:rsidR="00526614" w:rsidRDefault="00526614" w:rsidP="00526614">
      <w:pPr>
        <w:pStyle w:val="BodyText"/>
        <w:numPr>
          <w:ilvl w:val="0"/>
          <w:numId w:val="32"/>
        </w:numPr>
        <w:rPr>
          <w:b/>
          <w:lang w:val="en-US"/>
        </w:rPr>
      </w:pPr>
      <w:r>
        <w:rPr>
          <w:b/>
          <w:lang w:val="en-US"/>
        </w:rPr>
        <w:t xml:space="preserve">If </w:t>
      </w:r>
      <w:r w:rsidR="003D4F28">
        <w:rPr>
          <w:b/>
          <w:lang w:val="en-US"/>
        </w:rPr>
        <w:t>the number of HARQ bits &gt; 22 or if the number of CQI bits &gt; 11</w:t>
      </w:r>
      <w:r>
        <w:rPr>
          <w:b/>
          <w:lang w:val="en-US"/>
        </w:rPr>
        <w:t xml:space="preserve">, use one set of CRC bits </w:t>
      </w:r>
      <w:r w:rsidR="0041401F">
        <w:rPr>
          <w:b/>
          <w:lang w:val="en-US"/>
        </w:rPr>
        <w:t>to protect all UCI.</w:t>
      </w:r>
      <w:r>
        <w:rPr>
          <w:b/>
          <w:lang w:val="en-US"/>
        </w:rPr>
        <w:t xml:space="preserve">  </w:t>
      </w:r>
    </w:p>
    <w:p w:rsidR="00023372" w:rsidRDefault="003A026A" w:rsidP="00D43094">
      <w:pPr>
        <w:pStyle w:val="Heading2"/>
      </w:pPr>
      <w:r>
        <w:t>Physical resource mapping</w:t>
      </w:r>
    </w:p>
    <w:p w:rsidR="00136FD4" w:rsidRDefault="007A0276" w:rsidP="00D43094">
      <w:r>
        <w:t xml:space="preserve">If </w:t>
      </w:r>
      <w:r w:rsidR="0024759E">
        <w:t>joint coding is adopted for the new PUCCH, it is possible to reuse the PUSCH resource mapping procedure for the new PUCCH format</w:t>
      </w:r>
      <w:r>
        <w:t>,</w:t>
      </w:r>
      <w:r w:rsidR="0024759E">
        <w:t xml:space="preserve"> </w:t>
      </w:r>
      <w:r>
        <w:t>i.e. the channel interleaver and physical resource mapping for PUSCH can be applied for new PUCCH format. On the other hand, if separate coding is adopted, the physical resource mapping for PUCCH may depend on what kind of UCI is actually transmitted, i.e. HARQ-ACK(SR if present)/P-CSI only or HARQ-ACK(SR) + P-CSI.</w:t>
      </w:r>
      <w:r w:rsidR="00F0152F">
        <w:t xml:space="preserve"> For HARQ-ACK(SR if present)/P-CSI only transmission, it is possible to reuse the PUSCH resource mapping rules while for the case of HARQ-ACK(SR) + P-CSI, it is possible to reuse the physical resource mapping </w:t>
      </w:r>
      <w:r w:rsidR="004C6C4E">
        <w:t>rules for UCI-only-PUSCH in Rel-12.</w:t>
      </w:r>
      <w:r w:rsidR="002E2FA6">
        <w:t xml:space="preserve"> </w:t>
      </w:r>
    </w:p>
    <w:p w:rsidR="002E2FA6" w:rsidRDefault="002E2FA6" w:rsidP="00D43094">
      <w:r>
        <w:t>As indicated in the previous section, join coding is preferred for the new PUCCH format hence we propose the following</w:t>
      </w:r>
      <w:r w:rsidR="003D4F28">
        <w:t>:</w:t>
      </w:r>
    </w:p>
    <w:p w:rsidR="002E2FA6" w:rsidRPr="00287369" w:rsidRDefault="002E2FA6" w:rsidP="002E2FA6">
      <w:pPr>
        <w:rPr>
          <w:b/>
        </w:rPr>
      </w:pPr>
      <w:r>
        <w:rPr>
          <w:b/>
        </w:rPr>
        <w:t>Proposal:</w:t>
      </w:r>
    </w:p>
    <w:p w:rsidR="002E2FA6" w:rsidRDefault="002E2FA6" w:rsidP="002E2FA6">
      <w:pPr>
        <w:pStyle w:val="BodyText"/>
        <w:numPr>
          <w:ilvl w:val="0"/>
          <w:numId w:val="32"/>
        </w:numPr>
        <w:rPr>
          <w:b/>
          <w:lang w:val="en-US"/>
        </w:rPr>
      </w:pPr>
      <w:r>
        <w:rPr>
          <w:b/>
          <w:lang w:val="en-US"/>
        </w:rPr>
        <w:t xml:space="preserve">PUSCH resource mapping </w:t>
      </w:r>
      <w:r w:rsidR="00B62979">
        <w:rPr>
          <w:b/>
          <w:lang w:val="en-US"/>
        </w:rPr>
        <w:t xml:space="preserve">is applied </w:t>
      </w:r>
      <w:r>
        <w:rPr>
          <w:b/>
          <w:lang w:val="en-US"/>
        </w:rPr>
        <w:t>for the new PUCCH format.</w:t>
      </w:r>
    </w:p>
    <w:p w:rsidR="00DE2561" w:rsidRPr="00D4108B" w:rsidRDefault="00DE2561" w:rsidP="00E429F2">
      <w:pPr>
        <w:pStyle w:val="Heading1"/>
        <w:rPr>
          <w:lang w:val="en-US"/>
        </w:rPr>
      </w:pPr>
      <w:r w:rsidRPr="00D4108B">
        <w:rPr>
          <w:lang w:val="en-US"/>
        </w:rPr>
        <w:t>Conclusion</w:t>
      </w:r>
    </w:p>
    <w:p w:rsidR="00BD2972" w:rsidRPr="00D4108B" w:rsidRDefault="002B54F0" w:rsidP="009141D6">
      <w:r w:rsidRPr="00D4108B">
        <w:rPr>
          <w:noProof/>
        </w:rPr>
        <w:t>In this contribution we discus</w:t>
      </w:r>
      <w:r w:rsidR="000509AD" w:rsidRPr="00D4108B">
        <w:rPr>
          <w:noProof/>
        </w:rPr>
        <w:t xml:space="preserve">sed </w:t>
      </w:r>
      <w:r w:rsidR="0042188B" w:rsidRPr="00D4108B">
        <w:rPr>
          <w:iCs/>
        </w:rPr>
        <w:t xml:space="preserve">the </w:t>
      </w:r>
      <w:r w:rsidR="00DC2A5D" w:rsidRPr="00D4108B">
        <w:rPr>
          <w:iCs/>
        </w:rPr>
        <w:t xml:space="preserve">PUCCH format design for CA enhancements to support up to 32 </w:t>
      </w:r>
      <w:r w:rsidR="007C1A84" w:rsidRPr="00D4108B">
        <w:rPr>
          <w:iCs/>
        </w:rPr>
        <w:t xml:space="preserve">component </w:t>
      </w:r>
      <w:r w:rsidR="00DC2A5D" w:rsidRPr="00D4108B">
        <w:rPr>
          <w:iCs/>
        </w:rPr>
        <w:t>carriers</w:t>
      </w:r>
      <w:r w:rsidR="00E53135" w:rsidRPr="00D4108B">
        <w:rPr>
          <w:iCs/>
        </w:rPr>
        <w:t xml:space="preserve"> and provided link-level simulation results</w:t>
      </w:r>
      <w:r w:rsidR="00ED52A7" w:rsidRPr="00D4108B">
        <w:rPr>
          <w:iCs/>
        </w:rPr>
        <w:t>.</w:t>
      </w:r>
      <w:r w:rsidR="00265D6F" w:rsidRPr="00D4108B">
        <w:t xml:space="preserve"> The above discussion</w:t>
      </w:r>
      <w:r w:rsidR="006A07CD" w:rsidRPr="00D4108B">
        <w:t>s and observations</w:t>
      </w:r>
      <w:r w:rsidR="00265D6F" w:rsidRPr="00D4108B">
        <w:t xml:space="preserve"> can be</w:t>
      </w:r>
      <w:r w:rsidR="00246F2C" w:rsidRPr="00D4108B">
        <w:t xml:space="preserve"> summarized </w:t>
      </w:r>
      <w:r w:rsidR="00265D6F" w:rsidRPr="00D4108B">
        <w:t>as follows</w:t>
      </w:r>
      <w:r w:rsidR="009D62DE">
        <w:t>.</w:t>
      </w:r>
    </w:p>
    <w:p w:rsidR="00E6699B" w:rsidRPr="00D4108B" w:rsidRDefault="00E6699B" w:rsidP="009141D6">
      <w:pPr>
        <w:rPr>
          <w:b/>
        </w:rPr>
      </w:pPr>
      <w:r w:rsidRPr="00D4108B">
        <w:rPr>
          <w:b/>
        </w:rPr>
        <w:t>Observations:</w:t>
      </w:r>
    </w:p>
    <w:p w:rsidR="005D7C6A" w:rsidRPr="00B97FE2" w:rsidRDefault="005D7C6A" w:rsidP="005D7C6A">
      <w:pPr>
        <w:pStyle w:val="BodyText"/>
        <w:keepNext/>
        <w:numPr>
          <w:ilvl w:val="0"/>
          <w:numId w:val="32"/>
        </w:numPr>
        <w:rPr>
          <w:lang w:val="en-US"/>
        </w:rPr>
      </w:pPr>
      <w:r w:rsidRPr="00B97FE2">
        <w:rPr>
          <w:b/>
          <w:lang w:val="en-US"/>
        </w:rPr>
        <w:t xml:space="preserve">1 DMRS/slot </w:t>
      </w:r>
      <w:r>
        <w:rPr>
          <w:b/>
          <w:lang w:val="en-US"/>
        </w:rPr>
        <w:t>with a frequency offset of up to 200 Hz performs the same as 2 DMRS/slot with no frequency offset except at 128 bit payload with only 1 PRB.</w:t>
      </w:r>
    </w:p>
    <w:p w:rsidR="005D7C6A" w:rsidRPr="00D43094" w:rsidRDefault="005D7C6A" w:rsidP="005D7C6A">
      <w:pPr>
        <w:pStyle w:val="BodyText"/>
        <w:keepNext/>
        <w:numPr>
          <w:ilvl w:val="0"/>
          <w:numId w:val="32"/>
        </w:numPr>
        <w:rPr>
          <w:lang w:val="en-US"/>
        </w:rPr>
      </w:pPr>
      <w:r>
        <w:rPr>
          <w:b/>
          <w:lang w:val="en-US"/>
        </w:rPr>
        <w:t>1 DMRS/slot with a frequency offset of 400 Hz performs 1 dB worse than 2 DMRS/slot without frequency offset.</w:t>
      </w:r>
    </w:p>
    <w:p w:rsidR="00D44FBC" w:rsidRPr="00787D44" w:rsidRDefault="00D44FBC" w:rsidP="00D44FBC">
      <w:pPr>
        <w:pStyle w:val="ListParagraph"/>
        <w:numPr>
          <w:ilvl w:val="0"/>
          <w:numId w:val="32"/>
        </w:numPr>
      </w:pPr>
      <w:r>
        <w:rPr>
          <w:b/>
          <w:sz w:val="22"/>
        </w:rPr>
        <w:t>Using 2 DMRS/slot often allows for improved use of interference rejection combining in scenarios with inter-cell interference.</w:t>
      </w:r>
    </w:p>
    <w:p w:rsidR="003D4F28" w:rsidRPr="00787D44" w:rsidRDefault="003D4F28" w:rsidP="003D4F28">
      <w:pPr>
        <w:pStyle w:val="ListParagraph"/>
        <w:numPr>
          <w:ilvl w:val="0"/>
          <w:numId w:val="32"/>
        </w:numPr>
      </w:pPr>
      <w:r>
        <w:rPr>
          <w:b/>
          <w:sz w:val="22"/>
        </w:rPr>
        <w:t>2 DMRS/slot performs better than 1 DMRS/slot at low and moderate payloads even without frequency offset compensation.</w:t>
      </w:r>
    </w:p>
    <w:p w:rsidR="003D4F28" w:rsidRPr="0026789F" w:rsidRDefault="003D4F28" w:rsidP="00D43094">
      <w:pPr>
        <w:pStyle w:val="ListParagraph"/>
        <w:numPr>
          <w:ilvl w:val="0"/>
          <w:numId w:val="32"/>
        </w:numPr>
      </w:pPr>
      <w:r>
        <w:rPr>
          <w:b/>
          <w:sz w:val="22"/>
        </w:rPr>
        <w:lastRenderedPageBreak/>
        <w:t xml:space="preserve">Using 2 DMRS/slot </w:t>
      </w:r>
      <w:r w:rsidR="00223008">
        <w:rPr>
          <w:b/>
          <w:sz w:val="22"/>
        </w:rPr>
        <w:t>often allows for improved</w:t>
      </w:r>
      <w:r>
        <w:rPr>
          <w:b/>
          <w:sz w:val="22"/>
        </w:rPr>
        <w:t xml:space="preserve"> use of interference rejection combining in scenarios with inter-cell interference.</w:t>
      </w:r>
    </w:p>
    <w:p w:rsidR="005D7C6A" w:rsidRPr="00B97FE2" w:rsidRDefault="005D7C6A" w:rsidP="005D7C6A">
      <w:pPr>
        <w:pStyle w:val="BodyText"/>
        <w:keepNext/>
        <w:numPr>
          <w:ilvl w:val="0"/>
          <w:numId w:val="32"/>
        </w:numPr>
        <w:rPr>
          <w:lang w:val="en-US"/>
        </w:rPr>
      </w:pPr>
      <w:r>
        <w:rPr>
          <w:b/>
          <w:lang w:val="en-US"/>
        </w:rPr>
        <w:t xml:space="preserve">The BLER target for HARQ feedback of the new PUCCH format is close </w:t>
      </w:r>
      <w:r w:rsidR="00C70820">
        <w:rPr>
          <w:b/>
          <w:lang w:val="en-US"/>
        </w:rPr>
        <w:t xml:space="preserve">to </w:t>
      </w:r>
      <w:r>
        <w:rPr>
          <w:b/>
          <w:lang w:val="en-US"/>
        </w:rPr>
        <w:t>the BLER target of CQI.</w:t>
      </w:r>
    </w:p>
    <w:p w:rsidR="00386285" w:rsidRPr="00DA1FDA" w:rsidRDefault="005D7C6A" w:rsidP="005D7C6A">
      <w:pPr>
        <w:pStyle w:val="BodyText"/>
        <w:numPr>
          <w:ilvl w:val="0"/>
          <w:numId w:val="32"/>
        </w:numPr>
        <w:jc w:val="left"/>
        <w:rPr>
          <w:b/>
          <w:szCs w:val="22"/>
          <w:lang w:val="en-US" w:eastAsia="en-US"/>
        </w:rPr>
      </w:pPr>
      <w:r>
        <w:rPr>
          <w:b/>
          <w:lang w:val="en-US"/>
        </w:rPr>
        <w:t>Using separate CRCs for separate types of UCI increases the code rate but does not significantly reduce the probability of decoding error.</w:t>
      </w:r>
      <w:r w:rsidR="00C67DDE" w:rsidRPr="00DA1FDA">
        <w:rPr>
          <w:b/>
        </w:rPr>
        <w:br/>
      </w:r>
    </w:p>
    <w:p w:rsidR="00CE7E9A" w:rsidRPr="00DA1FDA" w:rsidRDefault="00CE7E9A" w:rsidP="00CE7E9A">
      <w:pPr>
        <w:rPr>
          <w:b/>
        </w:rPr>
      </w:pPr>
      <w:r w:rsidRPr="00DA1FDA">
        <w:rPr>
          <w:b/>
        </w:rPr>
        <w:t>Proposal</w:t>
      </w:r>
      <w:r w:rsidR="006D7C65" w:rsidRPr="00DA1FDA">
        <w:rPr>
          <w:b/>
        </w:rPr>
        <w:t>s</w:t>
      </w:r>
      <w:r w:rsidRPr="00DA1FDA">
        <w:rPr>
          <w:b/>
        </w:rPr>
        <w:t>:</w:t>
      </w:r>
    </w:p>
    <w:p w:rsidR="003D4F28" w:rsidRPr="00E3438A" w:rsidRDefault="003D4F28" w:rsidP="003D4F28">
      <w:pPr>
        <w:pStyle w:val="BodyText"/>
        <w:numPr>
          <w:ilvl w:val="0"/>
          <w:numId w:val="32"/>
        </w:numPr>
        <w:rPr>
          <w:b/>
        </w:rPr>
      </w:pPr>
      <w:r>
        <w:rPr>
          <w:b/>
          <w:lang w:val="en-US"/>
        </w:rPr>
        <w:t>Slot-based f</w:t>
      </w:r>
      <w:r w:rsidRPr="00787D44">
        <w:rPr>
          <w:b/>
          <w:lang w:val="en-US"/>
        </w:rPr>
        <w:t xml:space="preserve">requency hopping </w:t>
      </w:r>
      <w:r>
        <w:rPr>
          <w:b/>
          <w:lang w:val="en-US"/>
        </w:rPr>
        <w:t xml:space="preserve">is </w:t>
      </w:r>
      <w:r w:rsidRPr="00787D44">
        <w:rPr>
          <w:b/>
          <w:lang w:val="en-US"/>
        </w:rPr>
        <w:t>always enabled for the new PUCCH format.</w:t>
      </w:r>
    </w:p>
    <w:p w:rsidR="005D7C6A" w:rsidRDefault="005D7C6A" w:rsidP="005D7C6A">
      <w:pPr>
        <w:pStyle w:val="BodyText"/>
        <w:numPr>
          <w:ilvl w:val="0"/>
          <w:numId w:val="32"/>
        </w:numPr>
        <w:rPr>
          <w:b/>
          <w:lang w:val="en-US"/>
        </w:rPr>
      </w:pPr>
      <w:r>
        <w:rPr>
          <w:b/>
          <w:lang w:val="en-US"/>
        </w:rPr>
        <w:t>The new PUCCH format shall use 2 DMRS/slot.</w:t>
      </w:r>
    </w:p>
    <w:p w:rsidR="005D7C6A" w:rsidRDefault="005D7C6A" w:rsidP="005D7C6A">
      <w:pPr>
        <w:pStyle w:val="BodyText"/>
        <w:numPr>
          <w:ilvl w:val="0"/>
          <w:numId w:val="32"/>
        </w:numPr>
        <w:rPr>
          <w:b/>
          <w:lang w:val="en-US"/>
        </w:rPr>
      </w:pPr>
      <w:r>
        <w:rPr>
          <w:b/>
          <w:lang w:val="en-US"/>
        </w:rPr>
        <w:t>When transmitting more than one kind of UCI over the new PUCCH format encode them jointly.</w:t>
      </w:r>
    </w:p>
    <w:p w:rsidR="003D4F28" w:rsidRDefault="003D4F28" w:rsidP="003D4F28">
      <w:pPr>
        <w:pStyle w:val="BodyText"/>
        <w:numPr>
          <w:ilvl w:val="0"/>
          <w:numId w:val="32"/>
        </w:numPr>
        <w:rPr>
          <w:b/>
          <w:lang w:val="en-US"/>
        </w:rPr>
      </w:pPr>
      <w:r>
        <w:rPr>
          <w:b/>
          <w:lang w:val="en-US"/>
        </w:rPr>
        <w:t xml:space="preserve">If the number of HARQ bits &gt; 22 or if the number of CQI bits &gt; 11, use one set of CRC bits to protect all UCI.  </w:t>
      </w:r>
    </w:p>
    <w:p w:rsidR="00B62979" w:rsidRDefault="00B62979" w:rsidP="00B62979">
      <w:pPr>
        <w:pStyle w:val="BodyText"/>
        <w:numPr>
          <w:ilvl w:val="0"/>
          <w:numId w:val="32"/>
        </w:numPr>
        <w:rPr>
          <w:b/>
          <w:lang w:val="en-US"/>
        </w:rPr>
      </w:pPr>
      <w:r>
        <w:rPr>
          <w:b/>
          <w:lang w:val="en-US"/>
        </w:rPr>
        <w:t>PUSCH resource mapping is applied for the new PUCCH format.</w:t>
      </w:r>
    </w:p>
    <w:p w:rsidR="00B67E6C" w:rsidRPr="00A36A0B" w:rsidRDefault="00B67E6C" w:rsidP="00B67E6C">
      <w:pPr>
        <w:pStyle w:val="Heading1"/>
        <w:rPr>
          <w:lang w:val="en-US"/>
        </w:rPr>
      </w:pPr>
      <w:r w:rsidRPr="00A36A0B">
        <w:rPr>
          <w:lang w:val="en-US"/>
        </w:rPr>
        <w:t>Reference</w:t>
      </w:r>
      <w:r w:rsidR="00E3500B" w:rsidRPr="00A36A0B">
        <w:rPr>
          <w:lang w:val="en-US"/>
        </w:rPr>
        <w:t>s</w:t>
      </w:r>
    </w:p>
    <w:p w:rsidR="00D942BA" w:rsidRPr="00D82513" w:rsidRDefault="00D942BA" w:rsidP="00D942BA">
      <w:pPr>
        <w:pStyle w:val="Reference"/>
        <w:rPr>
          <w:lang w:val="en-US"/>
        </w:rPr>
      </w:pPr>
      <w:bookmarkStart w:id="4" w:name="_Ref430801637"/>
      <w:bookmarkStart w:id="5" w:name="_Ref363567898"/>
      <w:bookmarkStart w:id="6" w:name="_Ref367350341"/>
      <w:bookmarkStart w:id="7" w:name="_Ref370111837"/>
      <w:bookmarkStart w:id="8" w:name="_Ref370203071"/>
      <w:bookmarkStart w:id="9" w:name="_Ref377571746"/>
      <w:bookmarkStart w:id="10" w:name="_Ref386564944"/>
      <w:bookmarkStart w:id="11" w:name="_Ref386565146"/>
      <w:bookmarkStart w:id="12" w:name="_Ref395083208"/>
      <w:bookmarkStart w:id="13" w:name="_Ref415666081"/>
      <w:r w:rsidRPr="00D82513">
        <w:rPr>
          <w:lang w:val="en-US"/>
        </w:rPr>
        <w:t>RP-142286, “New WI proposal: LTE Carrier Aggregation Enhancement Beyond 5 Carriers On the number of antenna columns”.</w:t>
      </w:r>
      <w:bookmarkEnd w:id="4"/>
    </w:p>
    <w:p w:rsidR="002972EE" w:rsidRDefault="002972EE" w:rsidP="002972EE">
      <w:pPr>
        <w:pStyle w:val="Reference"/>
        <w:rPr>
          <w:noProof/>
        </w:rPr>
      </w:pPr>
      <w:bookmarkStart w:id="14" w:name="_Ref419144631"/>
      <w:bookmarkEnd w:id="5"/>
      <w:bookmarkEnd w:id="6"/>
      <w:bookmarkEnd w:id="7"/>
      <w:bookmarkEnd w:id="8"/>
      <w:bookmarkEnd w:id="9"/>
      <w:bookmarkEnd w:id="10"/>
      <w:bookmarkEnd w:id="11"/>
      <w:bookmarkEnd w:id="12"/>
      <w:bookmarkEnd w:id="13"/>
      <w:r w:rsidRPr="00D82513">
        <w:rPr>
          <w:noProof/>
        </w:rPr>
        <w:t>R1-15</w:t>
      </w:r>
      <w:r w:rsidR="009C7D16">
        <w:rPr>
          <w:noProof/>
        </w:rPr>
        <w:t>4</w:t>
      </w:r>
      <w:bookmarkStart w:id="15" w:name="_GoBack"/>
      <w:bookmarkEnd w:id="15"/>
      <w:r w:rsidR="009E5A53">
        <w:rPr>
          <w:noProof/>
        </w:rPr>
        <w:t>419</w:t>
      </w:r>
      <w:r w:rsidRPr="00D82513">
        <w:rPr>
          <w:noProof/>
        </w:rPr>
        <w:t>, “</w:t>
      </w:r>
      <w:r w:rsidRPr="00D82513">
        <w:rPr>
          <w:lang w:val="en-US"/>
        </w:rPr>
        <w:t>PUCCH format design for CA enhancement</w:t>
      </w:r>
      <w:r w:rsidRPr="00D82513">
        <w:rPr>
          <w:noProof/>
        </w:rPr>
        <w:t>”, Ericsson</w:t>
      </w:r>
      <w:bookmarkEnd w:id="14"/>
    </w:p>
    <w:p w:rsidR="00CA4C92" w:rsidRDefault="00CA4C92" w:rsidP="002972EE">
      <w:pPr>
        <w:pStyle w:val="Reference"/>
        <w:rPr>
          <w:noProof/>
        </w:rPr>
      </w:pPr>
      <w:bookmarkStart w:id="16" w:name="_Ref430856442"/>
      <w:r>
        <w:rPr>
          <w:noProof/>
        </w:rPr>
        <w:t>R1-102631</w:t>
      </w:r>
      <w:r w:rsidRPr="00D82513">
        <w:rPr>
          <w:noProof/>
        </w:rPr>
        <w:t>, “</w:t>
      </w:r>
      <w:r>
        <w:rPr>
          <w:lang w:val="en-US"/>
        </w:rPr>
        <w:t>Design Principles for UCI on PUSCH</w:t>
      </w:r>
      <w:r w:rsidRPr="00D82513">
        <w:rPr>
          <w:noProof/>
        </w:rPr>
        <w:t>”, Ericsson</w:t>
      </w:r>
      <w:bookmarkEnd w:id="16"/>
    </w:p>
    <w:p w:rsidR="000A04E2" w:rsidRPr="00A53F56" w:rsidRDefault="000A04E2" w:rsidP="008756F8">
      <w:pPr>
        <w:pStyle w:val="Heading1"/>
        <w:rPr>
          <w:lang w:val="en-US"/>
        </w:rPr>
      </w:pPr>
      <w:r>
        <w:rPr>
          <w:lang w:val="en-US"/>
        </w:rPr>
        <w:t xml:space="preserve">Appendix: </w:t>
      </w:r>
      <w:r w:rsidRPr="00944667">
        <w:rPr>
          <w:lang w:val="en-US"/>
        </w:rPr>
        <w:t>Simulation assumptions</w:t>
      </w:r>
    </w:p>
    <w:p w:rsidR="009A792F" w:rsidRPr="00E02C10" w:rsidRDefault="0038030A" w:rsidP="009A792F">
      <w:pPr>
        <w:pStyle w:val="BodyText"/>
        <w:spacing w:before="240"/>
        <w:jc w:val="center"/>
        <w:rPr>
          <w:b/>
        </w:rPr>
      </w:pPr>
      <w:r w:rsidRPr="00D15266">
        <w:rPr>
          <w:lang w:val="en-US"/>
        </w:rPr>
        <w:tab/>
      </w:r>
      <w:r w:rsidR="009A792F">
        <w:rPr>
          <w:b/>
        </w:rPr>
        <w:t>Table I.</w:t>
      </w:r>
      <w:r w:rsidR="009A792F" w:rsidRPr="00E02C10">
        <w:rPr>
          <w:b/>
        </w:rPr>
        <w:t xml:space="preserve"> Link</w:t>
      </w:r>
      <w:r w:rsidR="009A792F">
        <w:rPr>
          <w:b/>
        </w:rPr>
        <w:t>-level simulation</w:t>
      </w:r>
      <w:r w:rsidR="009A792F" w:rsidRPr="00E02C10">
        <w:rPr>
          <w:b/>
        </w:rPr>
        <w:t xml:space="preserve"> assumptions.</w:t>
      </w:r>
    </w:p>
    <w:tbl>
      <w:tblPr>
        <w:tblW w:w="0" w:type="auto"/>
        <w:jc w:val="center"/>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9"/>
        <w:gridCol w:w="5648"/>
      </w:tblGrid>
      <w:tr w:rsidR="009A792F" w:rsidRPr="00CE5566" w:rsidTr="00732D60">
        <w:trPr>
          <w:jc w:val="center"/>
        </w:trPr>
        <w:tc>
          <w:tcPr>
            <w:tcW w:w="2859" w:type="dxa"/>
            <w:shd w:val="clear" w:color="auto" w:fill="auto"/>
          </w:tcPr>
          <w:p w:rsidR="009A792F" w:rsidRPr="00CE5566" w:rsidRDefault="009A792F" w:rsidP="009F20AA">
            <w:pPr>
              <w:pStyle w:val="BodyText"/>
              <w:spacing w:after="0"/>
              <w:jc w:val="center"/>
              <w:rPr>
                <w:rFonts w:ascii="Arial" w:eastAsia="宋体" w:hAnsi="Arial" w:cs="Arial"/>
                <w:color w:val="0000FF"/>
                <w:kern w:val="2"/>
              </w:rPr>
            </w:pPr>
            <w:r w:rsidRPr="00CE5566">
              <w:rPr>
                <w:rFonts w:eastAsia="Batang" w:hAnsi="Arial"/>
                <w:b/>
                <w:bCs/>
                <w:lang w:eastAsia="ko-KR"/>
              </w:rPr>
              <w:t>Parameter</w:t>
            </w:r>
          </w:p>
        </w:tc>
        <w:tc>
          <w:tcPr>
            <w:tcW w:w="5648" w:type="dxa"/>
            <w:shd w:val="clear" w:color="auto" w:fill="auto"/>
          </w:tcPr>
          <w:p w:rsidR="009A792F" w:rsidRPr="00CE5566" w:rsidRDefault="005344CC" w:rsidP="009F20AA">
            <w:pPr>
              <w:pStyle w:val="BodyText"/>
              <w:spacing w:after="0"/>
              <w:jc w:val="center"/>
              <w:rPr>
                <w:rFonts w:ascii="Arial" w:eastAsia="宋体" w:hAnsi="Arial" w:cs="Arial"/>
                <w:color w:val="0000FF"/>
                <w:kern w:val="2"/>
              </w:rPr>
            </w:pPr>
            <w:r>
              <w:rPr>
                <w:rFonts w:eastAsia="Batang" w:hAnsi="Arial"/>
                <w:b/>
                <w:bCs/>
                <w:lang w:eastAsia="ko-KR"/>
              </w:rPr>
              <w:t>Setting</w:t>
            </w:r>
          </w:p>
        </w:tc>
      </w:tr>
      <w:tr w:rsidR="009A792F" w:rsidRPr="00CE5566" w:rsidTr="00732D60">
        <w:trPr>
          <w:jc w:val="center"/>
        </w:trPr>
        <w:tc>
          <w:tcPr>
            <w:tcW w:w="2859" w:type="dxa"/>
            <w:shd w:val="clear" w:color="auto" w:fill="auto"/>
          </w:tcPr>
          <w:p w:rsidR="009A792F" w:rsidRPr="00CE5566" w:rsidRDefault="005344CC" w:rsidP="009F20AA">
            <w:pPr>
              <w:pStyle w:val="BodyText"/>
              <w:spacing w:after="0"/>
              <w:jc w:val="center"/>
              <w:rPr>
                <w:rFonts w:eastAsia="Batang" w:hAnsi="Arial"/>
                <w:lang w:eastAsia="ko-KR"/>
              </w:rPr>
            </w:pPr>
            <w:r>
              <w:rPr>
                <w:rFonts w:eastAsia="Batang" w:hAnsi="Arial"/>
                <w:lang w:eastAsia="ko-KR"/>
              </w:rPr>
              <w:t>C</w:t>
            </w:r>
            <w:r w:rsidR="009A792F" w:rsidRPr="00CE5566">
              <w:rPr>
                <w:rFonts w:eastAsia="Batang" w:hAnsi="Arial"/>
                <w:lang w:eastAsia="ko-KR"/>
              </w:rPr>
              <w:t>arrier frequency</w:t>
            </w:r>
          </w:p>
        </w:tc>
        <w:tc>
          <w:tcPr>
            <w:tcW w:w="5648" w:type="dxa"/>
            <w:shd w:val="clear" w:color="auto" w:fill="auto"/>
          </w:tcPr>
          <w:p w:rsidR="009A792F" w:rsidRPr="00CE5566" w:rsidRDefault="009A792F" w:rsidP="009F20AA">
            <w:pPr>
              <w:pStyle w:val="BodyText"/>
              <w:spacing w:after="0"/>
              <w:jc w:val="center"/>
              <w:rPr>
                <w:rFonts w:eastAsia="Batang" w:hAnsi="Arial"/>
                <w:lang w:eastAsia="ko-KR"/>
              </w:rPr>
            </w:pPr>
            <w:r w:rsidRPr="00CE5566">
              <w:rPr>
                <w:rFonts w:eastAsia="Batang" w:hAnsi="Arial"/>
                <w:lang w:eastAsia="ko-KR"/>
              </w:rPr>
              <w:t>2 GHz</w:t>
            </w:r>
          </w:p>
        </w:tc>
      </w:tr>
      <w:tr w:rsidR="009A792F" w:rsidRPr="009A792F" w:rsidTr="00732D60">
        <w:trPr>
          <w:jc w:val="center"/>
        </w:trPr>
        <w:tc>
          <w:tcPr>
            <w:tcW w:w="2859" w:type="dxa"/>
            <w:shd w:val="clear" w:color="auto" w:fill="auto"/>
          </w:tcPr>
          <w:p w:rsidR="009A792F" w:rsidRPr="00CE5566" w:rsidRDefault="005344CC" w:rsidP="00B26138">
            <w:pPr>
              <w:pStyle w:val="BodyText"/>
              <w:spacing w:after="0"/>
              <w:jc w:val="center"/>
              <w:rPr>
                <w:rFonts w:ascii="Arial" w:eastAsia="宋体" w:hAnsi="Arial" w:cs="Arial"/>
                <w:color w:val="0000FF"/>
                <w:kern w:val="2"/>
              </w:rPr>
            </w:pPr>
            <w:r>
              <w:rPr>
                <w:rFonts w:eastAsia="Batang" w:hAnsi="Arial"/>
                <w:lang w:eastAsia="ko-KR"/>
              </w:rPr>
              <w:t>System b</w:t>
            </w:r>
            <w:r w:rsidR="00B26138">
              <w:rPr>
                <w:rFonts w:eastAsia="Batang" w:hAnsi="Arial"/>
                <w:lang w:eastAsia="ko-KR"/>
              </w:rPr>
              <w:t>andwidth</w:t>
            </w:r>
          </w:p>
        </w:tc>
        <w:tc>
          <w:tcPr>
            <w:tcW w:w="5648" w:type="dxa"/>
            <w:shd w:val="clear" w:color="auto" w:fill="auto"/>
          </w:tcPr>
          <w:p w:rsidR="009A792F" w:rsidRPr="00B26138" w:rsidRDefault="009A792F" w:rsidP="00B26138">
            <w:pPr>
              <w:pStyle w:val="BodyText"/>
              <w:spacing w:after="0"/>
              <w:jc w:val="center"/>
              <w:rPr>
                <w:rFonts w:eastAsia="Batang" w:hAnsi="Arial"/>
                <w:lang w:eastAsia="ko-KR"/>
              </w:rPr>
            </w:pPr>
            <w:r>
              <w:rPr>
                <w:rFonts w:eastAsia="Batang" w:hAnsi="Arial"/>
                <w:lang w:eastAsia="ko-KR"/>
              </w:rPr>
              <w:t>10 MHz</w:t>
            </w:r>
          </w:p>
        </w:tc>
      </w:tr>
      <w:tr w:rsidR="00B26138" w:rsidRPr="009A792F" w:rsidTr="00732D60">
        <w:trPr>
          <w:jc w:val="center"/>
        </w:trPr>
        <w:tc>
          <w:tcPr>
            <w:tcW w:w="2859" w:type="dxa"/>
            <w:shd w:val="clear" w:color="auto" w:fill="auto"/>
          </w:tcPr>
          <w:p w:rsidR="00B26138" w:rsidRPr="00CE5566" w:rsidRDefault="005344CC" w:rsidP="009F20AA">
            <w:pPr>
              <w:pStyle w:val="BodyText"/>
              <w:spacing w:after="0"/>
              <w:jc w:val="center"/>
              <w:rPr>
                <w:rFonts w:eastAsia="Batang" w:hAnsi="Arial"/>
                <w:lang w:eastAsia="ko-KR"/>
              </w:rPr>
            </w:pPr>
            <w:r>
              <w:rPr>
                <w:rFonts w:eastAsia="Batang" w:hAnsi="Arial"/>
                <w:lang w:eastAsia="ko-KR"/>
              </w:rPr>
              <w:t>C</w:t>
            </w:r>
            <w:r w:rsidR="00B26138" w:rsidRPr="00CE5566">
              <w:rPr>
                <w:rFonts w:eastAsia="Batang" w:hAnsi="Arial"/>
                <w:lang w:eastAsia="ko-KR"/>
              </w:rPr>
              <w:t>hannel model</w:t>
            </w:r>
          </w:p>
        </w:tc>
        <w:tc>
          <w:tcPr>
            <w:tcW w:w="5648" w:type="dxa"/>
            <w:shd w:val="clear" w:color="auto" w:fill="auto"/>
          </w:tcPr>
          <w:p w:rsidR="00B26138" w:rsidRDefault="00B26138" w:rsidP="005344CC">
            <w:pPr>
              <w:pStyle w:val="BodyText"/>
              <w:spacing w:after="0"/>
              <w:jc w:val="center"/>
              <w:rPr>
                <w:rFonts w:eastAsia="Batang" w:hAnsi="Arial"/>
                <w:lang w:eastAsia="ko-KR"/>
              </w:rPr>
            </w:pPr>
            <w:r>
              <w:rPr>
                <w:rFonts w:eastAsia="Batang" w:hAnsi="Arial"/>
                <w:lang w:eastAsia="ko-KR"/>
              </w:rPr>
              <w:t>EPA</w:t>
            </w:r>
            <w:r w:rsidR="005344CC">
              <w:rPr>
                <w:rFonts w:eastAsia="Batang" w:hAnsi="Arial"/>
                <w:lang w:eastAsia="ko-KR"/>
              </w:rPr>
              <w:t xml:space="preserve"> or</w:t>
            </w:r>
            <w:r>
              <w:rPr>
                <w:rFonts w:eastAsia="Batang" w:hAnsi="Arial"/>
                <w:lang w:eastAsia="ko-KR"/>
              </w:rPr>
              <w:t xml:space="preserve"> ETU</w:t>
            </w:r>
          </w:p>
        </w:tc>
      </w:tr>
      <w:tr w:rsidR="00B26138" w:rsidRPr="009A792F" w:rsidTr="00732D60">
        <w:trPr>
          <w:jc w:val="center"/>
        </w:trPr>
        <w:tc>
          <w:tcPr>
            <w:tcW w:w="2859" w:type="dxa"/>
            <w:shd w:val="clear" w:color="auto" w:fill="auto"/>
          </w:tcPr>
          <w:p w:rsidR="00B26138" w:rsidRPr="00CE5566" w:rsidRDefault="00B26138" w:rsidP="009F20AA">
            <w:pPr>
              <w:pStyle w:val="BodyText"/>
              <w:spacing w:after="0"/>
              <w:jc w:val="center"/>
              <w:rPr>
                <w:rFonts w:eastAsia="Batang" w:hAnsi="Arial"/>
                <w:lang w:eastAsia="ko-KR"/>
              </w:rPr>
            </w:pPr>
            <w:r w:rsidRPr="00CE5566">
              <w:rPr>
                <w:rFonts w:eastAsia="Batang" w:hAnsi="Arial"/>
                <w:lang w:eastAsia="ko-KR"/>
              </w:rPr>
              <w:t>UE speed</w:t>
            </w:r>
          </w:p>
        </w:tc>
        <w:tc>
          <w:tcPr>
            <w:tcW w:w="5648" w:type="dxa"/>
            <w:shd w:val="clear" w:color="auto" w:fill="auto"/>
          </w:tcPr>
          <w:p w:rsidR="00B26138" w:rsidRDefault="00B26138" w:rsidP="008756F8">
            <w:pPr>
              <w:pStyle w:val="BodyText"/>
              <w:spacing w:after="0"/>
              <w:jc w:val="center"/>
              <w:rPr>
                <w:rFonts w:eastAsia="Batang" w:hAnsi="Arial"/>
                <w:lang w:eastAsia="ko-KR"/>
              </w:rPr>
            </w:pPr>
            <w:r>
              <w:rPr>
                <w:rFonts w:eastAsia="Batang" w:hAnsi="Arial"/>
                <w:lang w:eastAsia="ko-KR"/>
              </w:rPr>
              <w:t>3 km/h</w:t>
            </w:r>
          </w:p>
        </w:tc>
      </w:tr>
      <w:tr w:rsidR="005344CC" w:rsidRPr="009A792F" w:rsidTr="00732D60">
        <w:trPr>
          <w:jc w:val="center"/>
        </w:trPr>
        <w:tc>
          <w:tcPr>
            <w:tcW w:w="2859" w:type="dxa"/>
            <w:shd w:val="clear" w:color="auto" w:fill="auto"/>
          </w:tcPr>
          <w:p w:rsidR="005344CC" w:rsidRPr="00CE5566" w:rsidRDefault="005344CC" w:rsidP="009F20AA">
            <w:pPr>
              <w:pStyle w:val="BodyText"/>
              <w:spacing w:after="0"/>
              <w:jc w:val="center"/>
              <w:rPr>
                <w:rFonts w:eastAsia="Batang" w:hAnsi="Arial"/>
                <w:lang w:eastAsia="ko-KR"/>
              </w:rPr>
            </w:pPr>
            <w:r>
              <w:rPr>
                <w:rFonts w:eastAsia="Batang" w:hAnsi="Arial"/>
                <w:lang w:eastAsia="ko-KR"/>
              </w:rPr>
              <w:t>A</w:t>
            </w:r>
            <w:r w:rsidRPr="00CE5566">
              <w:rPr>
                <w:rFonts w:eastAsia="Batang" w:hAnsi="Arial"/>
                <w:lang w:eastAsia="ko-KR"/>
              </w:rPr>
              <w:t>ntenna setup</w:t>
            </w:r>
          </w:p>
        </w:tc>
        <w:tc>
          <w:tcPr>
            <w:tcW w:w="5648" w:type="dxa"/>
            <w:shd w:val="clear" w:color="auto" w:fill="auto"/>
          </w:tcPr>
          <w:p w:rsidR="005344CC" w:rsidRDefault="005344CC" w:rsidP="009F20AA">
            <w:pPr>
              <w:pStyle w:val="BodyText"/>
              <w:spacing w:after="0"/>
              <w:jc w:val="center"/>
              <w:rPr>
                <w:rFonts w:eastAsia="Batang" w:hAnsi="Arial"/>
                <w:lang w:eastAsia="ko-KR"/>
              </w:rPr>
            </w:pPr>
            <w:r w:rsidRPr="00CE5566">
              <w:rPr>
                <w:rFonts w:eastAsia="宋体" w:hAnsi="Arial" w:hint="eastAsia"/>
                <w:lang w:val="nb-NO"/>
              </w:rPr>
              <w:t>1</w:t>
            </w:r>
            <w:r w:rsidRPr="00CE5566">
              <w:rPr>
                <w:rFonts w:eastAsia="Batang" w:hAnsi="Arial"/>
                <w:lang w:val="nb-NO" w:eastAsia="ko-KR"/>
              </w:rPr>
              <w:t>T</w:t>
            </w:r>
            <w:r>
              <w:rPr>
                <w:rFonts w:eastAsia="Batang" w:hAnsi="Arial"/>
                <w:lang w:val="nb-NO" w:eastAsia="ko-KR"/>
              </w:rPr>
              <w:t xml:space="preserve">x, </w:t>
            </w:r>
            <w:r w:rsidRPr="00CE5566">
              <w:rPr>
                <w:rFonts w:eastAsia="Batang" w:hAnsi="Arial"/>
                <w:lang w:val="nb-NO" w:eastAsia="ko-KR"/>
              </w:rPr>
              <w:t>2R</w:t>
            </w:r>
            <w:r>
              <w:rPr>
                <w:rFonts w:eastAsia="Batang" w:hAnsi="Arial"/>
                <w:lang w:val="nb-NO" w:eastAsia="ko-KR"/>
              </w:rPr>
              <w:t>x, uncorrelated</w:t>
            </w:r>
          </w:p>
        </w:tc>
      </w:tr>
      <w:tr w:rsidR="005344CC" w:rsidRPr="009A792F" w:rsidTr="00732D60">
        <w:trPr>
          <w:jc w:val="center"/>
        </w:trPr>
        <w:tc>
          <w:tcPr>
            <w:tcW w:w="2859" w:type="dxa"/>
            <w:shd w:val="clear" w:color="auto" w:fill="auto"/>
          </w:tcPr>
          <w:p w:rsidR="005344CC" w:rsidRDefault="005344CC" w:rsidP="009F20AA">
            <w:pPr>
              <w:pStyle w:val="BodyText"/>
              <w:spacing w:after="0"/>
              <w:jc w:val="center"/>
              <w:rPr>
                <w:rFonts w:eastAsia="Batang" w:hAnsi="Arial"/>
                <w:lang w:eastAsia="ko-KR"/>
              </w:rPr>
            </w:pPr>
            <w:r>
              <w:t>Channel coding</w:t>
            </w:r>
          </w:p>
        </w:tc>
        <w:tc>
          <w:tcPr>
            <w:tcW w:w="5648" w:type="dxa"/>
            <w:shd w:val="clear" w:color="auto" w:fill="auto"/>
          </w:tcPr>
          <w:p w:rsidR="005344CC" w:rsidRPr="00CE5566" w:rsidRDefault="00B40D91" w:rsidP="009F20AA">
            <w:pPr>
              <w:pStyle w:val="BodyText"/>
              <w:spacing w:after="0"/>
              <w:jc w:val="center"/>
              <w:rPr>
                <w:rFonts w:eastAsia="宋体" w:hAnsi="Arial"/>
                <w:lang w:val="nb-NO"/>
              </w:rPr>
            </w:pPr>
            <w:r>
              <w:rPr>
                <w:rFonts w:eastAsia="宋体" w:hAnsi="Arial"/>
                <w:lang w:val="nb-NO"/>
              </w:rPr>
              <w:t xml:space="preserve">Rel. 8 </w:t>
            </w:r>
            <w:r w:rsidR="005344CC">
              <w:rPr>
                <w:rFonts w:eastAsia="宋体" w:hAnsi="Arial"/>
                <w:lang w:val="nb-NO"/>
              </w:rPr>
              <w:t>TBCC</w:t>
            </w:r>
            <w:r>
              <w:rPr>
                <w:rFonts w:eastAsia="宋体" w:hAnsi="Arial"/>
                <w:lang w:val="nb-NO"/>
              </w:rPr>
              <w:t xml:space="preserve"> and rate matching</w:t>
            </w:r>
          </w:p>
        </w:tc>
      </w:tr>
      <w:tr w:rsidR="005344CC" w:rsidRPr="009A792F" w:rsidTr="00732D60">
        <w:trPr>
          <w:jc w:val="center"/>
        </w:trPr>
        <w:tc>
          <w:tcPr>
            <w:tcW w:w="2859" w:type="dxa"/>
            <w:shd w:val="clear" w:color="auto" w:fill="auto"/>
          </w:tcPr>
          <w:p w:rsidR="005344CC" w:rsidRPr="005344CC" w:rsidRDefault="005344CC" w:rsidP="005344CC">
            <w:pPr>
              <w:ind w:left="1440" w:hanging="1440"/>
              <w:jc w:val="center"/>
              <w:rPr>
                <w:rFonts w:ascii="Times" w:eastAsiaTheme="minorHAnsi" w:hAnsi="Times" w:cs="Times"/>
                <w:szCs w:val="22"/>
                <w:lang w:eastAsia="en-US"/>
              </w:rPr>
            </w:pPr>
            <w:r>
              <w:t>DMRS Structure</w:t>
            </w:r>
          </w:p>
        </w:tc>
        <w:tc>
          <w:tcPr>
            <w:tcW w:w="5648" w:type="dxa"/>
            <w:shd w:val="clear" w:color="auto" w:fill="auto"/>
          </w:tcPr>
          <w:p w:rsidR="005344CC" w:rsidRDefault="005344CC" w:rsidP="009F20AA">
            <w:pPr>
              <w:pStyle w:val="BodyText"/>
              <w:spacing w:after="0"/>
              <w:jc w:val="center"/>
              <w:rPr>
                <w:rFonts w:eastAsia="宋体" w:hAnsi="Arial"/>
                <w:lang w:val="nb-NO"/>
              </w:rPr>
            </w:pPr>
            <w:r>
              <w:rPr>
                <w:rFonts w:eastAsia="宋体" w:hAnsi="Arial"/>
                <w:lang w:val="nb-NO"/>
              </w:rPr>
              <w:t>1 or 2 DMRS per slot</w:t>
            </w:r>
          </w:p>
        </w:tc>
      </w:tr>
      <w:tr w:rsidR="005344CC" w:rsidRPr="009A792F" w:rsidTr="00732D60">
        <w:trPr>
          <w:jc w:val="center"/>
        </w:trPr>
        <w:tc>
          <w:tcPr>
            <w:tcW w:w="2859" w:type="dxa"/>
            <w:shd w:val="clear" w:color="auto" w:fill="auto"/>
          </w:tcPr>
          <w:p w:rsidR="005344CC" w:rsidRPr="00732D60" w:rsidRDefault="005344CC" w:rsidP="005344CC">
            <w:pPr>
              <w:ind w:left="1440" w:hanging="1440"/>
              <w:jc w:val="center"/>
              <w:rPr>
                <w:rFonts w:ascii="Times" w:eastAsiaTheme="minorHAnsi" w:hAnsi="Times" w:cs="Times"/>
                <w:szCs w:val="22"/>
                <w:lang w:eastAsia="en-US"/>
              </w:rPr>
            </w:pPr>
            <w:r>
              <w:t xml:space="preserve">Channel estimation </w:t>
            </w:r>
          </w:p>
        </w:tc>
        <w:tc>
          <w:tcPr>
            <w:tcW w:w="5648" w:type="dxa"/>
            <w:shd w:val="clear" w:color="auto" w:fill="auto"/>
          </w:tcPr>
          <w:p w:rsidR="005344CC" w:rsidRDefault="005344CC" w:rsidP="009F20AA">
            <w:pPr>
              <w:pStyle w:val="BodyText"/>
              <w:spacing w:after="0"/>
              <w:jc w:val="center"/>
              <w:rPr>
                <w:rFonts w:eastAsia="宋体" w:hAnsi="Arial"/>
                <w:lang w:val="nb-NO"/>
              </w:rPr>
            </w:pPr>
            <w:r>
              <w:rPr>
                <w:rFonts w:eastAsia="宋体" w:hAnsi="Arial"/>
                <w:lang w:val="nb-NO"/>
              </w:rPr>
              <w:t>Practical, non-ideal</w:t>
            </w:r>
          </w:p>
        </w:tc>
      </w:tr>
      <w:tr w:rsidR="005344CC" w:rsidRPr="00732D60" w:rsidTr="00732D60">
        <w:trPr>
          <w:jc w:val="center"/>
        </w:trPr>
        <w:tc>
          <w:tcPr>
            <w:tcW w:w="2859" w:type="dxa"/>
            <w:shd w:val="clear" w:color="auto" w:fill="auto"/>
          </w:tcPr>
          <w:p w:rsidR="005344CC" w:rsidRDefault="005344CC" w:rsidP="005344CC">
            <w:pPr>
              <w:ind w:left="1440" w:hanging="1440"/>
              <w:jc w:val="center"/>
            </w:pPr>
            <w:r>
              <w:t>Number of PRBs for PUCCH</w:t>
            </w:r>
          </w:p>
        </w:tc>
        <w:tc>
          <w:tcPr>
            <w:tcW w:w="5648" w:type="dxa"/>
            <w:shd w:val="clear" w:color="auto" w:fill="auto"/>
          </w:tcPr>
          <w:p w:rsidR="005344CC" w:rsidRDefault="005344CC" w:rsidP="005344CC">
            <w:pPr>
              <w:pStyle w:val="BodyText"/>
              <w:spacing w:after="0"/>
              <w:jc w:val="center"/>
              <w:rPr>
                <w:rFonts w:eastAsia="宋体" w:hAnsi="Arial"/>
                <w:lang w:val="nb-NO"/>
              </w:rPr>
            </w:pPr>
            <w:r>
              <w:rPr>
                <w:rFonts w:eastAsia="宋体" w:hAnsi="Arial"/>
                <w:lang w:val="nb-NO"/>
              </w:rPr>
              <w:t xml:space="preserve">1 </w:t>
            </w:r>
            <w:r w:rsidR="005E3970">
              <w:rPr>
                <w:rFonts w:eastAsia="宋体" w:hAnsi="Arial"/>
                <w:lang w:val="nb-NO"/>
              </w:rPr>
              <w:t>–</w:t>
            </w:r>
            <w:r>
              <w:rPr>
                <w:rFonts w:eastAsia="宋体" w:hAnsi="Arial"/>
                <w:lang w:val="nb-NO"/>
              </w:rPr>
              <w:t xml:space="preserve"> </w:t>
            </w:r>
            <w:r w:rsidR="008756F8">
              <w:rPr>
                <w:rFonts w:eastAsia="宋体" w:hAnsi="Arial"/>
                <w:lang w:val="nb-NO"/>
              </w:rPr>
              <w:t>2</w:t>
            </w:r>
          </w:p>
        </w:tc>
      </w:tr>
      <w:tr w:rsidR="005344CC" w:rsidRPr="00CE5566" w:rsidTr="00732D60">
        <w:trPr>
          <w:jc w:val="center"/>
        </w:trPr>
        <w:tc>
          <w:tcPr>
            <w:tcW w:w="2859" w:type="dxa"/>
            <w:shd w:val="clear" w:color="auto" w:fill="auto"/>
          </w:tcPr>
          <w:p w:rsidR="005344CC" w:rsidRPr="00CE5566" w:rsidRDefault="005344CC" w:rsidP="009F20AA">
            <w:pPr>
              <w:pStyle w:val="BodyText"/>
              <w:spacing w:after="0"/>
              <w:jc w:val="center"/>
              <w:rPr>
                <w:rFonts w:eastAsia="Batang" w:hAnsi="Arial"/>
                <w:lang w:eastAsia="ko-KR"/>
              </w:rPr>
            </w:pPr>
            <w:r>
              <w:rPr>
                <w:kern w:val="2"/>
              </w:rPr>
              <w:t xml:space="preserve">PUCCH </w:t>
            </w:r>
            <w:r w:rsidRPr="00CE5566">
              <w:rPr>
                <w:kern w:val="2"/>
              </w:rPr>
              <w:t>f</w:t>
            </w:r>
            <w:r w:rsidRPr="00CE5566">
              <w:rPr>
                <w:rFonts w:hint="eastAsia"/>
                <w:kern w:val="2"/>
              </w:rPr>
              <w:t>requency hopping</w:t>
            </w:r>
          </w:p>
        </w:tc>
        <w:tc>
          <w:tcPr>
            <w:tcW w:w="5648" w:type="dxa"/>
            <w:shd w:val="clear" w:color="auto" w:fill="auto"/>
          </w:tcPr>
          <w:p w:rsidR="005344CC" w:rsidRPr="00CE5566" w:rsidRDefault="00B84C35" w:rsidP="009F20AA">
            <w:pPr>
              <w:pStyle w:val="BodyText"/>
              <w:spacing w:after="0"/>
              <w:jc w:val="center"/>
              <w:rPr>
                <w:rFonts w:eastAsia="宋体" w:hAnsi="Arial"/>
              </w:rPr>
            </w:pPr>
            <w:r>
              <w:rPr>
                <w:rFonts w:eastAsia="宋体" w:hAnsi="Arial"/>
              </w:rPr>
              <w:t>A</w:t>
            </w:r>
            <w:r w:rsidR="005344CC" w:rsidRPr="00CE5566">
              <w:rPr>
                <w:rFonts w:eastAsia="宋体" w:hAnsi="Arial"/>
              </w:rPr>
              <w:t>t slot boundary</w:t>
            </w:r>
          </w:p>
        </w:tc>
      </w:tr>
      <w:tr w:rsidR="005344CC" w:rsidRPr="00CE5566" w:rsidTr="00732D60">
        <w:trPr>
          <w:jc w:val="center"/>
        </w:trPr>
        <w:tc>
          <w:tcPr>
            <w:tcW w:w="2859" w:type="dxa"/>
            <w:shd w:val="clear" w:color="auto" w:fill="auto"/>
          </w:tcPr>
          <w:p w:rsidR="005344CC" w:rsidRPr="00CE5566" w:rsidRDefault="005344CC" w:rsidP="005344CC">
            <w:pPr>
              <w:pStyle w:val="BodyText"/>
              <w:spacing w:after="0"/>
              <w:jc w:val="center"/>
              <w:rPr>
                <w:rFonts w:ascii="Arial" w:eastAsia="宋体" w:hAnsi="Arial" w:cs="Arial"/>
                <w:kern w:val="2"/>
              </w:rPr>
            </w:pPr>
            <w:r>
              <w:t xml:space="preserve">CRC length </w:t>
            </w:r>
          </w:p>
        </w:tc>
        <w:tc>
          <w:tcPr>
            <w:tcW w:w="5648" w:type="dxa"/>
            <w:shd w:val="clear" w:color="auto" w:fill="auto"/>
          </w:tcPr>
          <w:p w:rsidR="005344CC" w:rsidRPr="00CE5566" w:rsidRDefault="005344CC" w:rsidP="009F20AA">
            <w:pPr>
              <w:pStyle w:val="BodyText"/>
              <w:spacing w:after="0"/>
              <w:jc w:val="center"/>
              <w:rPr>
                <w:rFonts w:eastAsia="宋体" w:hAnsi="Arial"/>
                <w:lang w:val="nb-NO"/>
              </w:rPr>
            </w:pPr>
            <w:r>
              <w:rPr>
                <w:rFonts w:eastAsia="宋体" w:hAnsi="Arial"/>
                <w:lang w:val="nb-NO"/>
              </w:rPr>
              <w:t>8  bits</w:t>
            </w:r>
          </w:p>
        </w:tc>
      </w:tr>
      <w:tr w:rsidR="005344CC" w:rsidRPr="00CE5566" w:rsidTr="005344CC">
        <w:trPr>
          <w:jc w:val="center"/>
        </w:trPr>
        <w:tc>
          <w:tcPr>
            <w:tcW w:w="2859" w:type="dxa"/>
            <w:shd w:val="clear" w:color="auto" w:fill="auto"/>
          </w:tcPr>
          <w:p w:rsidR="005344CC" w:rsidRDefault="005344CC" w:rsidP="005344CC">
            <w:pPr>
              <w:pStyle w:val="BodyText"/>
              <w:spacing w:after="0"/>
              <w:jc w:val="center"/>
            </w:pPr>
            <w:r>
              <w:rPr>
                <w:lang w:eastAsia="ja-JP"/>
              </w:rPr>
              <w:t>Payload size</w:t>
            </w:r>
          </w:p>
        </w:tc>
        <w:tc>
          <w:tcPr>
            <w:tcW w:w="5648" w:type="dxa"/>
            <w:shd w:val="clear" w:color="auto" w:fill="auto"/>
          </w:tcPr>
          <w:p w:rsidR="005344CC" w:rsidRDefault="005344CC" w:rsidP="008756F8">
            <w:pPr>
              <w:pStyle w:val="BodyText"/>
              <w:spacing w:after="0"/>
              <w:jc w:val="center"/>
              <w:rPr>
                <w:rFonts w:eastAsia="宋体" w:hAnsi="Arial"/>
                <w:lang w:val="nb-NO"/>
              </w:rPr>
            </w:pPr>
            <w:r>
              <w:rPr>
                <w:lang w:eastAsia="ja-JP"/>
              </w:rPr>
              <w:t>22, 32</w:t>
            </w:r>
            <w:r w:rsidR="00B06F2F">
              <w:rPr>
                <w:lang w:eastAsia="ja-JP"/>
              </w:rPr>
              <w:t>,</w:t>
            </w:r>
            <w:r>
              <w:rPr>
                <w:lang w:eastAsia="ja-JP"/>
              </w:rPr>
              <w:t xml:space="preserve"> 64</w:t>
            </w:r>
            <w:r w:rsidR="00B06F2F">
              <w:rPr>
                <w:lang w:eastAsia="ja-JP"/>
              </w:rPr>
              <w:t xml:space="preserve">, </w:t>
            </w:r>
            <w:r>
              <w:rPr>
                <w:lang w:eastAsia="ja-JP"/>
              </w:rPr>
              <w:t>and 128 bits</w:t>
            </w:r>
          </w:p>
        </w:tc>
      </w:tr>
      <w:tr w:rsidR="005344CC" w:rsidRPr="00CE5566" w:rsidTr="00732D60">
        <w:trPr>
          <w:jc w:val="center"/>
        </w:trPr>
        <w:tc>
          <w:tcPr>
            <w:tcW w:w="2859" w:type="dxa"/>
            <w:shd w:val="clear" w:color="auto" w:fill="auto"/>
          </w:tcPr>
          <w:p w:rsidR="005344CC" w:rsidRPr="00CE5566" w:rsidRDefault="005344CC" w:rsidP="009F20AA">
            <w:pPr>
              <w:pStyle w:val="BodyText"/>
              <w:spacing w:after="0"/>
              <w:jc w:val="center"/>
              <w:rPr>
                <w:rFonts w:eastAsia="宋体" w:hAnsi="Arial"/>
              </w:rPr>
            </w:pPr>
            <w:r w:rsidRPr="00CE5566">
              <w:rPr>
                <w:rFonts w:eastAsia="宋体" w:hAnsi="Arial" w:hint="eastAsia"/>
              </w:rPr>
              <w:t>CP type</w:t>
            </w:r>
          </w:p>
        </w:tc>
        <w:tc>
          <w:tcPr>
            <w:tcW w:w="5648" w:type="dxa"/>
            <w:shd w:val="clear" w:color="auto" w:fill="auto"/>
          </w:tcPr>
          <w:p w:rsidR="005344CC" w:rsidRPr="00CE5566" w:rsidRDefault="005E3970" w:rsidP="009F20AA">
            <w:pPr>
              <w:pStyle w:val="BodyText"/>
              <w:spacing w:after="0"/>
              <w:jc w:val="center"/>
              <w:rPr>
                <w:rFonts w:eastAsia="宋体" w:hAnsi="Arial"/>
              </w:rPr>
            </w:pPr>
            <w:r>
              <w:rPr>
                <w:rFonts w:eastAsia="宋体" w:hAnsi="Arial"/>
              </w:rPr>
              <w:t>N</w:t>
            </w:r>
            <w:r w:rsidR="005344CC" w:rsidRPr="00CE5566">
              <w:rPr>
                <w:rFonts w:eastAsia="宋体" w:hAnsi="Arial" w:hint="eastAsia"/>
              </w:rPr>
              <w:t>ormal CP</w:t>
            </w:r>
          </w:p>
        </w:tc>
      </w:tr>
      <w:tr w:rsidR="005344CC" w:rsidRPr="00CE5566" w:rsidTr="00732D60">
        <w:trPr>
          <w:jc w:val="center"/>
        </w:trPr>
        <w:tc>
          <w:tcPr>
            <w:tcW w:w="2859" w:type="dxa"/>
            <w:shd w:val="clear" w:color="auto" w:fill="auto"/>
            <w:vAlign w:val="center"/>
          </w:tcPr>
          <w:p w:rsidR="005344CC" w:rsidRPr="00CE5566" w:rsidRDefault="005E3970" w:rsidP="009F20AA">
            <w:pPr>
              <w:pStyle w:val="BodyText"/>
              <w:spacing w:after="0"/>
              <w:jc w:val="center"/>
              <w:rPr>
                <w:rFonts w:eastAsia="宋体" w:hAnsi="Arial"/>
              </w:rPr>
            </w:pPr>
            <w:r>
              <w:rPr>
                <w:rFonts w:eastAsia="宋体" w:hAnsi="Arial"/>
              </w:rPr>
              <w:t>S</w:t>
            </w:r>
            <w:r w:rsidR="005344CC" w:rsidRPr="00CE5566">
              <w:rPr>
                <w:rFonts w:eastAsia="宋体" w:hAnsi="Arial"/>
              </w:rPr>
              <w:t>ignal bandwidth</w:t>
            </w:r>
            <w:r w:rsidR="005344CC">
              <w:rPr>
                <w:rFonts w:eastAsia="宋体" w:hAnsi="Arial"/>
              </w:rPr>
              <w:t xml:space="preserve"> per PRB </w:t>
            </w:r>
          </w:p>
        </w:tc>
        <w:tc>
          <w:tcPr>
            <w:tcW w:w="5648" w:type="dxa"/>
            <w:shd w:val="clear" w:color="auto" w:fill="auto"/>
            <w:vAlign w:val="center"/>
          </w:tcPr>
          <w:p w:rsidR="005344CC" w:rsidRPr="00CE5566" w:rsidRDefault="005344CC" w:rsidP="00B26138">
            <w:pPr>
              <w:pStyle w:val="BodyText"/>
              <w:spacing w:after="0"/>
              <w:jc w:val="center"/>
              <w:rPr>
                <w:rFonts w:eastAsia="宋体" w:hAnsi="Arial"/>
              </w:rPr>
            </w:pPr>
            <w:r w:rsidRPr="00CE5566">
              <w:rPr>
                <w:rFonts w:eastAsia="宋体" w:hAnsi="Arial"/>
              </w:rPr>
              <w:t>180 kHz</w:t>
            </w:r>
            <w:r>
              <w:rPr>
                <w:rFonts w:eastAsia="宋体" w:hAnsi="Arial"/>
              </w:rPr>
              <w:t xml:space="preserve"> </w:t>
            </w:r>
          </w:p>
        </w:tc>
      </w:tr>
      <w:tr w:rsidR="008248B2" w:rsidRPr="00CE5566" w:rsidTr="00732D60">
        <w:trPr>
          <w:jc w:val="center"/>
        </w:trPr>
        <w:tc>
          <w:tcPr>
            <w:tcW w:w="2859" w:type="dxa"/>
            <w:shd w:val="clear" w:color="auto" w:fill="auto"/>
            <w:vAlign w:val="center"/>
          </w:tcPr>
          <w:p w:rsidR="008248B2" w:rsidRDefault="008248B2" w:rsidP="009F20AA">
            <w:pPr>
              <w:pStyle w:val="BodyText"/>
              <w:spacing w:after="0"/>
              <w:jc w:val="center"/>
              <w:rPr>
                <w:rFonts w:eastAsia="宋体" w:hAnsi="Arial"/>
              </w:rPr>
            </w:pPr>
            <w:r>
              <w:rPr>
                <w:rFonts w:eastAsia="宋体" w:hAnsi="Arial"/>
              </w:rPr>
              <w:t>Modulation</w:t>
            </w:r>
          </w:p>
        </w:tc>
        <w:tc>
          <w:tcPr>
            <w:tcW w:w="5648" w:type="dxa"/>
            <w:shd w:val="clear" w:color="auto" w:fill="auto"/>
            <w:vAlign w:val="center"/>
          </w:tcPr>
          <w:p w:rsidR="008248B2" w:rsidRPr="00CE5566" w:rsidRDefault="008248B2" w:rsidP="00B26138">
            <w:pPr>
              <w:pStyle w:val="BodyText"/>
              <w:spacing w:after="0"/>
              <w:jc w:val="center"/>
              <w:rPr>
                <w:rFonts w:eastAsia="宋体" w:hAnsi="Arial"/>
              </w:rPr>
            </w:pPr>
            <w:r>
              <w:rPr>
                <w:rFonts w:eastAsia="宋体" w:hAnsi="Arial"/>
              </w:rPr>
              <w:t>QPSK</w:t>
            </w:r>
          </w:p>
        </w:tc>
      </w:tr>
      <w:tr w:rsidR="005344CC" w:rsidRPr="00CE5566" w:rsidTr="00732D60">
        <w:trPr>
          <w:jc w:val="center"/>
        </w:trPr>
        <w:tc>
          <w:tcPr>
            <w:tcW w:w="2859" w:type="dxa"/>
            <w:shd w:val="clear" w:color="auto" w:fill="auto"/>
            <w:vAlign w:val="center"/>
          </w:tcPr>
          <w:p w:rsidR="005344CC" w:rsidRPr="00CE5566" w:rsidRDefault="005E3970" w:rsidP="009F20AA">
            <w:pPr>
              <w:pStyle w:val="BodyText"/>
              <w:spacing w:after="0"/>
              <w:jc w:val="center"/>
              <w:rPr>
                <w:rFonts w:eastAsia="宋体" w:hAnsi="Arial"/>
              </w:rPr>
            </w:pPr>
            <w:r>
              <w:rPr>
                <w:rFonts w:eastAsia="宋体" w:hAnsi="Arial"/>
              </w:rPr>
              <w:t>N</w:t>
            </w:r>
            <w:r w:rsidR="005344CC" w:rsidRPr="00CE5566">
              <w:rPr>
                <w:rFonts w:eastAsia="宋体" w:hAnsi="Arial"/>
              </w:rPr>
              <w:t>umber of UEs</w:t>
            </w:r>
          </w:p>
        </w:tc>
        <w:tc>
          <w:tcPr>
            <w:tcW w:w="5648" w:type="dxa"/>
            <w:shd w:val="clear" w:color="auto" w:fill="auto"/>
            <w:vAlign w:val="center"/>
          </w:tcPr>
          <w:p w:rsidR="005344CC" w:rsidRDefault="005344CC" w:rsidP="009F20AA">
            <w:pPr>
              <w:pStyle w:val="BodyText"/>
              <w:spacing w:after="0"/>
              <w:jc w:val="center"/>
            </w:pPr>
            <w:r>
              <w:t>1</w:t>
            </w:r>
          </w:p>
        </w:tc>
      </w:tr>
      <w:tr w:rsidR="005344CC" w:rsidRPr="00CE5566" w:rsidTr="00732D60">
        <w:trPr>
          <w:jc w:val="center"/>
        </w:trPr>
        <w:tc>
          <w:tcPr>
            <w:tcW w:w="2859" w:type="dxa"/>
            <w:shd w:val="clear" w:color="auto" w:fill="auto"/>
          </w:tcPr>
          <w:p w:rsidR="005344CC" w:rsidRPr="00CE5566" w:rsidRDefault="005E3970" w:rsidP="009F20AA">
            <w:pPr>
              <w:pStyle w:val="BodyText"/>
              <w:spacing w:after="0"/>
              <w:jc w:val="center"/>
              <w:rPr>
                <w:rFonts w:eastAsia="宋体" w:hAnsi="Arial"/>
              </w:rPr>
            </w:pPr>
            <w:r>
              <w:rPr>
                <w:rFonts w:eastAsia="宋体" w:hAnsi="Arial"/>
              </w:rPr>
              <w:t xml:space="preserve">Receiver noise </w:t>
            </w:r>
          </w:p>
        </w:tc>
        <w:tc>
          <w:tcPr>
            <w:tcW w:w="5648" w:type="dxa"/>
            <w:shd w:val="clear" w:color="auto" w:fill="auto"/>
          </w:tcPr>
          <w:p w:rsidR="005344CC" w:rsidRPr="00CE5566" w:rsidRDefault="005E3970" w:rsidP="009F20AA">
            <w:pPr>
              <w:pStyle w:val="BodyText"/>
              <w:spacing w:after="0"/>
              <w:jc w:val="center"/>
              <w:rPr>
                <w:rFonts w:eastAsia="宋体" w:hAnsi="Arial"/>
              </w:rPr>
            </w:pPr>
            <w:r>
              <w:rPr>
                <w:rFonts w:eastAsia="宋体" w:hAnsi="Arial"/>
              </w:rPr>
              <w:t>AWGN</w:t>
            </w:r>
          </w:p>
        </w:tc>
      </w:tr>
      <w:tr w:rsidR="005E3970" w:rsidRPr="00CE5566" w:rsidTr="00732D60">
        <w:trPr>
          <w:jc w:val="center"/>
        </w:trPr>
        <w:tc>
          <w:tcPr>
            <w:tcW w:w="2859" w:type="dxa"/>
            <w:shd w:val="clear" w:color="auto" w:fill="auto"/>
            <w:vAlign w:val="center"/>
          </w:tcPr>
          <w:p w:rsidR="005E3970" w:rsidRDefault="005E3970" w:rsidP="009F20AA">
            <w:pPr>
              <w:pStyle w:val="BodyText"/>
              <w:spacing w:after="0"/>
              <w:jc w:val="center"/>
              <w:rPr>
                <w:rFonts w:eastAsia="宋体" w:hAnsi="Arial"/>
              </w:rPr>
            </w:pPr>
            <w:r>
              <w:rPr>
                <w:rFonts w:eastAsia="宋体" w:hAnsi="Arial"/>
              </w:rPr>
              <w:t>N</w:t>
            </w:r>
            <w:r w:rsidRPr="00CE5566">
              <w:rPr>
                <w:rFonts w:eastAsia="宋体" w:hAnsi="Arial"/>
              </w:rPr>
              <w:t>oise estimation</w:t>
            </w:r>
          </w:p>
        </w:tc>
        <w:tc>
          <w:tcPr>
            <w:tcW w:w="5648" w:type="dxa"/>
            <w:shd w:val="clear" w:color="auto" w:fill="auto"/>
            <w:vAlign w:val="center"/>
          </w:tcPr>
          <w:p w:rsidR="005E3970" w:rsidRDefault="005E3970" w:rsidP="009F20AA">
            <w:pPr>
              <w:pStyle w:val="BodyText"/>
              <w:spacing w:after="0"/>
              <w:jc w:val="center"/>
              <w:rPr>
                <w:rFonts w:eastAsia="宋体" w:hAnsi="Arial"/>
              </w:rPr>
            </w:pPr>
            <w:r>
              <w:t>Ideal</w:t>
            </w:r>
          </w:p>
        </w:tc>
      </w:tr>
      <w:tr w:rsidR="005E3970" w:rsidRPr="00CE5566" w:rsidTr="00732D60">
        <w:trPr>
          <w:jc w:val="center"/>
        </w:trPr>
        <w:tc>
          <w:tcPr>
            <w:tcW w:w="2859" w:type="dxa"/>
            <w:shd w:val="clear" w:color="auto" w:fill="auto"/>
          </w:tcPr>
          <w:p w:rsidR="005E3970" w:rsidRPr="00CE5566" w:rsidRDefault="005E3970" w:rsidP="009F20AA">
            <w:pPr>
              <w:pStyle w:val="BodyText"/>
              <w:spacing w:after="0"/>
              <w:jc w:val="center"/>
              <w:rPr>
                <w:rFonts w:eastAsia="宋体" w:hAnsi="Arial"/>
              </w:rPr>
            </w:pPr>
            <w:r>
              <w:t xml:space="preserve">Performance Metric </w:t>
            </w:r>
          </w:p>
        </w:tc>
        <w:tc>
          <w:tcPr>
            <w:tcW w:w="5648" w:type="dxa"/>
            <w:shd w:val="clear" w:color="auto" w:fill="auto"/>
          </w:tcPr>
          <w:p w:rsidR="005E3970" w:rsidRDefault="005E3970">
            <w:pPr>
              <w:ind w:left="36" w:hanging="36"/>
              <w:rPr>
                <w:rFonts w:ascii="Times" w:eastAsiaTheme="minorHAnsi" w:hAnsi="Times" w:cs="Times"/>
                <w:szCs w:val="22"/>
                <w:lang w:eastAsia="en-US"/>
              </w:rPr>
            </w:pPr>
            <w:r>
              <w:t xml:space="preserve">ACK missed detection probability (1 %), NACK-to-ACK </w:t>
            </w:r>
            <w:r>
              <w:lastRenderedPageBreak/>
              <w:t>error probability (0.1%);  DTX-to-ACK probability 1%</w:t>
            </w:r>
          </w:p>
          <w:p w:rsidR="005E3970" w:rsidRPr="00CE5566" w:rsidRDefault="005E3970" w:rsidP="009F20AA">
            <w:pPr>
              <w:pStyle w:val="BodyText"/>
              <w:spacing w:after="0"/>
              <w:jc w:val="center"/>
              <w:rPr>
                <w:rFonts w:eastAsia="宋体" w:hAnsi="Arial"/>
              </w:rPr>
            </w:pPr>
            <w:r>
              <w:t>With CRC, in case CRC check fail eNodeB considers all bits as “NACK”</w:t>
            </w:r>
          </w:p>
        </w:tc>
      </w:tr>
    </w:tbl>
    <w:p w:rsidR="00380DF4" w:rsidRDefault="00380DF4" w:rsidP="0038030A">
      <w:pPr>
        <w:tabs>
          <w:tab w:val="left" w:pos="5760"/>
        </w:tabs>
        <w:rPr>
          <w:lang w:val="en-US"/>
        </w:rPr>
      </w:pPr>
    </w:p>
    <w:p w:rsidR="00380DF4" w:rsidRPr="00953B34" w:rsidRDefault="00380DF4" w:rsidP="0038030A">
      <w:pPr>
        <w:tabs>
          <w:tab w:val="left" w:pos="5760"/>
        </w:tabs>
        <w:rPr>
          <w:color w:val="FF0000"/>
          <w:lang w:val="en-US"/>
        </w:rPr>
      </w:pPr>
    </w:p>
    <w:sectPr w:rsidR="00380DF4" w:rsidRPr="00953B34" w:rsidSect="005A7521">
      <w:footerReference w:type="defaul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77A" w:rsidRDefault="007C677A" w:rsidP="000C2022">
      <w:pPr>
        <w:spacing w:after="0"/>
      </w:pPr>
      <w:r>
        <w:separator/>
      </w:r>
    </w:p>
  </w:endnote>
  <w:endnote w:type="continuationSeparator" w:id="0">
    <w:p w:rsidR="007C677A" w:rsidRDefault="007C677A"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9E0" w:rsidRPr="00B01B98" w:rsidRDefault="006F19E0">
    <w:pPr>
      <w:pStyle w:val="Footer"/>
      <w:rPr>
        <w:lang w:val="en-US"/>
      </w:rPr>
    </w:pPr>
  </w:p>
  <w:p w:rsidR="006F19E0" w:rsidRDefault="006F19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77A" w:rsidRDefault="007C677A" w:rsidP="000C2022">
      <w:pPr>
        <w:spacing w:after="0"/>
      </w:pPr>
      <w:r>
        <w:separator/>
      </w:r>
    </w:p>
  </w:footnote>
  <w:footnote w:type="continuationSeparator" w:id="0">
    <w:p w:rsidR="007C677A" w:rsidRDefault="007C677A"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66E6"/>
    <w:multiLevelType w:val="hybridMultilevel"/>
    <w:tmpl w:val="839ECFD2"/>
    <w:lvl w:ilvl="0" w:tplc="44502D90">
      <w:start w:val="1"/>
      <w:numFmt w:val="bullet"/>
      <w:lvlText w:val="–"/>
      <w:lvlJc w:val="left"/>
      <w:pPr>
        <w:tabs>
          <w:tab w:val="num" w:pos="720"/>
        </w:tabs>
        <w:ind w:left="720" w:hanging="360"/>
      </w:pPr>
      <w:rPr>
        <w:rFonts w:ascii="Ericsson Capital TT" w:hAnsi="Ericsson Capital TT" w:hint="default"/>
      </w:rPr>
    </w:lvl>
    <w:lvl w:ilvl="1" w:tplc="5B240D2C">
      <w:start w:val="1"/>
      <w:numFmt w:val="bullet"/>
      <w:lvlText w:val="–"/>
      <w:lvlJc w:val="left"/>
      <w:pPr>
        <w:tabs>
          <w:tab w:val="num" w:pos="1440"/>
        </w:tabs>
        <w:ind w:left="1440" w:hanging="360"/>
      </w:pPr>
      <w:rPr>
        <w:rFonts w:ascii="Ericsson Capital TT" w:hAnsi="Ericsson Capital TT" w:hint="default"/>
      </w:rPr>
    </w:lvl>
    <w:lvl w:ilvl="2" w:tplc="C928B95A" w:tentative="1">
      <w:start w:val="1"/>
      <w:numFmt w:val="bullet"/>
      <w:lvlText w:val="–"/>
      <w:lvlJc w:val="left"/>
      <w:pPr>
        <w:tabs>
          <w:tab w:val="num" w:pos="2160"/>
        </w:tabs>
        <w:ind w:left="2160" w:hanging="360"/>
      </w:pPr>
      <w:rPr>
        <w:rFonts w:ascii="Ericsson Capital TT" w:hAnsi="Ericsson Capital TT" w:hint="default"/>
      </w:rPr>
    </w:lvl>
    <w:lvl w:ilvl="3" w:tplc="2120552A" w:tentative="1">
      <w:start w:val="1"/>
      <w:numFmt w:val="bullet"/>
      <w:lvlText w:val="–"/>
      <w:lvlJc w:val="left"/>
      <w:pPr>
        <w:tabs>
          <w:tab w:val="num" w:pos="2880"/>
        </w:tabs>
        <w:ind w:left="2880" w:hanging="360"/>
      </w:pPr>
      <w:rPr>
        <w:rFonts w:ascii="Ericsson Capital TT" w:hAnsi="Ericsson Capital TT" w:hint="default"/>
      </w:rPr>
    </w:lvl>
    <w:lvl w:ilvl="4" w:tplc="A0DC9492" w:tentative="1">
      <w:start w:val="1"/>
      <w:numFmt w:val="bullet"/>
      <w:lvlText w:val="–"/>
      <w:lvlJc w:val="left"/>
      <w:pPr>
        <w:tabs>
          <w:tab w:val="num" w:pos="3600"/>
        </w:tabs>
        <w:ind w:left="3600" w:hanging="360"/>
      </w:pPr>
      <w:rPr>
        <w:rFonts w:ascii="Ericsson Capital TT" w:hAnsi="Ericsson Capital TT" w:hint="default"/>
      </w:rPr>
    </w:lvl>
    <w:lvl w:ilvl="5" w:tplc="3FE46908" w:tentative="1">
      <w:start w:val="1"/>
      <w:numFmt w:val="bullet"/>
      <w:lvlText w:val="–"/>
      <w:lvlJc w:val="left"/>
      <w:pPr>
        <w:tabs>
          <w:tab w:val="num" w:pos="4320"/>
        </w:tabs>
        <w:ind w:left="4320" w:hanging="360"/>
      </w:pPr>
      <w:rPr>
        <w:rFonts w:ascii="Ericsson Capital TT" w:hAnsi="Ericsson Capital TT" w:hint="default"/>
      </w:rPr>
    </w:lvl>
    <w:lvl w:ilvl="6" w:tplc="F50090CA" w:tentative="1">
      <w:start w:val="1"/>
      <w:numFmt w:val="bullet"/>
      <w:lvlText w:val="–"/>
      <w:lvlJc w:val="left"/>
      <w:pPr>
        <w:tabs>
          <w:tab w:val="num" w:pos="5040"/>
        </w:tabs>
        <w:ind w:left="5040" w:hanging="360"/>
      </w:pPr>
      <w:rPr>
        <w:rFonts w:ascii="Ericsson Capital TT" w:hAnsi="Ericsson Capital TT" w:hint="default"/>
      </w:rPr>
    </w:lvl>
    <w:lvl w:ilvl="7" w:tplc="42507152" w:tentative="1">
      <w:start w:val="1"/>
      <w:numFmt w:val="bullet"/>
      <w:lvlText w:val="–"/>
      <w:lvlJc w:val="left"/>
      <w:pPr>
        <w:tabs>
          <w:tab w:val="num" w:pos="5760"/>
        </w:tabs>
        <w:ind w:left="5760" w:hanging="360"/>
      </w:pPr>
      <w:rPr>
        <w:rFonts w:ascii="Ericsson Capital TT" w:hAnsi="Ericsson Capital TT" w:hint="default"/>
      </w:rPr>
    </w:lvl>
    <w:lvl w:ilvl="8" w:tplc="E83E1CFC" w:tentative="1">
      <w:start w:val="1"/>
      <w:numFmt w:val="bullet"/>
      <w:lvlText w:val="–"/>
      <w:lvlJc w:val="left"/>
      <w:pPr>
        <w:tabs>
          <w:tab w:val="num" w:pos="6480"/>
        </w:tabs>
        <w:ind w:left="6480" w:hanging="360"/>
      </w:pPr>
      <w:rPr>
        <w:rFonts w:ascii="Ericsson Capital TT" w:hAnsi="Ericsson Capital TT" w:hint="default"/>
      </w:rPr>
    </w:lvl>
  </w:abstractNum>
  <w:abstractNum w:abstractNumId="1">
    <w:nsid w:val="02552047"/>
    <w:multiLevelType w:val="multilevel"/>
    <w:tmpl w:val="4974498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C636D91"/>
    <w:multiLevelType w:val="hybridMultilevel"/>
    <w:tmpl w:val="6452290A"/>
    <w:lvl w:ilvl="0" w:tplc="041D0001">
      <w:start w:val="1"/>
      <w:numFmt w:val="bullet"/>
      <w:lvlText w:val=""/>
      <w:lvlJc w:val="left"/>
      <w:pPr>
        <w:ind w:left="1080" w:hanging="360"/>
      </w:pPr>
      <w:rPr>
        <w:rFonts w:ascii="Symbol" w:hAnsi="Symbol" w:hint="default"/>
        <w:lang w:val="en-GB"/>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7">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D27646"/>
    <w:multiLevelType w:val="hybridMultilevel"/>
    <w:tmpl w:val="9A64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33631E73"/>
    <w:multiLevelType w:val="hybridMultilevel"/>
    <w:tmpl w:val="D6980E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53158BA"/>
    <w:multiLevelType w:val="hybridMultilevel"/>
    <w:tmpl w:val="456810F4"/>
    <w:lvl w:ilvl="0" w:tplc="DCF097DC">
      <w:start w:val="1"/>
      <w:numFmt w:val="bullet"/>
      <w:lvlText w:val="–"/>
      <w:lvlJc w:val="left"/>
      <w:pPr>
        <w:tabs>
          <w:tab w:val="num" w:pos="720"/>
        </w:tabs>
        <w:ind w:left="720" w:hanging="360"/>
      </w:pPr>
      <w:rPr>
        <w:rFonts w:ascii="Ericsson Capital TT" w:hAnsi="Ericsson Capital TT" w:hint="default"/>
      </w:rPr>
    </w:lvl>
    <w:lvl w:ilvl="1" w:tplc="64E640A2">
      <w:start w:val="1"/>
      <w:numFmt w:val="bullet"/>
      <w:lvlText w:val="–"/>
      <w:lvlJc w:val="left"/>
      <w:pPr>
        <w:tabs>
          <w:tab w:val="num" w:pos="1440"/>
        </w:tabs>
        <w:ind w:left="1440" w:hanging="360"/>
      </w:pPr>
      <w:rPr>
        <w:rFonts w:ascii="Ericsson Capital TT" w:hAnsi="Ericsson Capital TT" w:hint="default"/>
      </w:rPr>
    </w:lvl>
    <w:lvl w:ilvl="2" w:tplc="F5D0AC58" w:tentative="1">
      <w:start w:val="1"/>
      <w:numFmt w:val="bullet"/>
      <w:lvlText w:val="–"/>
      <w:lvlJc w:val="left"/>
      <w:pPr>
        <w:tabs>
          <w:tab w:val="num" w:pos="2160"/>
        </w:tabs>
        <w:ind w:left="2160" w:hanging="360"/>
      </w:pPr>
      <w:rPr>
        <w:rFonts w:ascii="Ericsson Capital TT" w:hAnsi="Ericsson Capital TT" w:hint="default"/>
      </w:rPr>
    </w:lvl>
    <w:lvl w:ilvl="3" w:tplc="3B2C5998" w:tentative="1">
      <w:start w:val="1"/>
      <w:numFmt w:val="bullet"/>
      <w:lvlText w:val="–"/>
      <w:lvlJc w:val="left"/>
      <w:pPr>
        <w:tabs>
          <w:tab w:val="num" w:pos="2880"/>
        </w:tabs>
        <w:ind w:left="2880" w:hanging="360"/>
      </w:pPr>
      <w:rPr>
        <w:rFonts w:ascii="Ericsson Capital TT" w:hAnsi="Ericsson Capital TT" w:hint="default"/>
      </w:rPr>
    </w:lvl>
    <w:lvl w:ilvl="4" w:tplc="8B78DA86" w:tentative="1">
      <w:start w:val="1"/>
      <w:numFmt w:val="bullet"/>
      <w:lvlText w:val="–"/>
      <w:lvlJc w:val="left"/>
      <w:pPr>
        <w:tabs>
          <w:tab w:val="num" w:pos="3600"/>
        </w:tabs>
        <w:ind w:left="3600" w:hanging="360"/>
      </w:pPr>
      <w:rPr>
        <w:rFonts w:ascii="Ericsson Capital TT" w:hAnsi="Ericsson Capital TT" w:hint="default"/>
      </w:rPr>
    </w:lvl>
    <w:lvl w:ilvl="5" w:tplc="F11666BE" w:tentative="1">
      <w:start w:val="1"/>
      <w:numFmt w:val="bullet"/>
      <w:lvlText w:val="–"/>
      <w:lvlJc w:val="left"/>
      <w:pPr>
        <w:tabs>
          <w:tab w:val="num" w:pos="4320"/>
        </w:tabs>
        <w:ind w:left="4320" w:hanging="360"/>
      </w:pPr>
      <w:rPr>
        <w:rFonts w:ascii="Ericsson Capital TT" w:hAnsi="Ericsson Capital TT" w:hint="default"/>
      </w:rPr>
    </w:lvl>
    <w:lvl w:ilvl="6" w:tplc="09C65C88" w:tentative="1">
      <w:start w:val="1"/>
      <w:numFmt w:val="bullet"/>
      <w:lvlText w:val="–"/>
      <w:lvlJc w:val="left"/>
      <w:pPr>
        <w:tabs>
          <w:tab w:val="num" w:pos="5040"/>
        </w:tabs>
        <w:ind w:left="5040" w:hanging="360"/>
      </w:pPr>
      <w:rPr>
        <w:rFonts w:ascii="Ericsson Capital TT" w:hAnsi="Ericsson Capital TT" w:hint="default"/>
      </w:rPr>
    </w:lvl>
    <w:lvl w:ilvl="7" w:tplc="4A0660E8" w:tentative="1">
      <w:start w:val="1"/>
      <w:numFmt w:val="bullet"/>
      <w:lvlText w:val="–"/>
      <w:lvlJc w:val="left"/>
      <w:pPr>
        <w:tabs>
          <w:tab w:val="num" w:pos="5760"/>
        </w:tabs>
        <w:ind w:left="5760" w:hanging="360"/>
      </w:pPr>
      <w:rPr>
        <w:rFonts w:ascii="Ericsson Capital TT" w:hAnsi="Ericsson Capital TT" w:hint="default"/>
      </w:rPr>
    </w:lvl>
    <w:lvl w:ilvl="8" w:tplc="0562CE26" w:tentative="1">
      <w:start w:val="1"/>
      <w:numFmt w:val="bullet"/>
      <w:lvlText w:val="–"/>
      <w:lvlJc w:val="left"/>
      <w:pPr>
        <w:tabs>
          <w:tab w:val="num" w:pos="6480"/>
        </w:tabs>
        <w:ind w:left="6480" w:hanging="360"/>
      </w:pPr>
      <w:rPr>
        <w:rFonts w:ascii="Ericsson Capital TT" w:hAnsi="Ericsson Capital TT" w:hint="default"/>
      </w:rPr>
    </w:lvl>
  </w:abstractNum>
  <w:abstractNum w:abstractNumId="15">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07F790C"/>
    <w:multiLevelType w:val="hybridMultilevel"/>
    <w:tmpl w:val="42A8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81696A"/>
    <w:multiLevelType w:val="hybridMultilevel"/>
    <w:tmpl w:val="C0564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842BA7"/>
    <w:multiLevelType w:val="hybridMultilevel"/>
    <w:tmpl w:val="CB12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CD4E8E"/>
    <w:multiLevelType w:val="hybridMultilevel"/>
    <w:tmpl w:val="817A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BEC5F90"/>
    <w:multiLevelType w:val="hybridMultilevel"/>
    <w:tmpl w:val="74D217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F523DA9"/>
    <w:multiLevelType w:val="hybridMultilevel"/>
    <w:tmpl w:val="BAB89DE8"/>
    <w:lvl w:ilvl="0" w:tplc="C482252E">
      <w:start w:val="9"/>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24">
    <w:nsid w:val="567B7F54"/>
    <w:multiLevelType w:val="hybridMultilevel"/>
    <w:tmpl w:val="0C2C7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0F2FCF"/>
    <w:multiLevelType w:val="hybridMultilevel"/>
    <w:tmpl w:val="C4F21E86"/>
    <w:lvl w:ilvl="0" w:tplc="4F6EA768">
      <w:start w:val="1"/>
      <w:numFmt w:val="bullet"/>
      <w:lvlText w:val="›"/>
      <w:lvlJc w:val="left"/>
      <w:pPr>
        <w:tabs>
          <w:tab w:val="num" w:pos="720"/>
        </w:tabs>
        <w:ind w:left="720" w:hanging="360"/>
      </w:pPr>
      <w:rPr>
        <w:rFonts w:ascii="Arial" w:hAnsi="Arial" w:hint="default"/>
      </w:rPr>
    </w:lvl>
    <w:lvl w:ilvl="1" w:tplc="A9F47D30">
      <w:start w:val="1355"/>
      <w:numFmt w:val="bullet"/>
      <w:lvlText w:val="–"/>
      <w:lvlJc w:val="left"/>
      <w:pPr>
        <w:tabs>
          <w:tab w:val="num" w:pos="1440"/>
        </w:tabs>
        <w:ind w:left="1440" w:hanging="360"/>
      </w:pPr>
      <w:rPr>
        <w:rFonts w:ascii="Ericsson Capital TT" w:hAnsi="Ericsson Capital TT" w:hint="default"/>
      </w:rPr>
    </w:lvl>
    <w:lvl w:ilvl="2" w:tplc="3622057C" w:tentative="1">
      <w:start w:val="1"/>
      <w:numFmt w:val="bullet"/>
      <w:lvlText w:val="›"/>
      <w:lvlJc w:val="left"/>
      <w:pPr>
        <w:tabs>
          <w:tab w:val="num" w:pos="2160"/>
        </w:tabs>
        <w:ind w:left="2160" w:hanging="360"/>
      </w:pPr>
      <w:rPr>
        <w:rFonts w:ascii="Arial" w:hAnsi="Arial" w:hint="default"/>
      </w:rPr>
    </w:lvl>
    <w:lvl w:ilvl="3" w:tplc="B596CDC4" w:tentative="1">
      <w:start w:val="1"/>
      <w:numFmt w:val="bullet"/>
      <w:lvlText w:val="›"/>
      <w:lvlJc w:val="left"/>
      <w:pPr>
        <w:tabs>
          <w:tab w:val="num" w:pos="2880"/>
        </w:tabs>
        <w:ind w:left="2880" w:hanging="360"/>
      </w:pPr>
      <w:rPr>
        <w:rFonts w:ascii="Arial" w:hAnsi="Arial" w:hint="default"/>
      </w:rPr>
    </w:lvl>
    <w:lvl w:ilvl="4" w:tplc="87065C8C" w:tentative="1">
      <w:start w:val="1"/>
      <w:numFmt w:val="bullet"/>
      <w:lvlText w:val="›"/>
      <w:lvlJc w:val="left"/>
      <w:pPr>
        <w:tabs>
          <w:tab w:val="num" w:pos="3600"/>
        </w:tabs>
        <w:ind w:left="3600" w:hanging="360"/>
      </w:pPr>
      <w:rPr>
        <w:rFonts w:ascii="Arial" w:hAnsi="Arial" w:hint="default"/>
      </w:rPr>
    </w:lvl>
    <w:lvl w:ilvl="5" w:tplc="C9D47E1C" w:tentative="1">
      <w:start w:val="1"/>
      <w:numFmt w:val="bullet"/>
      <w:lvlText w:val="›"/>
      <w:lvlJc w:val="left"/>
      <w:pPr>
        <w:tabs>
          <w:tab w:val="num" w:pos="4320"/>
        </w:tabs>
        <w:ind w:left="4320" w:hanging="360"/>
      </w:pPr>
      <w:rPr>
        <w:rFonts w:ascii="Arial" w:hAnsi="Arial" w:hint="default"/>
      </w:rPr>
    </w:lvl>
    <w:lvl w:ilvl="6" w:tplc="98B6EB38" w:tentative="1">
      <w:start w:val="1"/>
      <w:numFmt w:val="bullet"/>
      <w:lvlText w:val="›"/>
      <w:lvlJc w:val="left"/>
      <w:pPr>
        <w:tabs>
          <w:tab w:val="num" w:pos="5040"/>
        </w:tabs>
        <w:ind w:left="5040" w:hanging="360"/>
      </w:pPr>
      <w:rPr>
        <w:rFonts w:ascii="Arial" w:hAnsi="Arial" w:hint="default"/>
      </w:rPr>
    </w:lvl>
    <w:lvl w:ilvl="7" w:tplc="52D8A8F6" w:tentative="1">
      <w:start w:val="1"/>
      <w:numFmt w:val="bullet"/>
      <w:lvlText w:val="›"/>
      <w:lvlJc w:val="left"/>
      <w:pPr>
        <w:tabs>
          <w:tab w:val="num" w:pos="5760"/>
        </w:tabs>
        <w:ind w:left="5760" w:hanging="360"/>
      </w:pPr>
      <w:rPr>
        <w:rFonts w:ascii="Arial" w:hAnsi="Arial" w:hint="default"/>
      </w:rPr>
    </w:lvl>
    <w:lvl w:ilvl="8" w:tplc="5E9C16EA" w:tentative="1">
      <w:start w:val="1"/>
      <w:numFmt w:val="bullet"/>
      <w:lvlText w:val="›"/>
      <w:lvlJc w:val="left"/>
      <w:pPr>
        <w:tabs>
          <w:tab w:val="num" w:pos="6480"/>
        </w:tabs>
        <w:ind w:left="6480" w:hanging="360"/>
      </w:pPr>
      <w:rPr>
        <w:rFonts w:ascii="Arial" w:hAnsi="Arial" w:hint="default"/>
      </w:rPr>
    </w:lvl>
  </w:abstractNum>
  <w:abstractNum w:abstractNumId="27">
    <w:nsid w:val="5E610AEB"/>
    <w:multiLevelType w:val="hybridMultilevel"/>
    <w:tmpl w:val="398C1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513C78"/>
    <w:multiLevelType w:val="hybridMultilevel"/>
    <w:tmpl w:val="1F6009DA"/>
    <w:lvl w:ilvl="0" w:tplc="13BEB0E6">
      <w:start w:val="1"/>
      <w:numFmt w:val="bullet"/>
      <w:lvlText w:val=""/>
      <w:lvlJc w:val="left"/>
      <w:pPr>
        <w:ind w:left="1080" w:hanging="360"/>
      </w:pPr>
      <w:rPr>
        <w:rFonts w:ascii="Symbol" w:hAnsi="Symbol" w:hint="default"/>
        <w:lang w:val="en-GB"/>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0">
    <w:nsid w:val="63B30559"/>
    <w:multiLevelType w:val="hybridMultilevel"/>
    <w:tmpl w:val="C07E5A0E"/>
    <w:lvl w:ilvl="0" w:tplc="13BEB0E6">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2">
    <w:nsid w:val="6CC50627"/>
    <w:multiLevelType w:val="hybridMultilevel"/>
    <w:tmpl w:val="5CCC8B68"/>
    <w:lvl w:ilvl="0" w:tplc="8F66A12A">
      <w:start w:val="1"/>
      <w:numFmt w:val="bullet"/>
      <w:lvlText w:val="›"/>
      <w:lvlJc w:val="left"/>
      <w:pPr>
        <w:tabs>
          <w:tab w:val="num" w:pos="720"/>
        </w:tabs>
        <w:ind w:left="720" w:hanging="360"/>
      </w:pPr>
      <w:rPr>
        <w:rFonts w:ascii="Arial" w:hAnsi="Arial" w:hint="default"/>
      </w:rPr>
    </w:lvl>
    <w:lvl w:ilvl="1" w:tplc="50F068BC">
      <w:start w:val="688"/>
      <w:numFmt w:val="bullet"/>
      <w:lvlText w:val="–"/>
      <w:lvlJc w:val="left"/>
      <w:pPr>
        <w:tabs>
          <w:tab w:val="num" w:pos="1440"/>
        </w:tabs>
        <w:ind w:left="1440" w:hanging="360"/>
      </w:pPr>
      <w:rPr>
        <w:rFonts w:ascii="Ericsson Capital TT" w:hAnsi="Ericsson Capital TT" w:hint="default"/>
      </w:rPr>
    </w:lvl>
    <w:lvl w:ilvl="2" w:tplc="7FEE6794">
      <w:start w:val="688"/>
      <w:numFmt w:val="bullet"/>
      <w:lvlText w:val="›"/>
      <w:lvlJc w:val="left"/>
      <w:pPr>
        <w:tabs>
          <w:tab w:val="num" w:pos="2160"/>
        </w:tabs>
        <w:ind w:left="2160" w:hanging="360"/>
      </w:pPr>
      <w:rPr>
        <w:rFonts w:ascii="Ericsson Capital TT" w:hAnsi="Ericsson Capital TT" w:hint="default"/>
      </w:rPr>
    </w:lvl>
    <w:lvl w:ilvl="3" w:tplc="2854A3E2" w:tentative="1">
      <w:start w:val="1"/>
      <w:numFmt w:val="bullet"/>
      <w:lvlText w:val="›"/>
      <w:lvlJc w:val="left"/>
      <w:pPr>
        <w:tabs>
          <w:tab w:val="num" w:pos="2880"/>
        </w:tabs>
        <w:ind w:left="2880" w:hanging="360"/>
      </w:pPr>
      <w:rPr>
        <w:rFonts w:ascii="Arial" w:hAnsi="Arial" w:hint="default"/>
      </w:rPr>
    </w:lvl>
    <w:lvl w:ilvl="4" w:tplc="A7D2A2B8" w:tentative="1">
      <w:start w:val="1"/>
      <w:numFmt w:val="bullet"/>
      <w:lvlText w:val="›"/>
      <w:lvlJc w:val="left"/>
      <w:pPr>
        <w:tabs>
          <w:tab w:val="num" w:pos="3600"/>
        </w:tabs>
        <w:ind w:left="3600" w:hanging="360"/>
      </w:pPr>
      <w:rPr>
        <w:rFonts w:ascii="Arial" w:hAnsi="Arial" w:hint="default"/>
      </w:rPr>
    </w:lvl>
    <w:lvl w:ilvl="5" w:tplc="DF74F61E" w:tentative="1">
      <w:start w:val="1"/>
      <w:numFmt w:val="bullet"/>
      <w:lvlText w:val="›"/>
      <w:lvlJc w:val="left"/>
      <w:pPr>
        <w:tabs>
          <w:tab w:val="num" w:pos="4320"/>
        </w:tabs>
        <w:ind w:left="4320" w:hanging="360"/>
      </w:pPr>
      <w:rPr>
        <w:rFonts w:ascii="Arial" w:hAnsi="Arial" w:hint="default"/>
      </w:rPr>
    </w:lvl>
    <w:lvl w:ilvl="6" w:tplc="5E8CA480" w:tentative="1">
      <w:start w:val="1"/>
      <w:numFmt w:val="bullet"/>
      <w:lvlText w:val="›"/>
      <w:lvlJc w:val="left"/>
      <w:pPr>
        <w:tabs>
          <w:tab w:val="num" w:pos="5040"/>
        </w:tabs>
        <w:ind w:left="5040" w:hanging="360"/>
      </w:pPr>
      <w:rPr>
        <w:rFonts w:ascii="Arial" w:hAnsi="Arial" w:hint="default"/>
      </w:rPr>
    </w:lvl>
    <w:lvl w:ilvl="7" w:tplc="6B38C888" w:tentative="1">
      <w:start w:val="1"/>
      <w:numFmt w:val="bullet"/>
      <w:lvlText w:val="›"/>
      <w:lvlJc w:val="left"/>
      <w:pPr>
        <w:tabs>
          <w:tab w:val="num" w:pos="5760"/>
        </w:tabs>
        <w:ind w:left="5760" w:hanging="360"/>
      </w:pPr>
      <w:rPr>
        <w:rFonts w:ascii="Arial" w:hAnsi="Arial" w:hint="default"/>
      </w:rPr>
    </w:lvl>
    <w:lvl w:ilvl="8" w:tplc="8320EC6E" w:tentative="1">
      <w:start w:val="1"/>
      <w:numFmt w:val="bullet"/>
      <w:lvlText w:val="›"/>
      <w:lvlJc w:val="left"/>
      <w:pPr>
        <w:tabs>
          <w:tab w:val="num" w:pos="6480"/>
        </w:tabs>
        <w:ind w:left="6480" w:hanging="360"/>
      </w:pPr>
      <w:rPr>
        <w:rFonts w:ascii="Arial" w:hAnsi="Arial" w:hint="default"/>
      </w:rPr>
    </w:lvl>
  </w:abstractNum>
  <w:abstractNum w:abstractNumId="33">
    <w:nsid w:val="70147C20"/>
    <w:multiLevelType w:val="hybridMultilevel"/>
    <w:tmpl w:val="50C4E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31B2FEB"/>
    <w:multiLevelType w:val="hybridMultilevel"/>
    <w:tmpl w:val="2604E4B8"/>
    <w:lvl w:ilvl="0" w:tplc="13BEB0E6">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EA54573"/>
    <w:multiLevelType w:val="hybridMultilevel"/>
    <w:tmpl w:val="345C13CE"/>
    <w:lvl w:ilvl="0" w:tplc="316A163A">
      <w:start w:val="1"/>
      <w:numFmt w:val="bullet"/>
      <w:lvlText w:val="–"/>
      <w:lvlJc w:val="left"/>
      <w:pPr>
        <w:tabs>
          <w:tab w:val="num" w:pos="720"/>
        </w:tabs>
        <w:ind w:left="720" w:hanging="360"/>
      </w:pPr>
      <w:rPr>
        <w:rFonts w:ascii="Ericsson Capital TT" w:hAnsi="Ericsson Capital TT" w:hint="default"/>
      </w:rPr>
    </w:lvl>
    <w:lvl w:ilvl="1" w:tplc="381E3398">
      <w:start w:val="1"/>
      <w:numFmt w:val="bullet"/>
      <w:lvlText w:val="–"/>
      <w:lvlJc w:val="left"/>
      <w:pPr>
        <w:tabs>
          <w:tab w:val="num" w:pos="1440"/>
        </w:tabs>
        <w:ind w:left="1440" w:hanging="360"/>
      </w:pPr>
      <w:rPr>
        <w:rFonts w:ascii="Ericsson Capital TT" w:hAnsi="Ericsson Capital TT" w:hint="default"/>
      </w:rPr>
    </w:lvl>
    <w:lvl w:ilvl="2" w:tplc="B2866A46">
      <w:start w:val="556"/>
      <w:numFmt w:val="bullet"/>
      <w:lvlText w:val="›"/>
      <w:lvlJc w:val="left"/>
      <w:pPr>
        <w:tabs>
          <w:tab w:val="num" w:pos="2160"/>
        </w:tabs>
        <w:ind w:left="2160" w:hanging="360"/>
      </w:pPr>
      <w:rPr>
        <w:rFonts w:ascii="Ericsson Capital TT" w:hAnsi="Ericsson Capital TT" w:hint="default"/>
      </w:rPr>
    </w:lvl>
    <w:lvl w:ilvl="3" w:tplc="7D2447F2">
      <w:start w:val="556"/>
      <w:numFmt w:val="bullet"/>
      <w:lvlText w:val="-"/>
      <w:lvlJc w:val="left"/>
      <w:pPr>
        <w:tabs>
          <w:tab w:val="num" w:pos="2880"/>
        </w:tabs>
        <w:ind w:left="2880" w:hanging="360"/>
      </w:pPr>
      <w:rPr>
        <w:rFonts w:ascii="Ericsson Capital TT" w:hAnsi="Ericsson Capital TT" w:hint="default"/>
      </w:rPr>
    </w:lvl>
    <w:lvl w:ilvl="4" w:tplc="8766C0B4" w:tentative="1">
      <w:start w:val="1"/>
      <w:numFmt w:val="bullet"/>
      <w:lvlText w:val="–"/>
      <w:lvlJc w:val="left"/>
      <w:pPr>
        <w:tabs>
          <w:tab w:val="num" w:pos="3600"/>
        </w:tabs>
        <w:ind w:left="3600" w:hanging="360"/>
      </w:pPr>
      <w:rPr>
        <w:rFonts w:ascii="Ericsson Capital TT" w:hAnsi="Ericsson Capital TT" w:hint="default"/>
      </w:rPr>
    </w:lvl>
    <w:lvl w:ilvl="5" w:tplc="6A825F26" w:tentative="1">
      <w:start w:val="1"/>
      <w:numFmt w:val="bullet"/>
      <w:lvlText w:val="–"/>
      <w:lvlJc w:val="left"/>
      <w:pPr>
        <w:tabs>
          <w:tab w:val="num" w:pos="4320"/>
        </w:tabs>
        <w:ind w:left="4320" w:hanging="360"/>
      </w:pPr>
      <w:rPr>
        <w:rFonts w:ascii="Ericsson Capital TT" w:hAnsi="Ericsson Capital TT" w:hint="default"/>
      </w:rPr>
    </w:lvl>
    <w:lvl w:ilvl="6" w:tplc="AC7A6636" w:tentative="1">
      <w:start w:val="1"/>
      <w:numFmt w:val="bullet"/>
      <w:lvlText w:val="–"/>
      <w:lvlJc w:val="left"/>
      <w:pPr>
        <w:tabs>
          <w:tab w:val="num" w:pos="5040"/>
        </w:tabs>
        <w:ind w:left="5040" w:hanging="360"/>
      </w:pPr>
      <w:rPr>
        <w:rFonts w:ascii="Ericsson Capital TT" w:hAnsi="Ericsson Capital TT" w:hint="default"/>
      </w:rPr>
    </w:lvl>
    <w:lvl w:ilvl="7" w:tplc="7B1ED514" w:tentative="1">
      <w:start w:val="1"/>
      <w:numFmt w:val="bullet"/>
      <w:lvlText w:val="–"/>
      <w:lvlJc w:val="left"/>
      <w:pPr>
        <w:tabs>
          <w:tab w:val="num" w:pos="5760"/>
        </w:tabs>
        <w:ind w:left="5760" w:hanging="360"/>
      </w:pPr>
      <w:rPr>
        <w:rFonts w:ascii="Ericsson Capital TT" w:hAnsi="Ericsson Capital TT" w:hint="default"/>
      </w:rPr>
    </w:lvl>
    <w:lvl w:ilvl="8" w:tplc="0CCEABCC" w:tentative="1">
      <w:start w:val="1"/>
      <w:numFmt w:val="bullet"/>
      <w:lvlText w:val="–"/>
      <w:lvlJc w:val="left"/>
      <w:pPr>
        <w:tabs>
          <w:tab w:val="num" w:pos="6480"/>
        </w:tabs>
        <w:ind w:left="6480" w:hanging="360"/>
      </w:pPr>
      <w:rPr>
        <w:rFonts w:ascii="Ericsson Capital TT" w:hAnsi="Ericsson Capital TT" w:hint="default"/>
      </w:rPr>
    </w:lvl>
  </w:abstractNum>
  <w:num w:numId="1">
    <w:abstractNumId w:val="1"/>
  </w:num>
  <w:num w:numId="2">
    <w:abstractNumId w:val="20"/>
  </w:num>
  <w:num w:numId="3">
    <w:abstractNumId w:val="12"/>
  </w:num>
  <w:num w:numId="4">
    <w:abstractNumId w:val="7"/>
  </w:num>
  <w:num w:numId="5">
    <w:abstractNumId w:val="28"/>
  </w:num>
  <w:num w:numId="6">
    <w:abstractNumId w:val="5"/>
  </w:num>
  <w:num w:numId="7">
    <w:abstractNumId w:val="37"/>
  </w:num>
  <w:num w:numId="8">
    <w:abstractNumId w:val="23"/>
  </w:num>
  <w:num w:numId="9">
    <w:abstractNumId w:val="34"/>
  </w:num>
  <w:num w:numId="10">
    <w:abstractNumId w:val="8"/>
  </w:num>
  <w:num w:numId="11">
    <w:abstractNumId w:val="25"/>
  </w:num>
  <w:num w:numId="12">
    <w:abstractNumId w:val="10"/>
  </w:num>
  <w:num w:numId="13">
    <w:abstractNumId w:val="3"/>
  </w:num>
  <w:num w:numId="14">
    <w:abstractNumId w:val="2"/>
  </w:num>
  <w:num w:numId="15">
    <w:abstractNumId w:val="6"/>
  </w:num>
  <w:num w:numId="16">
    <w:abstractNumId w:val="2"/>
  </w:num>
  <w:num w:numId="17">
    <w:abstractNumId w:val="36"/>
  </w:num>
  <w:num w:numId="18">
    <w:abstractNumId w:val="15"/>
  </w:num>
  <w:num w:numId="19">
    <w:abstractNumId w:val="19"/>
  </w:num>
  <w:num w:numId="20">
    <w:abstractNumId w:val="11"/>
  </w:num>
  <w:num w:numId="21">
    <w:abstractNumId w:val="1"/>
  </w:num>
  <w:num w:numId="22">
    <w:abstractNumId w:val="21"/>
  </w:num>
  <w:num w:numId="23">
    <w:abstractNumId w:val="9"/>
  </w:num>
  <w:num w:numId="24">
    <w:abstractNumId w:val="1"/>
  </w:num>
  <w:num w:numId="25">
    <w:abstractNumId w:val="33"/>
  </w:num>
  <w:num w:numId="26">
    <w:abstractNumId w:val="27"/>
  </w:num>
  <w:num w:numId="27">
    <w:abstractNumId w:val="24"/>
  </w:num>
  <w:num w:numId="28">
    <w:abstractNumId w:val="17"/>
  </w:num>
  <w:num w:numId="29">
    <w:abstractNumId w:val="0"/>
  </w:num>
  <w:num w:numId="30">
    <w:abstractNumId w:val="32"/>
  </w:num>
  <w:num w:numId="31">
    <w:abstractNumId w:val="13"/>
  </w:num>
  <w:num w:numId="32">
    <w:abstractNumId w:val="35"/>
  </w:num>
  <w:num w:numId="33">
    <w:abstractNumId w:val="26"/>
  </w:num>
  <w:num w:numId="34">
    <w:abstractNumId w:val="14"/>
  </w:num>
  <w:num w:numId="35">
    <w:abstractNumId w:val="30"/>
  </w:num>
  <w:num w:numId="36">
    <w:abstractNumId w:val="29"/>
  </w:num>
  <w:num w:numId="37">
    <w:abstractNumId w:val="22"/>
  </w:num>
  <w:num w:numId="38">
    <w:abstractNumId w:val="1"/>
  </w:num>
  <w:num w:numId="39">
    <w:abstractNumId w:val="1"/>
  </w:num>
  <w:num w:numId="40">
    <w:abstractNumId w:val="4"/>
  </w:num>
  <w:num w:numId="41">
    <w:abstractNumId w:val="31"/>
  </w:num>
  <w:num w:numId="42">
    <w:abstractNumId w:val="1"/>
  </w:num>
  <w:num w:numId="43">
    <w:abstractNumId w:val="38"/>
  </w:num>
  <w:num w:numId="44">
    <w:abstractNumId w:val="16"/>
  </w:num>
  <w:num w:numId="45">
    <w:abstractNumId w:val="1"/>
  </w:num>
  <w:num w:numId="4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2CE"/>
    <w:rsid w:val="00001917"/>
    <w:rsid w:val="000050E4"/>
    <w:rsid w:val="00006F31"/>
    <w:rsid w:val="00010190"/>
    <w:rsid w:val="000114CE"/>
    <w:rsid w:val="000133BD"/>
    <w:rsid w:val="00015C65"/>
    <w:rsid w:val="00017365"/>
    <w:rsid w:val="00017CA9"/>
    <w:rsid w:val="00021C89"/>
    <w:rsid w:val="00023372"/>
    <w:rsid w:val="00023C54"/>
    <w:rsid w:val="00023CF5"/>
    <w:rsid w:val="00024DA7"/>
    <w:rsid w:val="00025FD9"/>
    <w:rsid w:val="00026CBF"/>
    <w:rsid w:val="0003089C"/>
    <w:rsid w:val="000323DE"/>
    <w:rsid w:val="0003382E"/>
    <w:rsid w:val="000374CB"/>
    <w:rsid w:val="00041897"/>
    <w:rsid w:val="000434E5"/>
    <w:rsid w:val="00043AED"/>
    <w:rsid w:val="0004502C"/>
    <w:rsid w:val="00045620"/>
    <w:rsid w:val="000462B9"/>
    <w:rsid w:val="000509AD"/>
    <w:rsid w:val="000513DB"/>
    <w:rsid w:val="00052C52"/>
    <w:rsid w:val="00054192"/>
    <w:rsid w:val="000545C6"/>
    <w:rsid w:val="00055A6C"/>
    <w:rsid w:val="00055B89"/>
    <w:rsid w:val="00063371"/>
    <w:rsid w:val="00066320"/>
    <w:rsid w:val="00066C59"/>
    <w:rsid w:val="0007038C"/>
    <w:rsid w:val="00070520"/>
    <w:rsid w:val="0007063C"/>
    <w:rsid w:val="00070AE9"/>
    <w:rsid w:val="00071151"/>
    <w:rsid w:val="0007167E"/>
    <w:rsid w:val="000738C6"/>
    <w:rsid w:val="0007460E"/>
    <w:rsid w:val="0007476D"/>
    <w:rsid w:val="00074A8E"/>
    <w:rsid w:val="00074AF9"/>
    <w:rsid w:val="00076361"/>
    <w:rsid w:val="00080E20"/>
    <w:rsid w:val="000821DE"/>
    <w:rsid w:val="0008325A"/>
    <w:rsid w:val="00084C7C"/>
    <w:rsid w:val="00090129"/>
    <w:rsid w:val="0009036B"/>
    <w:rsid w:val="000908A7"/>
    <w:rsid w:val="000916FA"/>
    <w:rsid w:val="0009172B"/>
    <w:rsid w:val="00094EB3"/>
    <w:rsid w:val="000955EF"/>
    <w:rsid w:val="00096428"/>
    <w:rsid w:val="000965A1"/>
    <w:rsid w:val="00097418"/>
    <w:rsid w:val="000975D5"/>
    <w:rsid w:val="000A038E"/>
    <w:rsid w:val="000A04E2"/>
    <w:rsid w:val="000A0A13"/>
    <w:rsid w:val="000A1C72"/>
    <w:rsid w:val="000A375A"/>
    <w:rsid w:val="000A3BCE"/>
    <w:rsid w:val="000A3CBB"/>
    <w:rsid w:val="000A5482"/>
    <w:rsid w:val="000A6D95"/>
    <w:rsid w:val="000A7A94"/>
    <w:rsid w:val="000B1A2C"/>
    <w:rsid w:val="000B3E0F"/>
    <w:rsid w:val="000B638D"/>
    <w:rsid w:val="000C00BD"/>
    <w:rsid w:val="000C1221"/>
    <w:rsid w:val="000C1373"/>
    <w:rsid w:val="000C2022"/>
    <w:rsid w:val="000C2361"/>
    <w:rsid w:val="000C2A61"/>
    <w:rsid w:val="000C2AEC"/>
    <w:rsid w:val="000C350B"/>
    <w:rsid w:val="000C4417"/>
    <w:rsid w:val="000C5804"/>
    <w:rsid w:val="000C61AA"/>
    <w:rsid w:val="000C6E53"/>
    <w:rsid w:val="000C7D43"/>
    <w:rsid w:val="000D1369"/>
    <w:rsid w:val="000D2280"/>
    <w:rsid w:val="000E5672"/>
    <w:rsid w:val="000E7A32"/>
    <w:rsid w:val="000F0247"/>
    <w:rsid w:val="000F2C29"/>
    <w:rsid w:val="000F3E97"/>
    <w:rsid w:val="000F6096"/>
    <w:rsid w:val="000F7999"/>
    <w:rsid w:val="00100788"/>
    <w:rsid w:val="00102793"/>
    <w:rsid w:val="001042E8"/>
    <w:rsid w:val="00104981"/>
    <w:rsid w:val="00114680"/>
    <w:rsid w:val="0011527B"/>
    <w:rsid w:val="00120819"/>
    <w:rsid w:val="001219E0"/>
    <w:rsid w:val="00122E62"/>
    <w:rsid w:val="001233EF"/>
    <w:rsid w:val="001249AA"/>
    <w:rsid w:val="00126566"/>
    <w:rsid w:val="00131297"/>
    <w:rsid w:val="0013155F"/>
    <w:rsid w:val="00131661"/>
    <w:rsid w:val="00131F67"/>
    <w:rsid w:val="001325C4"/>
    <w:rsid w:val="00132833"/>
    <w:rsid w:val="001352A3"/>
    <w:rsid w:val="001357CA"/>
    <w:rsid w:val="00136FD4"/>
    <w:rsid w:val="001423F6"/>
    <w:rsid w:val="00142C24"/>
    <w:rsid w:val="00142F9B"/>
    <w:rsid w:val="0014382A"/>
    <w:rsid w:val="00143E8C"/>
    <w:rsid w:val="00145CB4"/>
    <w:rsid w:val="00145D1F"/>
    <w:rsid w:val="00145E4A"/>
    <w:rsid w:val="00147871"/>
    <w:rsid w:val="00150D13"/>
    <w:rsid w:val="00154016"/>
    <w:rsid w:val="001551E0"/>
    <w:rsid w:val="00155BB3"/>
    <w:rsid w:val="00156079"/>
    <w:rsid w:val="00157A0A"/>
    <w:rsid w:val="001613AB"/>
    <w:rsid w:val="00164C54"/>
    <w:rsid w:val="00165095"/>
    <w:rsid w:val="0016632C"/>
    <w:rsid w:val="00166A63"/>
    <w:rsid w:val="00170345"/>
    <w:rsid w:val="00170B9E"/>
    <w:rsid w:val="00171752"/>
    <w:rsid w:val="00171C9F"/>
    <w:rsid w:val="00172149"/>
    <w:rsid w:val="00172B4D"/>
    <w:rsid w:val="00172C95"/>
    <w:rsid w:val="00175049"/>
    <w:rsid w:val="00176033"/>
    <w:rsid w:val="00176F4D"/>
    <w:rsid w:val="001773AC"/>
    <w:rsid w:val="001811DE"/>
    <w:rsid w:val="00181D11"/>
    <w:rsid w:val="00184586"/>
    <w:rsid w:val="001849E3"/>
    <w:rsid w:val="00185F0A"/>
    <w:rsid w:val="001916D8"/>
    <w:rsid w:val="00192377"/>
    <w:rsid w:val="00194DCB"/>
    <w:rsid w:val="00194FE9"/>
    <w:rsid w:val="00195254"/>
    <w:rsid w:val="00196436"/>
    <w:rsid w:val="001A16DB"/>
    <w:rsid w:val="001A1CD9"/>
    <w:rsid w:val="001A2D8A"/>
    <w:rsid w:val="001A39DF"/>
    <w:rsid w:val="001A3CDB"/>
    <w:rsid w:val="001A4934"/>
    <w:rsid w:val="001A79A7"/>
    <w:rsid w:val="001A7C97"/>
    <w:rsid w:val="001B0678"/>
    <w:rsid w:val="001B1AFF"/>
    <w:rsid w:val="001B3E32"/>
    <w:rsid w:val="001B424C"/>
    <w:rsid w:val="001B4D6F"/>
    <w:rsid w:val="001B54E1"/>
    <w:rsid w:val="001B6A96"/>
    <w:rsid w:val="001C1633"/>
    <w:rsid w:val="001C1966"/>
    <w:rsid w:val="001C2B25"/>
    <w:rsid w:val="001C3A4A"/>
    <w:rsid w:val="001C52C0"/>
    <w:rsid w:val="001C6732"/>
    <w:rsid w:val="001C6C5C"/>
    <w:rsid w:val="001D1488"/>
    <w:rsid w:val="001D1708"/>
    <w:rsid w:val="001D18A2"/>
    <w:rsid w:val="001D3DA2"/>
    <w:rsid w:val="001D5348"/>
    <w:rsid w:val="001D7487"/>
    <w:rsid w:val="001E087D"/>
    <w:rsid w:val="001E3E04"/>
    <w:rsid w:val="001E412C"/>
    <w:rsid w:val="001E5D99"/>
    <w:rsid w:val="001E7846"/>
    <w:rsid w:val="001F4E2B"/>
    <w:rsid w:val="001F59DE"/>
    <w:rsid w:val="001F687E"/>
    <w:rsid w:val="00205280"/>
    <w:rsid w:val="00205542"/>
    <w:rsid w:val="00207503"/>
    <w:rsid w:val="00220517"/>
    <w:rsid w:val="0022051F"/>
    <w:rsid w:val="00220960"/>
    <w:rsid w:val="00220C6F"/>
    <w:rsid w:val="00221463"/>
    <w:rsid w:val="00223008"/>
    <w:rsid w:val="002252FC"/>
    <w:rsid w:val="00226DA4"/>
    <w:rsid w:val="00227D50"/>
    <w:rsid w:val="00230DB5"/>
    <w:rsid w:val="00231267"/>
    <w:rsid w:val="00231CB0"/>
    <w:rsid w:val="00233CDA"/>
    <w:rsid w:val="00240192"/>
    <w:rsid w:val="00243B7F"/>
    <w:rsid w:val="00243D6D"/>
    <w:rsid w:val="00244AF5"/>
    <w:rsid w:val="0024586C"/>
    <w:rsid w:val="00246F2C"/>
    <w:rsid w:val="002470CA"/>
    <w:rsid w:val="0024710A"/>
    <w:rsid w:val="0024759E"/>
    <w:rsid w:val="002475FD"/>
    <w:rsid w:val="0025078F"/>
    <w:rsid w:val="00250871"/>
    <w:rsid w:val="0025142B"/>
    <w:rsid w:val="00251CFF"/>
    <w:rsid w:val="002536F6"/>
    <w:rsid w:val="00254F3E"/>
    <w:rsid w:val="0025572C"/>
    <w:rsid w:val="002568B5"/>
    <w:rsid w:val="00257998"/>
    <w:rsid w:val="00257F1B"/>
    <w:rsid w:val="00261A06"/>
    <w:rsid w:val="00262477"/>
    <w:rsid w:val="002627FB"/>
    <w:rsid w:val="002653B7"/>
    <w:rsid w:val="00265D6F"/>
    <w:rsid w:val="00266478"/>
    <w:rsid w:val="0026789F"/>
    <w:rsid w:val="00271199"/>
    <w:rsid w:val="00272442"/>
    <w:rsid w:val="002724AE"/>
    <w:rsid w:val="002726DE"/>
    <w:rsid w:val="00273658"/>
    <w:rsid w:val="00273B32"/>
    <w:rsid w:val="002763B9"/>
    <w:rsid w:val="0027649F"/>
    <w:rsid w:val="002770AF"/>
    <w:rsid w:val="00280F46"/>
    <w:rsid w:val="00281F5F"/>
    <w:rsid w:val="00282BE7"/>
    <w:rsid w:val="0028345F"/>
    <w:rsid w:val="0028479B"/>
    <w:rsid w:val="002853A3"/>
    <w:rsid w:val="00285CB4"/>
    <w:rsid w:val="00286797"/>
    <w:rsid w:val="002902F8"/>
    <w:rsid w:val="002907D5"/>
    <w:rsid w:val="00291178"/>
    <w:rsid w:val="00292344"/>
    <w:rsid w:val="00292802"/>
    <w:rsid w:val="00294AE7"/>
    <w:rsid w:val="002972EE"/>
    <w:rsid w:val="002A11BF"/>
    <w:rsid w:val="002A276D"/>
    <w:rsid w:val="002A3E1F"/>
    <w:rsid w:val="002A4A3D"/>
    <w:rsid w:val="002A513D"/>
    <w:rsid w:val="002A5561"/>
    <w:rsid w:val="002A5983"/>
    <w:rsid w:val="002A5BD7"/>
    <w:rsid w:val="002A5C38"/>
    <w:rsid w:val="002A7E37"/>
    <w:rsid w:val="002B19A1"/>
    <w:rsid w:val="002B270D"/>
    <w:rsid w:val="002B54F0"/>
    <w:rsid w:val="002C0275"/>
    <w:rsid w:val="002C2137"/>
    <w:rsid w:val="002C2709"/>
    <w:rsid w:val="002C2F3D"/>
    <w:rsid w:val="002C350B"/>
    <w:rsid w:val="002C52D0"/>
    <w:rsid w:val="002D0A6B"/>
    <w:rsid w:val="002D376F"/>
    <w:rsid w:val="002D436B"/>
    <w:rsid w:val="002D5A86"/>
    <w:rsid w:val="002E0B95"/>
    <w:rsid w:val="002E1045"/>
    <w:rsid w:val="002E2FA6"/>
    <w:rsid w:val="002E4309"/>
    <w:rsid w:val="002E5646"/>
    <w:rsid w:val="002E5EE6"/>
    <w:rsid w:val="002E621C"/>
    <w:rsid w:val="002E6284"/>
    <w:rsid w:val="002E7422"/>
    <w:rsid w:val="002F0D8E"/>
    <w:rsid w:val="002F1264"/>
    <w:rsid w:val="002F1D4B"/>
    <w:rsid w:val="002F4D43"/>
    <w:rsid w:val="002F5212"/>
    <w:rsid w:val="002F532B"/>
    <w:rsid w:val="002F5517"/>
    <w:rsid w:val="002F5DB1"/>
    <w:rsid w:val="002F6F3E"/>
    <w:rsid w:val="002F7180"/>
    <w:rsid w:val="002F7888"/>
    <w:rsid w:val="002F7C6B"/>
    <w:rsid w:val="00306C11"/>
    <w:rsid w:val="00312F31"/>
    <w:rsid w:val="003132DB"/>
    <w:rsid w:val="003138E7"/>
    <w:rsid w:val="00313CE8"/>
    <w:rsid w:val="00314E22"/>
    <w:rsid w:val="003163C9"/>
    <w:rsid w:val="00316599"/>
    <w:rsid w:val="003204DB"/>
    <w:rsid w:val="0032057F"/>
    <w:rsid w:val="00322592"/>
    <w:rsid w:val="003256A9"/>
    <w:rsid w:val="00327183"/>
    <w:rsid w:val="00327856"/>
    <w:rsid w:val="003303A5"/>
    <w:rsid w:val="00333BC9"/>
    <w:rsid w:val="00334E15"/>
    <w:rsid w:val="00336500"/>
    <w:rsid w:val="003379E0"/>
    <w:rsid w:val="00342DBD"/>
    <w:rsid w:val="00343D1D"/>
    <w:rsid w:val="0034717F"/>
    <w:rsid w:val="00347B59"/>
    <w:rsid w:val="003516E0"/>
    <w:rsid w:val="003518B8"/>
    <w:rsid w:val="003519FC"/>
    <w:rsid w:val="0035217A"/>
    <w:rsid w:val="00353292"/>
    <w:rsid w:val="003538F3"/>
    <w:rsid w:val="00356933"/>
    <w:rsid w:val="00364639"/>
    <w:rsid w:val="00364BE0"/>
    <w:rsid w:val="00367423"/>
    <w:rsid w:val="003679F1"/>
    <w:rsid w:val="00371529"/>
    <w:rsid w:val="0037478B"/>
    <w:rsid w:val="00376018"/>
    <w:rsid w:val="00376684"/>
    <w:rsid w:val="0038030A"/>
    <w:rsid w:val="00380DF4"/>
    <w:rsid w:val="00382360"/>
    <w:rsid w:val="003839BF"/>
    <w:rsid w:val="00384552"/>
    <w:rsid w:val="00385525"/>
    <w:rsid w:val="00386285"/>
    <w:rsid w:val="00391BD1"/>
    <w:rsid w:val="00392616"/>
    <w:rsid w:val="0039388E"/>
    <w:rsid w:val="0039469C"/>
    <w:rsid w:val="003954F9"/>
    <w:rsid w:val="0039694D"/>
    <w:rsid w:val="003A026A"/>
    <w:rsid w:val="003A0C6E"/>
    <w:rsid w:val="003A150D"/>
    <w:rsid w:val="003A1928"/>
    <w:rsid w:val="003A2803"/>
    <w:rsid w:val="003A3472"/>
    <w:rsid w:val="003A4CF0"/>
    <w:rsid w:val="003A5844"/>
    <w:rsid w:val="003A58CC"/>
    <w:rsid w:val="003A5AA2"/>
    <w:rsid w:val="003A6D99"/>
    <w:rsid w:val="003B3DBC"/>
    <w:rsid w:val="003C06C4"/>
    <w:rsid w:val="003D00C9"/>
    <w:rsid w:val="003D0546"/>
    <w:rsid w:val="003D1A79"/>
    <w:rsid w:val="003D4F28"/>
    <w:rsid w:val="003D5349"/>
    <w:rsid w:val="003D66C5"/>
    <w:rsid w:val="003D7A4D"/>
    <w:rsid w:val="003D7C8E"/>
    <w:rsid w:val="003E2608"/>
    <w:rsid w:val="003E2C6B"/>
    <w:rsid w:val="003E6AE4"/>
    <w:rsid w:val="003E78A4"/>
    <w:rsid w:val="003E7A42"/>
    <w:rsid w:val="003E7F7F"/>
    <w:rsid w:val="003E7FA9"/>
    <w:rsid w:val="003F0362"/>
    <w:rsid w:val="003F0B7A"/>
    <w:rsid w:val="003F0EAC"/>
    <w:rsid w:val="003F1959"/>
    <w:rsid w:val="003F5352"/>
    <w:rsid w:val="003F5886"/>
    <w:rsid w:val="003F6DC1"/>
    <w:rsid w:val="003F7DDD"/>
    <w:rsid w:val="00401A72"/>
    <w:rsid w:val="00403322"/>
    <w:rsid w:val="00403A8E"/>
    <w:rsid w:val="00404351"/>
    <w:rsid w:val="00410063"/>
    <w:rsid w:val="004123B1"/>
    <w:rsid w:val="00412E35"/>
    <w:rsid w:val="0041401F"/>
    <w:rsid w:val="00415D57"/>
    <w:rsid w:val="00416F4C"/>
    <w:rsid w:val="004173A7"/>
    <w:rsid w:val="0042188B"/>
    <w:rsid w:val="00421F23"/>
    <w:rsid w:val="00423419"/>
    <w:rsid w:val="00423BAC"/>
    <w:rsid w:val="004259F3"/>
    <w:rsid w:val="004300CE"/>
    <w:rsid w:val="00431378"/>
    <w:rsid w:val="00432D5E"/>
    <w:rsid w:val="00432E41"/>
    <w:rsid w:val="00433613"/>
    <w:rsid w:val="004366BC"/>
    <w:rsid w:val="00436735"/>
    <w:rsid w:val="0044080C"/>
    <w:rsid w:val="0044293A"/>
    <w:rsid w:val="00442ECD"/>
    <w:rsid w:val="0044391F"/>
    <w:rsid w:val="004440D5"/>
    <w:rsid w:val="004454F9"/>
    <w:rsid w:val="0044628A"/>
    <w:rsid w:val="004470A3"/>
    <w:rsid w:val="00453CE4"/>
    <w:rsid w:val="00454194"/>
    <w:rsid w:val="0045497D"/>
    <w:rsid w:val="00454D0A"/>
    <w:rsid w:val="00454D8E"/>
    <w:rsid w:val="00457AEE"/>
    <w:rsid w:val="00461BC3"/>
    <w:rsid w:val="00464E47"/>
    <w:rsid w:val="004666E3"/>
    <w:rsid w:val="00470832"/>
    <w:rsid w:val="0047163E"/>
    <w:rsid w:val="00471FF0"/>
    <w:rsid w:val="0047212F"/>
    <w:rsid w:val="00472F28"/>
    <w:rsid w:val="00473E1A"/>
    <w:rsid w:val="0047627B"/>
    <w:rsid w:val="0047671A"/>
    <w:rsid w:val="004865CC"/>
    <w:rsid w:val="00493BCC"/>
    <w:rsid w:val="00493EF6"/>
    <w:rsid w:val="00494053"/>
    <w:rsid w:val="004953C9"/>
    <w:rsid w:val="00496B8F"/>
    <w:rsid w:val="00497291"/>
    <w:rsid w:val="00497C79"/>
    <w:rsid w:val="004A0003"/>
    <w:rsid w:val="004A1720"/>
    <w:rsid w:val="004A29A4"/>
    <w:rsid w:val="004A3C88"/>
    <w:rsid w:val="004A6543"/>
    <w:rsid w:val="004A6D69"/>
    <w:rsid w:val="004B2B12"/>
    <w:rsid w:val="004B63B4"/>
    <w:rsid w:val="004B68DC"/>
    <w:rsid w:val="004C191C"/>
    <w:rsid w:val="004C3C4C"/>
    <w:rsid w:val="004C5334"/>
    <w:rsid w:val="004C6C4E"/>
    <w:rsid w:val="004D1500"/>
    <w:rsid w:val="004D1CBD"/>
    <w:rsid w:val="004D24E3"/>
    <w:rsid w:val="004D2AA8"/>
    <w:rsid w:val="004D64DB"/>
    <w:rsid w:val="004D68D4"/>
    <w:rsid w:val="004E31B8"/>
    <w:rsid w:val="004E491C"/>
    <w:rsid w:val="004E5FAC"/>
    <w:rsid w:val="004E7141"/>
    <w:rsid w:val="004F1226"/>
    <w:rsid w:val="004F2589"/>
    <w:rsid w:val="004F388E"/>
    <w:rsid w:val="004F5259"/>
    <w:rsid w:val="004F6284"/>
    <w:rsid w:val="005043CF"/>
    <w:rsid w:val="0050491E"/>
    <w:rsid w:val="0050603A"/>
    <w:rsid w:val="00510BEB"/>
    <w:rsid w:val="00512450"/>
    <w:rsid w:val="00514D8E"/>
    <w:rsid w:val="00515A3C"/>
    <w:rsid w:val="0051694C"/>
    <w:rsid w:val="005209E0"/>
    <w:rsid w:val="00524193"/>
    <w:rsid w:val="00524832"/>
    <w:rsid w:val="00526614"/>
    <w:rsid w:val="00527729"/>
    <w:rsid w:val="0052793E"/>
    <w:rsid w:val="0053176F"/>
    <w:rsid w:val="005344CC"/>
    <w:rsid w:val="00535F69"/>
    <w:rsid w:val="005366E4"/>
    <w:rsid w:val="0053717E"/>
    <w:rsid w:val="00537727"/>
    <w:rsid w:val="00541C70"/>
    <w:rsid w:val="0054238D"/>
    <w:rsid w:val="005440D2"/>
    <w:rsid w:val="005444B1"/>
    <w:rsid w:val="00544D3C"/>
    <w:rsid w:val="00550D3B"/>
    <w:rsid w:val="005510E4"/>
    <w:rsid w:val="005531AF"/>
    <w:rsid w:val="00560E34"/>
    <w:rsid w:val="0056116A"/>
    <w:rsid w:val="00561186"/>
    <w:rsid w:val="00561985"/>
    <w:rsid w:val="005620C5"/>
    <w:rsid w:val="0056322A"/>
    <w:rsid w:val="00563939"/>
    <w:rsid w:val="005644B2"/>
    <w:rsid w:val="005647CA"/>
    <w:rsid w:val="0057024E"/>
    <w:rsid w:val="00571EAC"/>
    <w:rsid w:val="0057203A"/>
    <w:rsid w:val="005720C6"/>
    <w:rsid w:val="005723AB"/>
    <w:rsid w:val="00573D17"/>
    <w:rsid w:val="00574CA3"/>
    <w:rsid w:val="00574CE5"/>
    <w:rsid w:val="005752D6"/>
    <w:rsid w:val="00576F21"/>
    <w:rsid w:val="00577988"/>
    <w:rsid w:val="0058097B"/>
    <w:rsid w:val="0058129C"/>
    <w:rsid w:val="00584828"/>
    <w:rsid w:val="005854D3"/>
    <w:rsid w:val="005906E8"/>
    <w:rsid w:val="0059079F"/>
    <w:rsid w:val="00593C9A"/>
    <w:rsid w:val="00594D50"/>
    <w:rsid w:val="0059556F"/>
    <w:rsid w:val="005A1A70"/>
    <w:rsid w:val="005A2B54"/>
    <w:rsid w:val="005A5881"/>
    <w:rsid w:val="005A6DD3"/>
    <w:rsid w:val="005A72B0"/>
    <w:rsid w:val="005A7521"/>
    <w:rsid w:val="005B128C"/>
    <w:rsid w:val="005B12C9"/>
    <w:rsid w:val="005B1A07"/>
    <w:rsid w:val="005B1F77"/>
    <w:rsid w:val="005B218C"/>
    <w:rsid w:val="005B30DC"/>
    <w:rsid w:val="005B31A3"/>
    <w:rsid w:val="005B369B"/>
    <w:rsid w:val="005B6097"/>
    <w:rsid w:val="005B6C25"/>
    <w:rsid w:val="005B71E6"/>
    <w:rsid w:val="005B78C5"/>
    <w:rsid w:val="005C1E47"/>
    <w:rsid w:val="005C2F99"/>
    <w:rsid w:val="005C4F93"/>
    <w:rsid w:val="005C641F"/>
    <w:rsid w:val="005D23AA"/>
    <w:rsid w:val="005D327D"/>
    <w:rsid w:val="005D341B"/>
    <w:rsid w:val="005D5E82"/>
    <w:rsid w:val="005D6ACE"/>
    <w:rsid w:val="005D7C6A"/>
    <w:rsid w:val="005E1424"/>
    <w:rsid w:val="005E1B83"/>
    <w:rsid w:val="005E1FAF"/>
    <w:rsid w:val="005E3970"/>
    <w:rsid w:val="005E4540"/>
    <w:rsid w:val="005E5FA5"/>
    <w:rsid w:val="005E60A2"/>
    <w:rsid w:val="005E66DC"/>
    <w:rsid w:val="005E7003"/>
    <w:rsid w:val="005E738C"/>
    <w:rsid w:val="005E755F"/>
    <w:rsid w:val="005E7E94"/>
    <w:rsid w:val="005E7F18"/>
    <w:rsid w:val="005F014B"/>
    <w:rsid w:val="005F0256"/>
    <w:rsid w:val="005F1028"/>
    <w:rsid w:val="005F366A"/>
    <w:rsid w:val="005F4B92"/>
    <w:rsid w:val="005F60CF"/>
    <w:rsid w:val="005F69D4"/>
    <w:rsid w:val="005F6C35"/>
    <w:rsid w:val="005F736C"/>
    <w:rsid w:val="006011FA"/>
    <w:rsid w:val="00602E10"/>
    <w:rsid w:val="00606B3F"/>
    <w:rsid w:val="006076BA"/>
    <w:rsid w:val="00610738"/>
    <w:rsid w:val="00610E5E"/>
    <w:rsid w:val="00611D00"/>
    <w:rsid w:val="00612CCC"/>
    <w:rsid w:val="006146F4"/>
    <w:rsid w:val="00614BFB"/>
    <w:rsid w:val="00614DF9"/>
    <w:rsid w:val="00617925"/>
    <w:rsid w:val="00617B73"/>
    <w:rsid w:val="0062048D"/>
    <w:rsid w:val="0062343F"/>
    <w:rsid w:val="00625440"/>
    <w:rsid w:val="00625475"/>
    <w:rsid w:val="00631569"/>
    <w:rsid w:val="00631F6D"/>
    <w:rsid w:val="006324FD"/>
    <w:rsid w:val="00632AA0"/>
    <w:rsid w:val="006336CA"/>
    <w:rsid w:val="0063510A"/>
    <w:rsid w:val="00635180"/>
    <w:rsid w:val="00637CE4"/>
    <w:rsid w:val="00640C91"/>
    <w:rsid w:val="00641863"/>
    <w:rsid w:val="00643A96"/>
    <w:rsid w:val="00643C6F"/>
    <w:rsid w:val="00645491"/>
    <w:rsid w:val="00647D52"/>
    <w:rsid w:val="006515B3"/>
    <w:rsid w:val="0065207E"/>
    <w:rsid w:val="00652A89"/>
    <w:rsid w:val="00656619"/>
    <w:rsid w:val="00656E38"/>
    <w:rsid w:val="00657A20"/>
    <w:rsid w:val="00657EDB"/>
    <w:rsid w:val="00660B9F"/>
    <w:rsid w:val="006623D6"/>
    <w:rsid w:val="006626B1"/>
    <w:rsid w:val="0067004F"/>
    <w:rsid w:val="00673361"/>
    <w:rsid w:val="006763DE"/>
    <w:rsid w:val="006769AF"/>
    <w:rsid w:val="00677EEA"/>
    <w:rsid w:val="00681011"/>
    <w:rsid w:val="00683238"/>
    <w:rsid w:val="00683798"/>
    <w:rsid w:val="00684037"/>
    <w:rsid w:val="00684536"/>
    <w:rsid w:val="00685DE3"/>
    <w:rsid w:val="00690E3C"/>
    <w:rsid w:val="00692B29"/>
    <w:rsid w:val="00692E19"/>
    <w:rsid w:val="00696148"/>
    <w:rsid w:val="00697D7C"/>
    <w:rsid w:val="00697F9D"/>
    <w:rsid w:val="006A07CD"/>
    <w:rsid w:val="006A0A9C"/>
    <w:rsid w:val="006A1B35"/>
    <w:rsid w:val="006A22D1"/>
    <w:rsid w:val="006A3202"/>
    <w:rsid w:val="006A356A"/>
    <w:rsid w:val="006A59E3"/>
    <w:rsid w:val="006A5B68"/>
    <w:rsid w:val="006A6492"/>
    <w:rsid w:val="006B09AD"/>
    <w:rsid w:val="006B1671"/>
    <w:rsid w:val="006B2F1F"/>
    <w:rsid w:val="006B4367"/>
    <w:rsid w:val="006B6F07"/>
    <w:rsid w:val="006B7142"/>
    <w:rsid w:val="006B7BBC"/>
    <w:rsid w:val="006C00A5"/>
    <w:rsid w:val="006C0A4D"/>
    <w:rsid w:val="006C4557"/>
    <w:rsid w:val="006C4EFD"/>
    <w:rsid w:val="006C5AB3"/>
    <w:rsid w:val="006C6C6E"/>
    <w:rsid w:val="006D2F2D"/>
    <w:rsid w:val="006D3321"/>
    <w:rsid w:val="006D7142"/>
    <w:rsid w:val="006D7C65"/>
    <w:rsid w:val="006E23ED"/>
    <w:rsid w:val="006E34FB"/>
    <w:rsid w:val="006E3D3E"/>
    <w:rsid w:val="006E491B"/>
    <w:rsid w:val="006E4C9D"/>
    <w:rsid w:val="006E559F"/>
    <w:rsid w:val="006E7199"/>
    <w:rsid w:val="006F0EC1"/>
    <w:rsid w:val="006F1662"/>
    <w:rsid w:val="006F19E0"/>
    <w:rsid w:val="006F6070"/>
    <w:rsid w:val="00701473"/>
    <w:rsid w:val="0070165B"/>
    <w:rsid w:val="00702015"/>
    <w:rsid w:val="00702B09"/>
    <w:rsid w:val="00702BCE"/>
    <w:rsid w:val="00704C46"/>
    <w:rsid w:val="00704E77"/>
    <w:rsid w:val="00705C52"/>
    <w:rsid w:val="007067F5"/>
    <w:rsid w:val="007118A4"/>
    <w:rsid w:val="007148DF"/>
    <w:rsid w:val="00715E98"/>
    <w:rsid w:val="00716B13"/>
    <w:rsid w:val="007206B3"/>
    <w:rsid w:val="007227BD"/>
    <w:rsid w:val="00722CBC"/>
    <w:rsid w:val="00731E26"/>
    <w:rsid w:val="00732D60"/>
    <w:rsid w:val="00733B14"/>
    <w:rsid w:val="007349CE"/>
    <w:rsid w:val="0073734A"/>
    <w:rsid w:val="007378D4"/>
    <w:rsid w:val="00741B81"/>
    <w:rsid w:val="00741DD8"/>
    <w:rsid w:val="0074713D"/>
    <w:rsid w:val="007501A2"/>
    <w:rsid w:val="00750D08"/>
    <w:rsid w:val="00751EE9"/>
    <w:rsid w:val="007537A4"/>
    <w:rsid w:val="00756ADF"/>
    <w:rsid w:val="00761B0B"/>
    <w:rsid w:val="0076265E"/>
    <w:rsid w:val="007641DB"/>
    <w:rsid w:val="00767B28"/>
    <w:rsid w:val="00773161"/>
    <w:rsid w:val="007746A3"/>
    <w:rsid w:val="007755B8"/>
    <w:rsid w:val="007769C4"/>
    <w:rsid w:val="00776B4B"/>
    <w:rsid w:val="00776B57"/>
    <w:rsid w:val="00777FDC"/>
    <w:rsid w:val="00780C75"/>
    <w:rsid w:val="00781478"/>
    <w:rsid w:val="00785AB3"/>
    <w:rsid w:val="00785CD8"/>
    <w:rsid w:val="00790AF8"/>
    <w:rsid w:val="00790BBC"/>
    <w:rsid w:val="00791076"/>
    <w:rsid w:val="0079186C"/>
    <w:rsid w:val="007926B6"/>
    <w:rsid w:val="0079287D"/>
    <w:rsid w:val="00796302"/>
    <w:rsid w:val="007A0181"/>
    <w:rsid w:val="007A0276"/>
    <w:rsid w:val="007A2BE8"/>
    <w:rsid w:val="007A2EC1"/>
    <w:rsid w:val="007A604B"/>
    <w:rsid w:val="007A68C7"/>
    <w:rsid w:val="007B0F8F"/>
    <w:rsid w:val="007B1B91"/>
    <w:rsid w:val="007B2611"/>
    <w:rsid w:val="007B6279"/>
    <w:rsid w:val="007C10A1"/>
    <w:rsid w:val="007C1A84"/>
    <w:rsid w:val="007C241D"/>
    <w:rsid w:val="007C671F"/>
    <w:rsid w:val="007C677A"/>
    <w:rsid w:val="007C7017"/>
    <w:rsid w:val="007C739B"/>
    <w:rsid w:val="007D15DB"/>
    <w:rsid w:val="007D66C1"/>
    <w:rsid w:val="007D7898"/>
    <w:rsid w:val="007E1855"/>
    <w:rsid w:val="007E1F3D"/>
    <w:rsid w:val="007E3002"/>
    <w:rsid w:val="007E303F"/>
    <w:rsid w:val="007E31E2"/>
    <w:rsid w:val="007E33C4"/>
    <w:rsid w:val="007F1CC1"/>
    <w:rsid w:val="007F2D7F"/>
    <w:rsid w:val="007F2DC4"/>
    <w:rsid w:val="007F460F"/>
    <w:rsid w:val="007F50A4"/>
    <w:rsid w:val="007F748F"/>
    <w:rsid w:val="0080248F"/>
    <w:rsid w:val="00802F3A"/>
    <w:rsid w:val="008054A4"/>
    <w:rsid w:val="008058AD"/>
    <w:rsid w:val="0080596A"/>
    <w:rsid w:val="0080796D"/>
    <w:rsid w:val="0080799A"/>
    <w:rsid w:val="00811A47"/>
    <w:rsid w:val="00811C1D"/>
    <w:rsid w:val="00813807"/>
    <w:rsid w:val="00814AF6"/>
    <w:rsid w:val="00815DFF"/>
    <w:rsid w:val="00816725"/>
    <w:rsid w:val="008201B4"/>
    <w:rsid w:val="00822761"/>
    <w:rsid w:val="008248B2"/>
    <w:rsid w:val="008257DB"/>
    <w:rsid w:val="00825897"/>
    <w:rsid w:val="00826C78"/>
    <w:rsid w:val="0082726C"/>
    <w:rsid w:val="00827E8B"/>
    <w:rsid w:val="00832927"/>
    <w:rsid w:val="008336A1"/>
    <w:rsid w:val="008339C0"/>
    <w:rsid w:val="008362F8"/>
    <w:rsid w:val="00837110"/>
    <w:rsid w:val="0084117B"/>
    <w:rsid w:val="00841C47"/>
    <w:rsid w:val="008433C7"/>
    <w:rsid w:val="0084494B"/>
    <w:rsid w:val="008460EB"/>
    <w:rsid w:val="0084628A"/>
    <w:rsid w:val="008465E4"/>
    <w:rsid w:val="00850609"/>
    <w:rsid w:val="00850B58"/>
    <w:rsid w:val="0085122B"/>
    <w:rsid w:val="008516EB"/>
    <w:rsid w:val="00851B1C"/>
    <w:rsid w:val="0085627F"/>
    <w:rsid w:val="00860724"/>
    <w:rsid w:val="0086135D"/>
    <w:rsid w:val="00862F4B"/>
    <w:rsid w:val="00864ADD"/>
    <w:rsid w:val="00865064"/>
    <w:rsid w:val="00865D52"/>
    <w:rsid w:val="008664BF"/>
    <w:rsid w:val="0086732C"/>
    <w:rsid w:val="00874B0F"/>
    <w:rsid w:val="00874B7D"/>
    <w:rsid w:val="00874ED3"/>
    <w:rsid w:val="008756F8"/>
    <w:rsid w:val="00877C53"/>
    <w:rsid w:val="00881396"/>
    <w:rsid w:val="00882B6B"/>
    <w:rsid w:val="00884662"/>
    <w:rsid w:val="00885257"/>
    <w:rsid w:val="00885740"/>
    <w:rsid w:val="00887955"/>
    <w:rsid w:val="008907C6"/>
    <w:rsid w:val="008931B3"/>
    <w:rsid w:val="00896C35"/>
    <w:rsid w:val="008A1DE8"/>
    <w:rsid w:val="008A24A0"/>
    <w:rsid w:val="008A3508"/>
    <w:rsid w:val="008A6235"/>
    <w:rsid w:val="008A7D70"/>
    <w:rsid w:val="008B04E2"/>
    <w:rsid w:val="008B0D00"/>
    <w:rsid w:val="008B1703"/>
    <w:rsid w:val="008B2053"/>
    <w:rsid w:val="008B371B"/>
    <w:rsid w:val="008B5A81"/>
    <w:rsid w:val="008B5CE9"/>
    <w:rsid w:val="008B7A21"/>
    <w:rsid w:val="008C12BF"/>
    <w:rsid w:val="008C2465"/>
    <w:rsid w:val="008C580B"/>
    <w:rsid w:val="008D3140"/>
    <w:rsid w:val="008D3D9A"/>
    <w:rsid w:val="008D4155"/>
    <w:rsid w:val="008D65A3"/>
    <w:rsid w:val="008E0A51"/>
    <w:rsid w:val="008E1241"/>
    <w:rsid w:val="008E30C4"/>
    <w:rsid w:val="008E4F69"/>
    <w:rsid w:val="008E67E0"/>
    <w:rsid w:val="008E7267"/>
    <w:rsid w:val="008E7626"/>
    <w:rsid w:val="008F0545"/>
    <w:rsid w:val="008F6CEE"/>
    <w:rsid w:val="00902EC4"/>
    <w:rsid w:val="009031F8"/>
    <w:rsid w:val="009048FC"/>
    <w:rsid w:val="00905F16"/>
    <w:rsid w:val="00910277"/>
    <w:rsid w:val="009141D6"/>
    <w:rsid w:val="00914A33"/>
    <w:rsid w:val="009151BD"/>
    <w:rsid w:val="00915D3B"/>
    <w:rsid w:val="00920B8F"/>
    <w:rsid w:val="0092115B"/>
    <w:rsid w:val="009219D9"/>
    <w:rsid w:val="00921E80"/>
    <w:rsid w:val="009222F7"/>
    <w:rsid w:val="00922393"/>
    <w:rsid w:val="0092333E"/>
    <w:rsid w:val="00931AAB"/>
    <w:rsid w:val="0093491C"/>
    <w:rsid w:val="00935300"/>
    <w:rsid w:val="0094016B"/>
    <w:rsid w:val="009402DA"/>
    <w:rsid w:val="00941B6B"/>
    <w:rsid w:val="00941EC9"/>
    <w:rsid w:val="00942467"/>
    <w:rsid w:val="00942A6E"/>
    <w:rsid w:val="009430B8"/>
    <w:rsid w:val="00944667"/>
    <w:rsid w:val="00944C10"/>
    <w:rsid w:val="0094625E"/>
    <w:rsid w:val="0094658F"/>
    <w:rsid w:val="0094722A"/>
    <w:rsid w:val="00951588"/>
    <w:rsid w:val="00951625"/>
    <w:rsid w:val="00953B34"/>
    <w:rsid w:val="00954F69"/>
    <w:rsid w:val="00962089"/>
    <w:rsid w:val="00962908"/>
    <w:rsid w:val="009629EB"/>
    <w:rsid w:val="00966986"/>
    <w:rsid w:val="00966E9A"/>
    <w:rsid w:val="00966FB3"/>
    <w:rsid w:val="009676AB"/>
    <w:rsid w:val="00971082"/>
    <w:rsid w:val="009718CD"/>
    <w:rsid w:val="00973821"/>
    <w:rsid w:val="009774F4"/>
    <w:rsid w:val="009805B7"/>
    <w:rsid w:val="00981094"/>
    <w:rsid w:val="00982B0B"/>
    <w:rsid w:val="00982B40"/>
    <w:rsid w:val="00983D96"/>
    <w:rsid w:val="009858EF"/>
    <w:rsid w:val="00986A7F"/>
    <w:rsid w:val="009879A4"/>
    <w:rsid w:val="00987C14"/>
    <w:rsid w:val="00987DA8"/>
    <w:rsid w:val="009902E0"/>
    <w:rsid w:val="00990B9B"/>
    <w:rsid w:val="00990DB2"/>
    <w:rsid w:val="00991664"/>
    <w:rsid w:val="00991E60"/>
    <w:rsid w:val="00995256"/>
    <w:rsid w:val="009955E8"/>
    <w:rsid w:val="0099644A"/>
    <w:rsid w:val="00997D1B"/>
    <w:rsid w:val="009A368F"/>
    <w:rsid w:val="009A792F"/>
    <w:rsid w:val="009B0762"/>
    <w:rsid w:val="009B1D8F"/>
    <w:rsid w:val="009B2399"/>
    <w:rsid w:val="009B4CB4"/>
    <w:rsid w:val="009B4D08"/>
    <w:rsid w:val="009B5ADE"/>
    <w:rsid w:val="009B7908"/>
    <w:rsid w:val="009C256E"/>
    <w:rsid w:val="009C2C01"/>
    <w:rsid w:val="009C514D"/>
    <w:rsid w:val="009C5476"/>
    <w:rsid w:val="009C5B03"/>
    <w:rsid w:val="009C6143"/>
    <w:rsid w:val="009C7D16"/>
    <w:rsid w:val="009D05FC"/>
    <w:rsid w:val="009D2258"/>
    <w:rsid w:val="009D30BA"/>
    <w:rsid w:val="009D48B9"/>
    <w:rsid w:val="009D5F5C"/>
    <w:rsid w:val="009D61EC"/>
    <w:rsid w:val="009D62DE"/>
    <w:rsid w:val="009D7AF6"/>
    <w:rsid w:val="009E1318"/>
    <w:rsid w:val="009E1AB8"/>
    <w:rsid w:val="009E4053"/>
    <w:rsid w:val="009E5676"/>
    <w:rsid w:val="009E5A53"/>
    <w:rsid w:val="009E76AA"/>
    <w:rsid w:val="009E7CE9"/>
    <w:rsid w:val="009F0278"/>
    <w:rsid w:val="009F20AA"/>
    <w:rsid w:val="009F58B1"/>
    <w:rsid w:val="009F594C"/>
    <w:rsid w:val="009F65F0"/>
    <w:rsid w:val="00A003AB"/>
    <w:rsid w:val="00A032AF"/>
    <w:rsid w:val="00A04FBC"/>
    <w:rsid w:val="00A0509E"/>
    <w:rsid w:val="00A064F6"/>
    <w:rsid w:val="00A07667"/>
    <w:rsid w:val="00A1051F"/>
    <w:rsid w:val="00A11022"/>
    <w:rsid w:val="00A11B57"/>
    <w:rsid w:val="00A11D4D"/>
    <w:rsid w:val="00A13165"/>
    <w:rsid w:val="00A13862"/>
    <w:rsid w:val="00A1419D"/>
    <w:rsid w:val="00A16758"/>
    <w:rsid w:val="00A20B6A"/>
    <w:rsid w:val="00A21BE4"/>
    <w:rsid w:val="00A25907"/>
    <w:rsid w:val="00A27BCD"/>
    <w:rsid w:val="00A32B50"/>
    <w:rsid w:val="00A3534F"/>
    <w:rsid w:val="00A3584B"/>
    <w:rsid w:val="00A36A0B"/>
    <w:rsid w:val="00A40C63"/>
    <w:rsid w:val="00A41FE4"/>
    <w:rsid w:val="00A428EF"/>
    <w:rsid w:val="00A43C18"/>
    <w:rsid w:val="00A44420"/>
    <w:rsid w:val="00A44D2D"/>
    <w:rsid w:val="00A45250"/>
    <w:rsid w:val="00A50C4C"/>
    <w:rsid w:val="00A510CD"/>
    <w:rsid w:val="00A521CD"/>
    <w:rsid w:val="00A52252"/>
    <w:rsid w:val="00A53F56"/>
    <w:rsid w:val="00A55D34"/>
    <w:rsid w:val="00A56054"/>
    <w:rsid w:val="00A64AA3"/>
    <w:rsid w:val="00A654AA"/>
    <w:rsid w:val="00A65740"/>
    <w:rsid w:val="00A6634E"/>
    <w:rsid w:val="00A66BD0"/>
    <w:rsid w:val="00A6754E"/>
    <w:rsid w:val="00A70AEB"/>
    <w:rsid w:val="00A724BF"/>
    <w:rsid w:val="00A72ABA"/>
    <w:rsid w:val="00A7397A"/>
    <w:rsid w:val="00A742FA"/>
    <w:rsid w:val="00A76A5C"/>
    <w:rsid w:val="00A81384"/>
    <w:rsid w:val="00A819A8"/>
    <w:rsid w:val="00A81A0C"/>
    <w:rsid w:val="00A82ABC"/>
    <w:rsid w:val="00A82C6E"/>
    <w:rsid w:val="00A84941"/>
    <w:rsid w:val="00A8607A"/>
    <w:rsid w:val="00A86384"/>
    <w:rsid w:val="00A87C1E"/>
    <w:rsid w:val="00A90052"/>
    <w:rsid w:val="00A92812"/>
    <w:rsid w:val="00A932DC"/>
    <w:rsid w:val="00A93602"/>
    <w:rsid w:val="00A93EAC"/>
    <w:rsid w:val="00A963E3"/>
    <w:rsid w:val="00AA1203"/>
    <w:rsid w:val="00AA2822"/>
    <w:rsid w:val="00AA3CEB"/>
    <w:rsid w:val="00AA4C23"/>
    <w:rsid w:val="00AA63DC"/>
    <w:rsid w:val="00AA70DE"/>
    <w:rsid w:val="00AA783A"/>
    <w:rsid w:val="00AB1BE1"/>
    <w:rsid w:val="00AB2267"/>
    <w:rsid w:val="00AB2A89"/>
    <w:rsid w:val="00AB3ED6"/>
    <w:rsid w:val="00AB490F"/>
    <w:rsid w:val="00AB56F8"/>
    <w:rsid w:val="00AB67F4"/>
    <w:rsid w:val="00AB6F6C"/>
    <w:rsid w:val="00AC0112"/>
    <w:rsid w:val="00AC0650"/>
    <w:rsid w:val="00AC08C1"/>
    <w:rsid w:val="00AC0EDF"/>
    <w:rsid w:val="00AC76E8"/>
    <w:rsid w:val="00AD07EB"/>
    <w:rsid w:val="00AD6BEE"/>
    <w:rsid w:val="00AE1987"/>
    <w:rsid w:val="00AE1AD3"/>
    <w:rsid w:val="00AE6155"/>
    <w:rsid w:val="00AF18BC"/>
    <w:rsid w:val="00AF22E0"/>
    <w:rsid w:val="00AF51F4"/>
    <w:rsid w:val="00AF5775"/>
    <w:rsid w:val="00AF59FC"/>
    <w:rsid w:val="00AF6522"/>
    <w:rsid w:val="00AF76D9"/>
    <w:rsid w:val="00B00B64"/>
    <w:rsid w:val="00B013A9"/>
    <w:rsid w:val="00B01B98"/>
    <w:rsid w:val="00B03371"/>
    <w:rsid w:val="00B04779"/>
    <w:rsid w:val="00B048B8"/>
    <w:rsid w:val="00B0596D"/>
    <w:rsid w:val="00B06D16"/>
    <w:rsid w:val="00B06F2F"/>
    <w:rsid w:val="00B13991"/>
    <w:rsid w:val="00B14A8B"/>
    <w:rsid w:val="00B201C1"/>
    <w:rsid w:val="00B212AE"/>
    <w:rsid w:val="00B219B1"/>
    <w:rsid w:val="00B2252B"/>
    <w:rsid w:val="00B22901"/>
    <w:rsid w:val="00B23615"/>
    <w:rsid w:val="00B23D20"/>
    <w:rsid w:val="00B24E14"/>
    <w:rsid w:val="00B250E2"/>
    <w:rsid w:val="00B251C0"/>
    <w:rsid w:val="00B25AD0"/>
    <w:rsid w:val="00B26138"/>
    <w:rsid w:val="00B26CC7"/>
    <w:rsid w:val="00B302C2"/>
    <w:rsid w:val="00B31017"/>
    <w:rsid w:val="00B31F4C"/>
    <w:rsid w:val="00B32428"/>
    <w:rsid w:val="00B33F17"/>
    <w:rsid w:val="00B3452E"/>
    <w:rsid w:val="00B351AE"/>
    <w:rsid w:val="00B35D5F"/>
    <w:rsid w:val="00B3650A"/>
    <w:rsid w:val="00B37468"/>
    <w:rsid w:val="00B37593"/>
    <w:rsid w:val="00B376D1"/>
    <w:rsid w:val="00B379AF"/>
    <w:rsid w:val="00B40D91"/>
    <w:rsid w:val="00B43F5E"/>
    <w:rsid w:val="00B44866"/>
    <w:rsid w:val="00B4497D"/>
    <w:rsid w:val="00B46811"/>
    <w:rsid w:val="00B46A1C"/>
    <w:rsid w:val="00B4766E"/>
    <w:rsid w:val="00B4784F"/>
    <w:rsid w:val="00B5102D"/>
    <w:rsid w:val="00B51B50"/>
    <w:rsid w:val="00B5512A"/>
    <w:rsid w:val="00B57CAE"/>
    <w:rsid w:val="00B610BD"/>
    <w:rsid w:val="00B6241B"/>
    <w:rsid w:val="00B62979"/>
    <w:rsid w:val="00B658F9"/>
    <w:rsid w:val="00B65D53"/>
    <w:rsid w:val="00B67E6C"/>
    <w:rsid w:val="00B700AB"/>
    <w:rsid w:val="00B70FFD"/>
    <w:rsid w:val="00B71C57"/>
    <w:rsid w:val="00B72634"/>
    <w:rsid w:val="00B740AB"/>
    <w:rsid w:val="00B74461"/>
    <w:rsid w:val="00B75BCF"/>
    <w:rsid w:val="00B75CB5"/>
    <w:rsid w:val="00B76253"/>
    <w:rsid w:val="00B77FEA"/>
    <w:rsid w:val="00B82344"/>
    <w:rsid w:val="00B84582"/>
    <w:rsid w:val="00B84C35"/>
    <w:rsid w:val="00B863BF"/>
    <w:rsid w:val="00B9095B"/>
    <w:rsid w:val="00B90B81"/>
    <w:rsid w:val="00B91B14"/>
    <w:rsid w:val="00B91FCE"/>
    <w:rsid w:val="00B92956"/>
    <w:rsid w:val="00B93B6C"/>
    <w:rsid w:val="00B95686"/>
    <w:rsid w:val="00B97FE2"/>
    <w:rsid w:val="00BA05A9"/>
    <w:rsid w:val="00BA1182"/>
    <w:rsid w:val="00BA13CB"/>
    <w:rsid w:val="00BA2720"/>
    <w:rsid w:val="00BA40E5"/>
    <w:rsid w:val="00BA4172"/>
    <w:rsid w:val="00BA4628"/>
    <w:rsid w:val="00BA6009"/>
    <w:rsid w:val="00BA64E8"/>
    <w:rsid w:val="00BB3DFD"/>
    <w:rsid w:val="00BB3E80"/>
    <w:rsid w:val="00BB4D85"/>
    <w:rsid w:val="00BB5D36"/>
    <w:rsid w:val="00BC0541"/>
    <w:rsid w:val="00BC0CC3"/>
    <w:rsid w:val="00BC1625"/>
    <w:rsid w:val="00BC16E6"/>
    <w:rsid w:val="00BC34C2"/>
    <w:rsid w:val="00BC43AC"/>
    <w:rsid w:val="00BC5241"/>
    <w:rsid w:val="00BD11E0"/>
    <w:rsid w:val="00BD1DD3"/>
    <w:rsid w:val="00BD2972"/>
    <w:rsid w:val="00BD4545"/>
    <w:rsid w:val="00BD51FF"/>
    <w:rsid w:val="00BD549A"/>
    <w:rsid w:val="00BD5705"/>
    <w:rsid w:val="00BD5A37"/>
    <w:rsid w:val="00BD7B3A"/>
    <w:rsid w:val="00BE0510"/>
    <w:rsid w:val="00BE1F19"/>
    <w:rsid w:val="00BE316B"/>
    <w:rsid w:val="00BE4097"/>
    <w:rsid w:val="00BE4AA7"/>
    <w:rsid w:val="00BE4D5A"/>
    <w:rsid w:val="00BE7608"/>
    <w:rsid w:val="00BE7D9B"/>
    <w:rsid w:val="00BF0289"/>
    <w:rsid w:val="00BF4E20"/>
    <w:rsid w:val="00BF4F67"/>
    <w:rsid w:val="00BF5147"/>
    <w:rsid w:val="00BF5DB0"/>
    <w:rsid w:val="00C02433"/>
    <w:rsid w:val="00C05742"/>
    <w:rsid w:val="00C0777F"/>
    <w:rsid w:val="00C10227"/>
    <w:rsid w:val="00C11E5B"/>
    <w:rsid w:val="00C130F9"/>
    <w:rsid w:val="00C134C0"/>
    <w:rsid w:val="00C136EB"/>
    <w:rsid w:val="00C205F2"/>
    <w:rsid w:val="00C213FF"/>
    <w:rsid w:val="00C22625"/>
    <w:rsid w:val="00C23A01"/>
    <w:rsid w:val="00C3016D"/>
    <w:rsid w:val="00C30B99"/>
    <w:rsid w:val="00C325EC"/>
    <w:rsid w:val="00C33192"/>
    <w:rsid w:val="00C37799"/>
    <w:rsid w:val="00C40A9F"/>
    <w:rsid w:val="00C4178E"/>
    <w:rsid w:val="00C43A5C"/>
    <w:rsid w:val="00C43CFA"/>
    <w:rsid w:val="00C44A13"/>
    <w:rsid w:val="00C46BD0"/>
    <w:rsid w:val="00C5492C"/>
    <w:rsid w:val="00C560D3"/>
    <w:rsid w:val="00C62619"/>
    <w:rsid w:val="00C62EF3"/>
    <w:rsid w:val="00C636DC"/>
    <w:rsid w:val="00C65DFE"/>
    <w:rsid w:val="00C66BF3"/>
    <w:rsid w:val="00C67DDE"/>
    <w:rsid w:val="00C7046E"/>
    <w:rsid w:val="00C70820"/>
    <w:rsid w:val="00C746AE"/>
    <w:rsid w:val="00C76388"/>
    <w:rsid w:val="00C76EEA"/>
    <w:rsid w:val="00C80673"/>
    <w:rsid w:val="00C814DC"/>
    <w:rsid w:val="00C81FEF"/>
    <w:rsid w:val="00C83CEF"/>
    <w:rsid w:val="00C918CB"/>
    <w:rsid w:val="00C92637"/>
    <w:rsid w:val="00C9378E"/>
    <w:rsid w:val="00C93ECC"/>
    <w:rsid w:val="00C94447"/>
    <w:rsid w:val="00C97378"/>
    <w:rsid w:val="00CA1420"/>
    <w:rsid w:val="00CA3E6B"/>
    <w:rsid w:val="00CA3ED2"/>
    <w:rsid w:val="00CA4C92"/>
    <w:rsid w:val="00CA5F0B"/>
    <w:rsid w:val="00CA6416"/>
    <w:rsid w:val="00CA7571"/>
    <w:rsid w:val="00CB23D1"/>
    <w:rsid w:val="00CB272C"/>
    <w:rsid w:val="00CB68B2"/>
    <w:rsid w:val="00CB72C1"/>
    <w:rsid w:val="00CB7D6D"/>
    <w:rsid w:val="00CC02F3"/>
    <w:rsid w:val="00CC12A2"/>
    <w:rsid w:val="00CC339A"/>
    <w:rsid w:val="00CC54A1"/>
    <w:rsid w:val="00CD1EC1"/>
    <w:rsid w:val="00CD2C9E"/>
    <w:rsid w:val="00CD2D71"/>
    <w:rsid w:val="00CD3B25"/>
    <w:rsid w:val="00CD3B64"/>
    <w:rsid w:val="00CD50CA"/>
    <w:rsid w:val="00CD77FE"/>
    <w:rsid w:val="00CE0054"/>
    <w:rsid w:val="00CE1422"/>
    <w:rsid w:val="00CE27B0"/>
    <w:rsid w:val="00CE2F15"/>
    <w:rsid w:val="00CE3791"/>
    <w:rsid w:val="00CE3A83"/>
    <w:rsid w:val="00CE5698"/>
    <w:rsid w:val="00CE7E9A"/>
    <w:rsid w:val="00CF1F88"/>
    <w:rsid w:val="00CF3F35"/>
    <w:rsid w:val="00CF4480"/>
    <w:rsid w:val="00CF49AA"/>
    <w:rsid w:val="00CF5745"/>
    <w:rsid w:val="00CF6ED1"/>
    <w:rsid w:val="00CF7246"/>
    <w:rsid w:val="00D00411"/>
    <w:rsid w:val="00D035C1"/>
    <w:rsid w:val="00D0363A"/>
    <w:rsid w:val="00D039B5"/>
    <w:rsid w:val="00D06301"/>
    <w:rsid w:val="00D074CD"/>
    <w:rsid w:val="00D07663"/>
    <w:rsid w:val="00D07EAF"/>
    <w:rsid w:val="00D10E21"/>
    <w:rsid w:val="00D1140C"/>
    <w:rsid w:val="00D13EA7"/>
    <w:rsid w:val="00D15266"/>
    <w:rsid w:val="00D1528F"/>
    <w:rsid w:val="00D1797E"/>
    <w:rsid w:val="00D20927"/>
    <w:rsid w:val="00D20A17"/>
    <w:rsid w:val="00D216D6"/>
    <w:rsid w:val="00D21A6E"/>
    <w:rsid w:val="00D22123"/>
    <w:rsid w:val="00D24D52"/>
    <w:rsid w:val="00D24F2E"/>
    <w:rsid w:val="00D257B9"/>
    <w:rsid w:val="00D27E1C"/>
    <w:rsid w:val="00D30306"/>
    <w:rsid w:val="00D3052C"/>
    <w:rsid w:val="00D30862"/>
    <w:rsid w:val="00D31D2F"/>
    <w:rsid w:val="00D336F9"/>
    <w:rsid w:val="00D4108B"/>
    <w:rsid w:val="00D412D5"/>
    <w:rsid w:val="00D424D3"/>
    <w:rsid w:val="00D424FC"/>
    <w:rsid w:val="00D43094"/>
    <w:rsid w:val="00D43D43"/>
    <w:rsid w:val="00D44020"/>
    <w:rsid w:val="00D44FBC"/>
    <w:rsid w:val="00D453CF"/>
    <w:rsid w:val="00D453DF"/>
    <w:rsid w:val="00D47734"/>
    <w:rsid w:val="00D51355"/>
    <w:rsid w:val="00D55256"/>
    <w:rsid w:val="00D55AE7"/>
    <w:rsid w:val="00D55D02"/>
    <w:rsid w:val="00D565EC"/>
    <w:rsid w:val="00D57951"/>
    <w:rsid w:val="00D6025E"/>
    <w:rsid w:val="00D60659"/>
    <w:rsid w:val="00D60BB9"/>
    <w:rsid w:val="00D624C1"/>
    <w:rsid w:val="00D63272"/>
    <w:rsid w:val="00D65925"/>
    <w:rsid w:val="00D65AA7"/>
    <w:rsid w:val="00D66817"/>
    <w:rsid w:val="00D66B2F"/>
    <w:rsid w:val="00D67910"/>
    <w:rsid w:val="00D73332"/>
    <w:rsid w:val="00D75A10"/>
    <w:rsid w:val="00D80C4F"/>
    <w:rsid w:val="00D82513"/>
    <w:rsid w:val="00D82576"/>
    <w:rsid w:val="00D84E23"/>
    <w:rsid w:val="00D84E6A"/>
    <w:rsid w:val="00D874B9"/>
    <w:rsid w:val="00D9036F"/>
    <w:rsid w:val="00D92CC4"/>
    <w:rsid w:val="00D942BA"/>
    <w:rsid w:val="00D9504C"/>
    <w:rsid w:val="00D96AEA"/>
    <w:rsid w:val="00DA1FDA"/>
    <w:rsid w:val="00DA7BA8"/>
    <w:rsid w:val="00DB06EE"/>
    <w:rsid w:val="00DB0E16"/>
    <w:rsid w:val="00DB2207"/>
    <w:rsid w:val="00DB34A6"/>
    <w:rsid w:val="00DB4010"/>
    <w:rsid w:val="00DB4D2F"/>
    <w:rsid w:val="00DB77B9"/>
    <w:rsid w:val="00DB7CFA"/>
    <w:rsid w:val="00DC04CC"/>
    <w:rsid w:val="00DC0A38"/>
    <w:rsid w:val="00DC1188"/>
    <w:rsid w:val="00DC250D"/>
    <w:rsid w:val="00DC2A5D"/>
    <w:rsid w:val="00DC4F9C"/>
    <w:rsid w:val="00DC6757"/>
    <w:rsid w:val="00DC75BC"/>
    <w:rsid w:val="00DC7AF2"/>
    <w:rsid w:val="00DD2930"/>
    <w:rsid w:val="00DD76B6"/>
    <w:rsid w:val="00DD7B80"/>
    <w:rsid w:val="00DE00E0"/>
    <w:rsid w:val="00DE1990"/>
    <w:rsid w:val="00DE2561"/>
    <w:rsid w:val="00DE28EE"/>
    <w:rsid w:val="00DE5074"/>
    <w:rsid w:val="00DE7CF1"/>
    <w:rsid w:val="00DF163E"/>
    <w:rsid w:val="00DF1FD2"/>
    <w:rsid w:val="00DF3053"/>
    <w:rsid w:val="00DF4904"/>
    <w:rsid w:val="00DF570C"/>
    <w:rsid w:val="00DF5C4F"/>
    <w:rsid w:val="00E0181E"/>
    <w:rsid w:val="00E0318E"/>
    <w:rsid w:val="00E0544A"/>
    <w:rsid w:val="00E05B68"/>
    <w:rsid w:val="00E10C75"/>
    <w:rsid w:val="00E12096"/>
    <w:rsid w:val="00E162CE"/>
    <w:rsid w:val="00E16810"/>
    <w:rsid w:val="00E16CD2"/>
    <w:rsid w:val="00E17E3C"/>
    <w:rsid w:val="00E2055A"/>
    <w:rsid w:val="00E245B4"/>
    <w:rsid w:val="00E25199"/>
    <w:rsid w:val="00E2647C"/>
    <w:rsid w:val="00E320B6"/>
    <w:rsid w:val="00E32827"/>
    <w:rsid w:val="00E32BB9"/>
    <w:rsid w:val="00E338D2"/>
    <w:rsid w:val="00E341CE"/>
    <w:rsid w:val="00E3438A"/>
    <w:rsid w:val="00E3500B"/>
    <w:rsid w:val="00E3603E"/>
    <w:rsid w:val="00E36335"/>
    <w:rsid w:val="00E3649C"/>
    <w:rsid w:val="00E367D1"/>
    <w:rsid w:val="00E41052"/>
    <w:rsid w:val="00E41A1A"/>
    <w:rsid w:val="00E42157"/>
    <w:rsid w:val="00E429F2"/>
    <w:rsid w:val="00E44AD2"/>
    <w:rsid w:val="00E45398"/>
    <w:rsid w:val="00E45E97"/>
    <w:rsid w:val="00E53135"/>
    <w:rsid w:val="00E542FA"/>
    <w:rsid w:val="00E54F34"/>
    <w:rsid w:val="00E57C83"/>
    <w:rsid w:val="00E60680"/>
    <w:rsid w:val="00E61024"/>
    <w:rsid w:val="00E63160"/>
    <w:rsid w:val="00E6392E"/>
    <w:rsid w:val="00E654FD"/>
    <w:rsid w:val="00E6699B"/>
    <w:rsid w:val="00E6733A"/>
    <w:rsid w:val="00E6772D"/>
    <w:rsid w:val="00E711B6"/>
    <w:rsid w:val="00E71A58"/>
    <w:rsid w:val="00E727C8"/>
    <w:rsid w:val="00E733CA"/>
    <w:rsid w:val="00E74575"/>
    <w:rsid w:val="00E76C3E"/>
    <w:rsid w:val="00E80DEE"/>
    <w:rsid w:val="00E81D31"/>
    <w:rsid w:val="00E82C3D"/>
    <w:rsid w:val="00E82C6F"/>
    <w:rsid w:val="00E835B2"/>
    <w:rsid w:val="00E84E34"/>
    <w:rsid w:val="00E85BCA"/>
    <w:rsid w:val="00E85C55"/>
    <w:rsid w:val="00E864A1"/>
    <w:rsid w:val="00E92D42"/>
    <w:rsid w:val="00E9310D"/>
    <w:rsid w:val="00E944AD"/>
    <w:rsid w:val="00E95F60"/>
    <w:rsid w:val="00E97467"/>
    <w:rsid w:val="00EA246F"/>
    <w:rsid w:val="00EA39F0"/>
    <w:rsid w:val="00EA4552"/>
    <w:rsid w:val="00EA4DD6"/>
    <w:rsid w:val="00EA6F39"/>
    <w:rsid w:val="00EB14AF"/>
    <w:rsid w:val="00EB31E1"/>
    <w:rsid w:val="00EB374F"/>
    <w:rsid w:val="00EB385C"/>
    <w:rsid w:val="00EB5E8D"/>
    <w:rsid w:val="00EB6B39"/>
    <w:rsid w:val="00EB6DE2"/>
    <w:rsid w:val="00EC28A0"/>
    <w:rsid w:val="00EC30CC"/>
    <w:rsid w:val="00EC3FAD"/>
    <w:rsid w:val="00EC62A9"/>
    <w:rsid w:val="00EC79F1"/>
    <w:rsid w:val="00ED1D4B"/>
    <w:rsid w:val="00ED24F8"/>
    <w:rsid w:val="00ED2C2B"/>
    <w:rsid w:val="00ED4124"/>
    <w:rsid w:val="00ED52A7"/>
    <w:rsid w:val="00EE0E8E"/>
    <w:rsid w:val="00EE15C5"/>
    <w:rsid w:val="00EE2E45"/>
    <w:rsid w:val="00EE567A"/>
    <w:rsid w:val="00EE6EB5"/>
    <w:rsid w:val="00EE7C81"/>
    <w:rsid w:val="00EF3F67"/>
    <w:rsid w:val="00EF4122"/>
    <w:rsid w:val="00EF5B11"/>
    <w:rsid w:val="00EF6C42"/>
    <w:rsid w:val="00EF7B50"/>
    <w:rsid w:val="00F0152F"/>
    <w:rsid w:val="00F07A02"/>
    <w:rsid w:val="00F126E7"/>
    <w:rsid w:val="00F13DC4"/>
    <w:rsid w:val="00F14389"/>
    <w:rsid w:val="00F16AC4"/>
    <w:rsid w:val="00F16C59"/>
    <w:rsid w:val="00F16EC1"/>
    <w:rsid w:val="00F2103B"/>
    <w:rsid w:val="00F23439"/>
    <w:rsid w:val="00F235E2"/>
    <w:rsid w:val="00F23A20"/>
    <w:rsid w:val="00F23EB6"/>
    <w:rsid w:val="00F27174"/>
    <w:rsid w:val="00F275A7"/>
    <w:rsid w:val="00F318A9"/>
    <w:rsid w:val="00F32147"/>
    <w:rsid w:val="00F3289B"/>
    <w:rsid w:val="00F34369"/>
    <w:rsid w:val="00F352D2"/>
    <w:rsid w:val="00F36997"/>
    <w:rsid w:val="00F37552"/>
    <w:rsid w:val="00F40A6A"/>
    <w:rsid w:val="00F41AA6"/>
    <w:rsid w:val="00F42AEE"/>
    <w:rsid w:val="00F45C7B"/>
    <w:rsid w:val="00F52092"/>
    <w:rsid w:val="00F52643"/>
    <w:rsid w:val="00F52EFE"/>
    <w:rsid w:val="00F54256"/>
    <w:rsid w:val="00F6001E"/>
    <w:rsid w:val="00F6172B"/>
    <w:rsid w:val="00F6186F"/>
    <w:rsid w:val="00F61BAC"/>
    <w:rsid w:val="00F62C34"/>
    <w:rsid w:val="00F649DD"/>
    <w:rsid w:val="00F65A04"/>
    <w:rsid w:val="00F65AF9"/>
    <w:rsid w:val="00F65E0F"/>
    <w:rsid w:val="00F668A8"/>
    <w:rsid w:val="00F67203"/>
    <w:rsid w:val="00F67C23"/>
    <w:rsid w:val="00F70B2E"/>
    <w:rsid w:val="00F71A00"/>
    <w:rsid w:val="00F71B9D"/>
    <w:rsid w:val="00F731B4"/>
    <w:rsid w:val="00F73BE8"/>
    <w:rsid w:val="00F74459"/>
    <w:rsid w:val="00F745E6"/>
    <w:rsid w:val="00F75832"/>
    <w:rsid w:val="00F7686C"/>
    <w:rsid w:val="00F76A7F"/>
    <w:rsid w:val="00F81C25"/>
    <w:rsid w:val="00F82A29"/>
    <w:rsid w:val="00F82FA0"/>
    <w:rsid w:val="00F85758"/>
    <w:rsid w:val="00F85A0D"/>
    <w:rsid w:val="00F9200E"/>
    <w:rsid w:val="00F94DEF"/>
    <w:rsid w:val="00F95557"/>
    <w:rsid w:val="00F96573"/>
    <w:rsid w:val="00F96B97"/>
    <w:rsid w:val="00F96CC9"/>
    <w:rsid w:val="00FA153A"/>
    <w:rsid w:val="00FA3911"/>
    <w:rsid w:val="00FA77E0"/>
    <w:rsid w:val="00FB0DF8"/>
    <w:rsid w:val="00FB2CDC"/>
    <w:rsid w:val="00FB46A3"/>
    <w:rsid w:val="00FB6807"/>
    <w:rsid w:val="00FC1530"/>
    <w:rsid w:val="00FC1753"/>
    <w:rsid w:val="00FC2F84"/>
    <w:rsid w:val="00FC4026"/>
    <w:rsid w:val="00FC4104"/>
    <w:rsid w:val="00FC4444"/>
    <w:rsid w:val="00FC51C0"/>
    <w:rsid w:val="00FC6F58"/>
    <w:rsid w:val="00FC7671"/>
    <w:rsid w:val="00FD02EC"/>
    <w:rsid w:val="00FD0400"/>
    <w:rsid w:val="00FD13A5"/>
    <w:rsid w:val="00FD570C"/>
    <w:rsid w:val="00FD6191"/>
    <w:rsid w:val="00FD6C88"/>
    <w:rsid w:val="00FE31EE"/>
    <w:rsid w:val="00FE4D18"/>
    <w:rsid w:val="00FE512E"/>
    <w:rsid w:val="00FE565C"/>
    <w:rsid w:val="00FE5AF7"/>
    <w:rsid w:val="00FE61E5"/>
    <w:rsid w:val="00FE6A32"/>
    <w:rsid w:val="00FE7EB8"/>
    <w:rsid w:val="00FF0F24"/>
    <w:rsid w:val="00FF251D"/>
    <w:rsid w:val="00FF35EE"/>
    <w:rsid w:val="00FF4CF1"/>
    <w:rsid w:val="00FF658B"/>
    <w:rsid w:val="00FF6964"/>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styleId="Header">
    <w:name w:val="header"/>
    <w:basedOn w:val="Normal"/>
    <w:link w:val="HeaderChar"/>
    <w:uiPriority w:val="99"/>
    <w:unhideWhenUsed/>
    <w:rsid w:val="00017CA9"/>
    <w:pPr>
      <w:tabs>
        <w:tab w:val="center" w:pos="4536"/>
        <w:tab w:val="right" w:pos="9072"/>
      </w:tabs>
      <w:spacing w:after="0"/>
    </w:pPr>
  </w:style>
  <w:style w:type="character" w:customStyle="1" w:styleId="HeaderChar">
    <w:name w:val="Header Char"/>
    <w:basedOn w:val="DefaultParagraphFont"/>
    <w:link w:val="Header"/>
    <w:uiPriority w:val="99"/>
    <w:rsid w:val="00017CA9"/>
    <w:rPr>
      <w:rFonts w:ascii="Times New Roman" w:eastAsia="Times New Roman" w:hAnsi="Times New Roman"/>
      <w:sz w:val="22"/>
      <w:lang w:val="en-GB"/>
    </w:rPr>
  </w:style>
  <w:style w:type="paragraph" w:styleId="Footer">
    <w:name w:val="footer"/>
    <w:basedOn w:val="Normal"/>
    <w:link w:val="FooterChar"/>
    <w:uiPriority w:val="99"/>
    <w:unhideWhenUsed/>
    <w:rsid w:val="00017CA9"/>
    <w:pPr>
      <w:tabs>
        <w:tab w:val="center" w:pos="4536"/>
        <w:tab w:val="right" w:pos="9072"/>
      </w:tabs>
      <w:spacing w:after="0"/>
    </w:pPr>
  </w:style>
  <w:style w:type="character" w:customStyle="1" w:styleId="FooterChar">
    <w:name w:val="Footer Char"/>
    <w:basedOn w:val="DefaultParagraphFont"/>
    <w:link w:val="Footer"/>
    <w:uiPriority w:val="99"/>
    <w:rsid w:val="00017CA9"/>
    <w:rPr>
      <w:rFonts w:ascii="Times New Roman" w:eastAsia="Times New Roman" w:hAnsi="Times New Roman"/>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styleId="Header">
    <w:name w:val="header"/>
    <w:basedOn w:val="Normal"/>
    <w:link w:val="HeaderChar"/>
    <w:uiPriority w:val="99"/>
    <w:unhideWhenUsed/>
    <w:rsid w:val="00017CA9"/>
    <w:pPr>
      <w:tabs>
        <w:tab w:val="center" w:pos="4536"/>
        <w:tab w:val="right" w:pos="9072"/>
      </w:tabs>
      <w:spacing w:after="0"/>
    </w:pPr>
  </w:style>
  <w:style w:type="character" w:customStyle="1" w:styleId="HeaderChar">
    <w:name w:val="Header Char"/>
    <w:basedOn w:val="DefaultParagraphFont"/>
    <w:link w:val="Header"/>
    <w:uiPriority w:val="99"/>
    <w:rsid w:val="00017CA9"/>
    <w:rPr>
      <w:rFonts w:ascii="Times New Roman" w:eastAsia="Times New Roman" w:hAnsi="Times New Roman"/>
      <w:sz w:val="22"/>
      <w:lang w:val="en-GB"/>
    </w:rPr>
  </w:style>
  <w:style w:type="paragraph" w:styleId="Footer">
    <w:name w:val="footer"/>
    <w:basedOn w:val="Normal"/>
    <w:link w:val="FooterChar"/>
    <w:uiPriority w:val="99"/>
    <w:unhideWhenUsed/>
    <w:rsid w:val="00017CA9"/>
    <w:pPr>
      <w:tabs>
        <w:tab w:val="center" w:pos="4536"/>
        <w:tab w:val="right" w:pos="9072"/>
      </w:tabs>
      <w:spacing w:after="0"/>
    </w:pPr>
  </w:style>
  <w:style w:type="character" w:customStyle="1" w:styleId="FooterChar">
    <w:name w:val="Footer Char"/>
    <w:basedOn w:val="DefaultParagraphFont"/>
    <w:link w:val="Footer"/>
    <w:uiPriority w:val="99"/>
    <w:rsid w:val="00017CA9"/>
    <w:rPr>
      <w:rFonts w:ascii="Times New Roman" w:eastAsia="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99837026">
      <w:bodyDiv w:val="1"/>
      <w:marLeft w:val="0"/>
      <w:marRight w:val="0"/>
      <w:marTop w:val="0"/>
      <w:marBottom w:val="0"/>
      <w:divBdr>
        <w:top w:val="none" w:sz="0" w:space="0" w:color="auto"/>
        <w:left w:val="none" w:sz="0" w:space="0" w:color="auto"/>
        <w:bottom w:val="none" w:sz="0" w:space="0" w:color="auto"/>
        <w:right w:val="none" w:sz="0" w:space="0" w:color="auto"/>
      </w:divBdr>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129247087">
      <w:bodyDiv w:val="1"/>
      <w:marLeft w:val="0"/>
      <w:marRight w:val="0"/>
      <w:marTop w:val="0"/>
      <w:marBottom w:val="0"/>
      <w:divBdr>
        <w:top w:val="none" w:sz="0" w:space="0" w:color="auto"/>
        <w:left w:val="none" w:sz="0" w:space="0" w:color="auto"/>
        <w:bottom w:val="none" w:sz="0" w:space="0" w:color="auto"/>
        <w:right w:val="none" w:sz="0" w:space="0" w:color="auto"/>
      </w:divBdr>
      <w:divsChild>
        <w:div w:id="230963555">
          <w:marLeft w:val="274"/>
          <w:marRight w:val="0"/>
          <w:marTop w:val="115"/>
          <w:marBottom w:val="0"/>
          <w:divBdr>
            <w:top w:val="none" w:sz="0" w:space="0" w:color="auto"/>
            <w:left w:val="none" w:sz="0" w:space="0" w:color="auto"/>
            <w:bottom w:val="none" w:sz="0" w:space="0" w:color="auto"/>
            <w:right w:val="none" w:sz="0" w:space="0" w:color="auto"/>
          </w:divBdr>
        </w:div>
        <w:div w:id="506988479">
          <w:marLeft w:val="835"/>
          <w:marRight w:val="0"/>
          <w:marTop w:val="96"/>
          <w:marBottom w:val="0"/>
          <w:divBdr>
            <w:top w:val="none" w:sz="0" w:space="0" w:color="auto"/>
            <w:left w:val="none" w:sz="0" w:space="0" w:color="auto"/>
            <w:bottom w:val="none" w:sz="0" w:space="0" w:color="auto"/>
            <w:right w:val="none" w:sz="0" w:space="0" w:color="auto"/>
          </w:divBdr>
        </w:div>
        <w:div w:id="1245726787">
          <w:marLeft w:val="835"/>
          <w:marRight w:val="0"/>
          <w:marTop w:val="96"/>
          <w:marBottom w:val="0"/>
          <w:divBdr>
            <w:top w:val="none" w:sz="0" w:space="0" w:color="auto"/>
            <w:left w:val="none" w:sz="0" w:space="0" w:color="auto"/>
            <w:bottom w:val="none" w:sz="0" w:space="0" w:color="auto"/>
            <w:right w:val="none" w:sz="0" w:space="0" w:color="auto"/>
          </w:divBdr>
        </w:div>
        <w:div w:id="1722707870">
          <w:marLeft w:val="1411"/>
          <w:marRight w:val="0"/>
          <w:marTop w:val="86"/>
          <w:marBottom w:val="0"/>
          <w:divBdr>
            <w:top w:val="none" w:sz="0" w:space="0" w:color="auto"/>
            <w:left w:val="none" w:sz="0" w:space="0" w:color="auto"/>
            <w:bottom w:val="none" w:sz="0" w:space="0" w:color="auto"/>
            <w:right w:val="none" w:sz="0" w:space="0" w:color="auto"/>
          </w:divBdr>
        </w:div>
        <w:div w:id="842203281">
          <w:marLeft w:val="835"/>
          <w:marRight w:val="0"/>
          <w:marTop w:val="86"/>
          <w:marBottom w:val="0"/>
          <w:divBdr>
            <w:top w:val="none" w:sz="0" w:space="0" w:color="auto"/>
            <w:left w:val="none" w:sz="0" w:space="0" w:color="auto"/>
            <w:bottom w:val="none" w:sz="0" w:space="0" w:color="auto"/>
            <w:right w:val="none" w:sz="0" w:space="0" w:color="auto"/>
          </w:divBdr>
        </w:div>
        <w:div w:id="855584083">
          <w:marLeft w:val="835"/>
          <w:marRight w:val="0"/>
          <w:marTop w:val="86"/>
          <w:marBottom w:val="0"/>
          <w:divBdr>
            <w:top w:val="none" w:sz="0" w:space="0" w:color="auto"/>
            <w:left w:val="none" w:sz="0" w:space="0" w:color="auto"/>
            <w:bottom w:val="none" w:sz="0" w:space="0" w:color="auto"/>
            <w:right w:val="none" w:sz="0" w:space="0" w:color="auto"/>
          </w:divBdr>
        </w:div>
        <w:div w:id="997920270">
          <w:marLeft w:val="1411"/>
          <w:marRight w:val="0"/>
          <w:marTop w:val="86"/>
          <w:marBottom w:val="0"/>
          <w:divBdr>
            <w:top w:val="none" w:sz="0" w:space="0" w:color="auto"/>
            <w:left w:val="none" w:sz="0" w:space="0" w:color="auto"/>
            <w:bottom w:val="none" w:sz="0" w:space="0" w:color="auto"/>
            <w:right w:val="none" w:sz="0" w:space="0" w:color="auto"/>
          </w:divBdr>
        </w:div>
        <w:div w:id="990989074">
          <w:marLeft w:val="835"/>
          <w:marRight w:val="0"/>
          <w:marTop w:val="86"/>
          <w:marBottom w:val="0"/>
          <w:divBdr>
            <w:top w:val="none" w:sz="0" w:space="0" w:color="auto"/>
            <w:left w:val="none" w:sz="0" w:space="0" w:color="auto"/>
            <w:bottom w:val="none" w:sz="0" w:space="0" w:color="auto"/>
            <w:right w:val="none" w:sz="0" w:space="0" w:color="auto"/>
          </w:divBdr>
        </w:div>
        <w:div w:id="1854957522">
          <w:marLeft w:val="1411"/>
          <w:marRight w:val="0"/>
          <w:marTop w:val="86"/>
          <w:marBottom w:val="0"/>
          <w:divBdr>
            <w:top w:val="none" w:sz="0" w:space="0" w:color="auto"/>
            <w:left w:val="none" w:sz="0" w:space="0" w:color="auto"/>
            <w:bottom w:val="none" w:sz="0" w:space="0" w:color="auto"/>
            <w:right w:val="none" w:sz="0" w:space="0" w:color="auto"/>
          </w:divBdr>
        </w:div>
      </w:divsChild>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672731965">
      <w:bodyDiv w:val="1"/>
      <w:marLeft w:val="0"/>
      <w:marRight w:val="0"/>
      <w:marTop w:val="0"/>
      <w:marBottom w:val="0"/>
      <w:divBdr>
        <w:top w:val="none" w:sz="0" w:space="0" w:color="auto"/>
        <w:left w:val="none" w:sz="0" w:space="0" w:color="auto"/>
        <w:bottom w:val="none" w:sz="0" w:space="0" w:color="auto"/>
        <w:right w:val="none" w:sz="0" w:space="0" w:color="auto"/>
      </w:divBdr>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24012971">
      <w:bodyDiv w:val="1"/>
      <w:marLeft w:val="0"/>
      <w:marRight w:val="0"/>
      <w:marTop w:val="0"/>
      <w:marBottom w:val="0"/>
      <w:divBdr>
        <w:top w:val="none" w:sz="0" w:space="0" w:color="auto"/>
        <w:left w:val="none" w:sz="0" w:space="0" w:color="auto"/>
        <w:bottom w:val="none" w:sz="0" w:space="0" w:color="auto"/>
        <w:right w:val="none" w:sz="0" w:space="0" w:color="auto"/>
      </w:divBdr>
      <w:divsChild>
        <w:div w:id="1887914724">
          <w:marLeft w:val="835"/>
          <w:marRight w:val="0"/>
          <w:marTop w:val="96"/>
          <w:marBottom w:val="0"/>
          <w:divBdr>
            <w:top w:val="none" w:sz="0" w:space="0" w:color="auto"/>
            <w:left w:val="none" w:sz="0" w:space="0" w:color="auto"/>
            <w:bottom w:val="none" w:sz="0" w:space="0" w:color="auto"/>
            <w:right w:val="none" w:sz="0" w:space="0" w:color="auto"/>
          </w:divBdr>
        </w:div>
      </w:divsChild>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64839220">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202133686">
      <w:bodyDiv w:val="1"/>
      <w:marLeft w:val="0"/>
      <w:marRight w:val="0"/>
      <w:marTop w:val="0"/>
      <w:marBottom w:val="0"/>
      <w:divBdr>
        <w:top w:val="none" w:sz="0" w:space="0" w:color="auto"/>
        <w:left w:val="none" w:sz="0" w:space="0" w:color="auto"/>
        <w:bottom w:val="none" w:sz="0" w:space="0" w:color="auto"/>
        <w:right w:val="none" w:sz="0" w:space="0" w:color="auto"/>
      </w:divBdr>
    </w:div>
    <w:div w:id="1322008242">
      <w:bodyDiv w:val="1"/>
      <w:marLeft w:val="0"/>
      <w:marRight w:val="0"/>
      <w:marTop w:val="0"/>
      <w:marBottom w:val="0"/>
      <w:divBdr>
        <w:top w:val="none" w:sz="0" w:space="0" w:color="auto"/>
        <w:left w:val="none" w:sz="0" w:space="0" w:color="auto"/>
        <w:bottom w:val="none" w:sz="0" w:space="0" w:color="auto"/>
        <w:right w:val="none" w:sz="0" w:space="0" w:color="auto"/>
      </w:divBdr>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12406199">
      <w:bodyDiv w:val="1"/>
      <w:marLeft w:val="0"/>
      <w:marRight w:val="0"/>
      <w:marTop w:val="0"/>
      <w:marBottom w:val="0"/>
      <w:divBdr>
        <w:top w:val="none" w:sz="0" w:space="0" w:color="auto"/>
        <w:left w:val="none" w:sz="0" w:space="0" w:color="auto"/>
        <w:bottom w:val="none" w:sz="0" w:space="0" w:color="auto"/>
        <w:right w:val="none" w:sz="0" w:space="0" w:color="auto"/>
      </w:divBdr>
      <w:divsChild>
        <w:div w:id="1183125587">
          <w:marLeft w:val="835"/>
          <w:marRight w:val="0"/>
          <w:marTop w:val="96"/>
          <w:marBottom w:val="0"/>
          <w:divBdr>
            <w:top w:val="none" w:sz="0" w:space="0" w:color="auto"/>
            <w:left w:val="none" w:sz="0" w:space="0" w:color="auto"/>
            <w:bottom w:val="none" w:sz="0" w:space="0" w:color="auto"/>
            <w:right w:val="none" w:sz="0" w:space="0" w:color="auto"/>
          </w:divBdr>
        </w:div>
        <w:div w:id="1372339339">
          <w:marLeft w:val="835"/>
          <w:marRight w:val="0"/>
          <w:marTop w:val="96"/>
          <w:marBottom w:val="0"/>
          <w:divBdr>
            <w:top w:val="none" w:sz="0" w:space="0" w:color="auto"/>
            <w:left w:val="none" w:sz="0" w:space="0" w:color="auto"/>
            <w:bottom w:val="none" w:sz="0" w:space="0" w:color="auto"/>
            <w:right w:val="none" w:sz="0" w:space="0" w:color="auto"/>
          </w:divBdr>
        </w:div>
        <w:div w:id="1634478145">
          <w:marLeft w:val="835"/>
          <w:marRight w:val="0"/>
          <w:marTop w:val="96"/>
          <w:marBottom w:val="0"/>
          <w:divBdr>
            <w:top w:val="none" w:sz="0" w:space="0" w:color="auto"/>
            <w:left w:val="none" w:sz="0" w:space="0" w:color="auto"/>
            <w:bottom w:val="none" w:sz="0" w:space="0" w:color="auto"/>
            <w:right w:val="none" w:sz="0" w:space="0" w:color="auto"/>
          </w:divBdr>
        </w:div>
        <w:div w:id="86848731">
          <w:marLeft w:val="835"/>
          <w:marRight w:val="0"/>
          <w:marTop w:val="96"/>
          <w:marBottom w:val="0"/>
          <w:divBdr>
            <w:top w:val="none" w:sz="0" w:space="0" w:color="auto"/>
            <w:left w:val="none" w:sz="0" w:space="0" w:color="auto"/>
            <w:bottom w:val="none" w:sz="0" w:space="0" w:color="auto"/>
            <w:right w:val="none" w:sz="0" w:space="0" w:color="auto"/>
          </w:divBdr>
        </w:div>
      </w:divsChild>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77150221">
      <w:bodyDiv w:val="1"/>
      <w:marLeft w:val="0"/>
      <w:marRight w:val="0"/>
      <w:marTop w:val="0"/>
      <w:marBottom w:val="0"/>
      <w:divBdr>
        <w:top w:val="none" w:sz="0" w:space="0" w:color="auto"/>
        <w:left w:val="none" w:sz="0" w:space="0" w:color="auto"/>
        <w:bottom w:val="none" w:sz="0" w:space="0" w:color="auto"/>
        <w:right w:val="none" w:sz="0" w:space="0" w:color="auto"/>
      </w:divBdr>
    </w:div>
    <w:div w:id="1688286573">
      <w:bodyDiv w:val="1"/>
      <w:marLeft w:val="0"/>
      <w:marRight w:val="0"/>
      <w:marTop w:val="0"/>
      <w:marBottom w:val="0"/>
      <w:divBdr>
        <w:top w:val="none" w:sz="0" w:space="0" w:color="auto"/>
        <w:left w:val="none" w:sz="0" w:space="0" w:color="auto"/>
        <w:bottom w:val="none" w:sz="0" w:space="0" w:color="auto"/>
        <w:right w:val="none" w:sz="0" w:space="0" w:color="auto"/>
      </w:divBdr>
      <w:divsChild>
        <w:div w:id="24409809">
          <w:marLeft w:val="274"/>
          <w:marRight w:val="0"/>
          <w:marTop w:val="115"/>
          <w:marBottom w:val="0"/>
          <w:divBdr>
            <w:top w:val="none" w:sz="0" w:space="0" w:color="auto"/>
            <w:left w:val="none" w:sz="0" w:space="0" w:color="auto"/>
            <w:bottom w:val="none" w:sz="0" w:space="0" w:color="auto"/>
            <w:right w:val="none" w:sz="0" w:space="0" w:color="auto"/>
          </w:divBdr>
        </w:div>
        <w:div w:id="781725383">
          <w:marLeft w:val="835"/>
          <w:marRight w:val="0"/>
          <w:marTop w:val="96"/>
          <w:marBottom w:val="0"/>
          <w:divBdr>
            <w:top w:val="none" w:sz="0" w:space="0" w:color="auto"/>
            <w:left w:val="none" w:sz="0" w:space="0" w:color="auto"/>
            <w:bottom w:val="none" w:sz="0" w:space="0" w:color="auto"/>
            <w:right w:val="none" w:sz="0" w:space="0" w:color="auto"/>
          </w:divBdr>
        </w:div>
        <w:div w:id="1883250466">
          <w:marLeft w:val="274"/>
          <w:marRight w:val="0"/>
          <w:marTop w:val="115"/>
          <w:marBottom w:val="0"/>
          <w:divBdr>
            <w:top w:val="none" w:sz="0" w:space="0" w:color="auto"/>
            <w:left w:val="none" w:sz="0" w:space="0" w:color="auto"/>
            <w:bottom w:val="none" w:sz="0" w:space="0" w:color="auto"/>
            <w:right w:val="none" w:sz="0" w:space="0" w:color="auto"/>
          </w:divBdr>
        </w:div>
      </w:divsChild>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695113887">
      <w:bodyDiv w:val="1"/>
      <w:marLeft w:val="0"/>
      <w:marRight w:val="0"/>
      <w:marTop w:val="0"/>
      <w:marBottom w:val="0"/>
      <w:divBdr>
        <w:top w:val="none" w:sz="0" w:space="0" w:color="auto"/>
        <w:left w:val="none" w:sz="0" w:space="0" w:color="auto"/>
        <w:bottom w:val="none" w:sz="0" w:space="0" w:color="auto"/>
        <w:right w:val="none" w:sz="0" w:space="0" w:color="auto"/>
      </w:divBdr>
      <w:divsChild>
        <w:div w:id="1906329280">
          <w:marLeft w:val="274"/>
          <w:marRight w:val="0"/>
          <w:marTop w:val="115"/>
          <w:marBottom w:val="0"/>
          <w:divBdr>
            <w:top w:val="none" w:sz="0" w:space="0" w:color="auto"/>
            <w:left w:val="none" w:sz="0" w:space="0" w:color="auto"/>
            <w:bottom w:val="none" w:sz="0" w:space="0" w:color="auto"/>
            <w:right w:val="none" w:sz="0" w:space="0" w:color="auto"/>
          </w:divBdr>
        </w:div>
        <w:div w:id="480461554">
          <w:marLeft w:val="835"/>
          <w:marRight w:val="0"/>
          <w:marTop w:val="96"/>
          <w:marBottom w:val="0"/>
          <w:divBdr>
            <w:top w:val="none" w:sz="0" w:space="0" w:color="auto"/>
            <w:left w:val="none" w:sz="0" w:space="0" w:color="auto"/>
            <w:bottom w:val="none" w:sz="0" w:space="0" w:color="auto"/>
            <w:right w:val="none" w:sz="0" w:space="0" w:color="auto"/>
          </w:divBdr>
        </w:div>
        <w:div w:id="1792750395">
          <w:marLeft w:val="274"/>
          <w:marRight w:val="0"/>
          <w:marTop w:val="115"/>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795753485">
      <w:bodyDiv w:val="1"/>
      <w:marLeft w:val="0"/>
      <w:marRight w:val="0"/>
      <w:marTop w:val="0"/>
      <w:marBottom w:val="0"/>
      <w:divBdr>
        <w:top w:val="none" w:sz="0" w:space="0" w:color="auto"/>
        <w:left w:val="none" w:sz="0" w:space="0" w:color="auto"/>
        <w:bottom w:val="none" w:sz="0" w:space="0" w:color="auto"/>
        <w:right w:val="none" w:sz="0" w:space="0" w:color="auto"/>
      </w:divBdr>
      <w:divsChild>
        <w:div w:id="1308585490">
          <w:marLeft w:val="835"/>
          <w:marRight w:val="0"/>
          <w:marTop w:val="67"/>
          <w:marBottom w:val="0"/>
          <w:divBdr>
            <w:top w:val="none" w:sz="0" w:space="0" w:color="auto"/>
            <w:left w:val="none" w:sz="0" w:space="0" w:color="auto"/>
            <w:bottom w:val="none" w:sz="0" w:space="0" w:color="auto"/>
            <w:right w:val="none" w:sz="0" w:space="0" w:color="auto"/>
          </w:divBdr>
        </w:div>
        <w:div w:id="1948848655">
          <w:marLeft w:val="1411"/>
          <w:marRight w:val="0"/>
          <w:marTop w:val="67"/>
          <w:marBottom w:val="0"/>
          <w:divBdr>
            <w:top w:val="none" w:sz="0" w:space="0" w:color="auto"/>
            <w:left w:val="none" w:sz="0" w:space="0" w:color="auto"/>
            <w:bottom w:val="none" w:sz="0" w:space="0" w:color="auto"/>
            <w:right w:val="none" w:sz="0" w:space="0" w:color="auto"/>
          </w:divBdr>
        </w:div>
        <w:div w:id="1796362851">
          <w:marLeft w:val="1411"/>
          <w:marRight w:val="0"/>
          <w:marTop w:val="67"/>
          <w:marBottom w:val="0"/>
          <w:divBdr>
            <w:top w:val="none" w:sz="0" w:space="0" w:color="auto"/>
            <w:left w:val="none" w:sz="0" w:space="0" w:color="auto"/>
            <w:bottom w:val="none" w:sz="0" w:space="0" w:color="auto"/>
            <w:right w:val="none" w:sz="0" w:space="0" w:color="auto"/>
          </w:divBdr>
        </w:div>
        <w:div w:id="1836147158">
          <w:marLeft w:val="1973"/>
          <w:marRight w:val="0"/>
          <w:marTop w:val="67"/>
          <w:marBottom w:val="0"/>
          <w:divBdr>
            <w:top w:val="none" w:sz="0" w:space="0" w:color="auto"/>
            <w:left w:val="none" w:sz="0" w:space="0" w:color="auto"/>
            <w:bottom w:val="none" w:sz="0" w:space="0" w:color="auto"/>
            <w:right w:val="none" w:sz="0" w:space="0" w:color="auto"/>
          </w:divBdr>
        </w:div>
      </w:divsChild>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 w:id="188934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FB59F-3757-437C-AC99-9FD45B20B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Xinghua Song</cp:lastModifiedBy>
  <cp:revision>4</cp:revision>
  <cp:lastPrinted>2015-08-12T14:52:00Z</cp:lastPrinted>
  <dcterms:created xsi:type="dcterms:W3CDTF">2015-09-25T15:21:00Z</dcterms:created>
  <dcterms:modified xsi:type="dcterms:W3CDTF">2015-09-25T15:38:00Z</dcterms:modified>
</cp:coreProperties>
</file>