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991961D"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bookmarkStart w:id="0" w:name="_GoBack"/>
      <w:bookmarkEnd w:id="0"/>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6A458A">
        <w:rPr>
          <w:rFonts w:ascii="Arial" w:hAnsi="Arial" w:cs="Arial"/>
          <w:szCs w:val="24"/>
          <w:lang w:val="en-US"/>
        </w:rPr>
        <w:t>2389</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6B55A9D6"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9E6CF3">
        <w:rPr>
          <w:rFonts w:cs="Arial"/>
          <w:b/>
          <w:bCs/>
          <w:sz w:val="24"/>
          <w:lang w:val="en-US"/>
        </w:rPr>
        <w:t>7.</w:t>
      </w:r>
      <w:r w:rsidR="00F758A5">
        <w:rPr>
          <w:rFonts w:cs="Arial"/>
          <w:b/>
          <w:bCs/>
          <w:sz w:val="24"/>
          <w:lang w:val="en-US"/>
        </w:rPr>
        <w:t>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3DA0432F"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6A458A" w:rsidRPr="006A458A">
        <w:rPr>
          <w:rFonts w:ascii="Arial" w:hAnsi="Arial" w:cs="Arial"/>
          <w:b/>
          <w:bCs/>
          <w:sz w:val="24"/>
          <w:lang w:val="en-US"/>
        </w:rPr>
        <w:t>Summary of offline discussions on maximum timing difference in PCM1</w:t>
      </w:r>
    </w:p>
    <w:p w14:paraId="20F2A3ED" w14:textId="1DD6AF34"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C5CCE">
        <w:rPr>
          <w:rFonts w:ascii="Arial" w:hAnsi="Arial" w:cs="Arial"/>
          <w:b/>
          <w:bCs/>
          <w:sz w:val="24"/>
          <w:lang w:val="en-US"/>
        </w:rPr>
        <w:t xml:space="preserve"> and decision</w:t>
      </w:r>
    </w:p>
    <w:p w14:paraId="45A92109" w14:textId="77777777" w:rsidR="00261A3A" w:rsidRPr="00077CF3" w:rsidRDefault="00A35469" w:rsidP="00C34D28">
      <w:pPr>
        <w:pStyle w:val="Heading1"/>
        <w:rPr>
          <w:sz w:val="32"/>
          <w:lang w:val="en-US"/>
        </w:rPr>
      </w:pPr>
      <w:r w:rsidRPr="00077CF3">
        <w:rPr>
          <w:sz w:val="32"/>
          <w:lang w:val="en-US"/>
        </w:rPr>
        <w:t>Introduction</w:t>
      </w:r>
    </w:p>
    <w:p w14:paraId="48D94537" w14:textId="1B338807" w:rsidR="003D41C3" w:rsidRDefault="006A458A" w:rsidP="00085A01">
      <w:pPr>
        <w:rPr>
          <w:sz w:val="20"/>
          <w:lang w:val="en-US"/>
        </w:rPr>
      </w:pPr>
      <w:r>
        <w:rPr>
          <w:sz w:val="20"/>
          <w:lang w:val="en-US"/>
        </w:rPr>
        <w:t xml:space="preserve">This contribution is to summarize offline discussions that took place on the issues related to specification of UE behavior when the maximum timing difference in exceeded in PCM1 </w:t>
      </w:r>
      <w:r>
        <w:rPr>
          <w:sz w:val="20"/>
          <w:lang w:val="en-US"/>
        </w:rPr>
        <w:fldChar w:fldCharType="begin"/>
      </w:r>
      <w:r>
        <w:rPr>
          <w:sz w:val="20"/>
          <w:lang w:val="en-US"/>
        </w:rPr>
        <w:instrText xml:space="preserve"> REF _Ref416381041 \r \h </w:instrText>
      </w:r>
      <w:r>
        <w:rPr>
          <w:sz w:val="20"/>
          <w:lang w:val="en-US"/>
        </w:rPr>
      </w:r>
      <w:r>
        <w:rPr>
          <w:sz w:val="20"/>
          <w:lang w:val="en-US"/>
        </w:rPr>
        <w:fldChar w:fldCharType="separate"/>
      </w:r>
      <w:r>
        <w:rPr>
          <w:sz w:val="20"/>
          <w:lang w:val="en-US"/>
        </w:rPr>
        <w:t>[1]</w:t>
      </w:r>
      <w:r>
        <w:rPr>
          <w:sz w:val="20"/>
          <w:lang w:val="en-US"/>
        </w:rPr>
        <w:fldChar w:fldCharType="end"/>
      </w:r>
      <w:r>
        <w:rPr>
          <w:sz w:val="20"/>
          <w:lang w:val="en-US"/>
        </w:rPr>
        <w:t>.</w:t>
      </w:r>
    </w:p>
    <w:p w14:paraId="1EC00300" w14:textId="619856B3" w:rsidR="006A458A" w:rsidRDefault="006A458A" w:rsidP="006A458A">
      <w:pPr>
        <w:pStyle w:val="Heading1"/>
        <w:pBdr>
          <w:top w:val="single" w:sz="12" w:space="5" w:color="auto"/>
        </w:pBdr>
        <w:spacing w:after="120"/>
        <w:rPr>
          <w:sz w:val="32"/>
          <w:lang w:val="en-US"/>
        </w:rPr>
      </w:pPr>
      <w:r>
        <w:rPr>
          <w:sz w:val="32"/>
          <w:lang w:val="en-US"/>
        </w:rPr>
        <w:t>Issues with current specification</w:t>
      </w:r>
    </w:p>
    <w:p w14:paraId="7FEDECE3" w14:textId="40687E0F" w:rsidR="006A458A" w:rsidRDefault="006A458A" w:rsidP="006A458A">
      <w:pPr>
        <w:rPr>
          <w:sz w:val="20"/>
          <w:lang w:val="en-US"/>
        </w:rPr>
      </w:pPr>
      <w:r w:rsidRPr="006A458A">
        <w:rPr>
          <w:sz w:val="20"/>
          <w:lang w:val="en-US"/>
        </w:rPr>
        <w:t>As described in the cover s</w:t>
      </w:r>
      <w:r>
        <w:rPr>
          <w:sz w:val="20"/>
          <w:lang w:val="en-US"/>
        </w:rPr>
        <w:t xml:space="preserve">heet, </w:t>
      </w:r>
      <w:r w:rsidRPr="006A458A">
        <w:rPr>
          <w:sz w:val="20"/>
          <w:lang w:val="en-US"/>
        </w:rPr>
        <w:t xml:space="preserve">the CR intends to </w:t>
      </w:r>
      <w:proofErr w:type="gramStart"/>
      <w:r w:rsidRPr="006A458A">
        <w:rPr>
          <w:sz w:val="20"/>
          <w:lang w:val="en-US"/>
        </w:rPr>
        <w:t>corrects</w:t>
      </w:r>
      <w:proofErr w:type="gramEnd"/>
      <w:r w:rsidRPr="006A458A">
        <w:rPr>
          <w:sz w:val="20"/>
          <w:lang w:val="en-US"/>
        </w:rPr>
        <w:t xml:space="preserve"> two problems.</w:t>
      </w:r>
    </w:p>
    <w:p w14:paraId="4E410277" w14:textId="79E7C729" w:rsidR="006A458A" w:rsidRPr="006A458A" w:rsidRDefault="006A458A" w:rsidP="006A458A">
      <w:pPr>
        <w:pStyle w:val="ListParagraph"/>
        <w:numPr>
          <w:ilvl w:val="0"/>
          <w:numId w:val="45"/>
        </w:numPr>
        <w:rPr>
          <w:rFonts w:ascii="Times New Roman" w:hAnsi="Times New Roman"/>
          <w:sz w:val="20"/>
        </w:rPr>
      </w:pPr>
      <w:r w:rsidRPr="006A458A">
        <w:rPr>
          <w:rFonts w:ascii="Times New Roman" w:hAnsi="Times New Roman"/>
          <w:sz w:val="20"/>
        </w:rPr>
        <w:t xml:space="preserve">The first problem is the reference to a parameter </w:t>
      </w:r>
      <w:r w:rsidRPr="006A458A">
        <w:rPr>
          <w:rFonts w:ascii="Times New Roman" w:hAnsi="Times New Roman"/>
          <w:i/>
          <w:sz w:val="20"/>
        </w:rPr>
        <w:t>Tdc1_threshold</w:t>
      </w:r>
      <w:r w:rsidRPr="006A458A">
        <w:rPr>
          <w:rFonts w:ascii="Times New Roman" w:hAnsi="Times New Roman"/>
          <w:sz w:val="20"/>
        </w:rPr>
        <w:t xml:space="preserve"> not defined in any spec.</w:t>
      </w:r>
    </w:p>
    <w:p w14:paraId="4BD065FB" w14:textId="7C2FA8B6" w:rsidR="006A458A" w:rsidRPr="006A458A" w:rsidRDefault="006A458A" w:rsidP="006A458A">
      <w:pPr>
        <w:pStyle w:val="ListParagraph"/>
        <w:numPr>
          <w:ilvl w:val="0"/>
          <w:numId w:val="45"/>
        </w:numPr>
        <w:rPr>
          <w:rFonts w:ascii="Times New Roman" w:hAnsi="Times New Roman"/>
          <w:sz w:val="20"/>
        </w:rPr>
      </w:pPr>
      <w:r w:rsidRPr="006A458A">
        <w:rPr>
          <w:rFonts w:ascii="Times New Roman" w:hAnsi="Times New Roman"/>
          <w:sz w:val="20"/>
        </w:rPr>
        <w:t>The second problem is that no power control is specified for the UE if the parameter is exceeded. This could result in the UE not transmitting in any CG, or even worse in the UE transmitting at max power all the time.</w:t>
      </w:r>
    </w:p>
    <w:p w14:paraId="4B684F4B" w14:textId="7F2E1F64" w:rsidR="006A458A" w:rsidRPr="006A458A" w:rsidRDefault="006A458A" w:rsidP="006A458A">
      <w:pPr>
        <w:pStyle w:val="ListParagraph"/>
        <w:numPr>
          <w:ilvl w:val="0"/>
          <w:numId w:val="46"/>
        </w:numPr>
        <w:rPr>
          <w:rFonts w:ascii="Times New Roman" w:hAnsi="Times New Roman"/>
          <w:sz w:val="20"/>
        </w:rPr>
      </w:pPr>
      <w:r w:rsidRPr="006A458A">
        <w:rPr>
          <w:rFonts w:ascii="Times New Roman" w:hAnsi="Times New Roman"/>
          <w:sz w:val="20"/>
        </w:rPr>
        <w:t xml:space="preserve">This second problem exists even if we define Tdc1_threshold, </w:t>
      </w:r>
      <w:proofErr w:type="spellStart"/>
      <w:r w:rsidRPr="006A458A">
        <w:rPr>
          <w:rFonts w:ascii="Times New Roman" w:hAnsi="Times New Roman"/>
          <w:sz w:val="20"/>
        </w:rPr>
        <w:t>i.e</w:t>
      </w:r>
      <w:proofErr w:type="spellEnd"/>
      <w:r w:rsidRPr="006A458A">
        <w:rPr>
          <w:rFonts w:ascii="Times New Roman" w:hAnsi="Times New Roman"/>
          <w:sz w:val="20"/>
        </w:rPr>
        <w:t xml:space="preserve"> even if problem (1) is “solved”.</w:t>
      </w:r>
    </w:p>
    <w:p w14:paraId="1ADBCCBC" w14:textId="77777777" w:rsidR="006A458A" w:rsidRPr="006A458A" w:rsidRDefault="006A458A" w:rsidP="006A458A">
      <w:pPr>
        <w:rPr>
          <w:sz w:val="20"/>
          <w:lang w:val="en-US"/>
        </w:rPr>
      </w:pPr>
    </w:p>
    <w:p w14:paraId="7D49FB3F" w14:textId="77777777" w:rsidR="006A458A" w:rsidRDefault="006A458A" w:rsidP="006A458A">
      <w:pPr>
        <w:rPr>
          <w:sz w:val="20"/>
          <w:lang w:val="en-US"/>
        </w:rPr>
      </w:pPr>
      <w:r w:rsidRPr="006A458A">
        <w:rPr>
          <w:sz w:val="20"/>
          <w:lang w:val="en-US"/>
        </w:rPr>
        <w:t>The relevant agreement has been taken in RAN1#78bis:</w:t>
      </w:r>
    </w:p>
    <w:tbl>
      <w:tblPr>
        <w:tblStyle w:val="TableGrid"/>
        <w:tblW w:w="0" w:type="auto"/>
        <w:tblLook w:val="04A0" w:firstRow="1" w:lastRow="0" w:firstColumn="1" w:lastColumn="0" w:noHBand="0" w:noVBand="1"/>
      </w:tblPr>
      <w:tblGrid>
        <w:gridCol w:w="9629"/>
      </w:tblGrid>
      <w:tr w:rsidR="006A458A" w14:paraId="593B8C08" w14:textId="77777777" w:rsidTr="006A458A">
        <w:tc>
          <w:tcPr>
            <w:tcW w:w="9629" w:type="dxa"/>
          </w:tcPr>
          <w:p w14:paraId="3E430BF4" w14:textId="77777777" w:rsidR="008664C3" w:rsidRPr="008664C3" w:rsidRDefault="008664C3" w:rsidP="008664C3">
            <w:pPr>
              <w:numPr>
                <w:ilvl w:val="1"/>
                <w:numId w:val="47"/>
              </w:numPr>
              <w:overflowPunct/>
              <w:autoSpaceDE/>
              <w:autoSpaceDN/>
              <w:adjustRightInd/>
              <w:spacing w:after="0"/>
              <w:jc w:val="left"/>
              <w:textAlignment w:val="auto"/>
              <w:rPr>
                <w:rFonts w:eastAsia="MS Mincho"/>
                <w:i/>
                <w:sz w:val="20"/>
                <w:lang w:val="en-US" w:eastAsia="ja-JP"/>
              </w:rPr>
            </w:pPr>
            <w:r w:rsidRPr="008664C3">
              <w:rPr>
                <w:rFonts w:eastAsia="MS Mincho"/>
                <w:i/>
                <w:sz w:val="20"/>
                <w:lang w:val="en-US" w:eastAsia="ja-JP"/>
              </w:rPr>
              <w:t xml:space="preserve">If the network signals DC power control mode 1, </w:t>
            </w:r>
          </w:p>
          <w:p w14:paraId="2D2E6476" w14:textId="77777777" w:rsidR="008664C3" w:rsidRPr="008664C3" w:rsidRDefault="008664C3" w:rsidP="008664C3">
            <w:pPr>
              <w:numPr>
                <w:ilvl w:val="2"/>
                <w:numId w:val="47"/>
              </w:numPr>
              <w:overflowPunct/>
              <w:autoSpaceDE/>
              <w:autoSpaceDN/>
              <w:adjustRightInd/>
              <w:spacing w:after="0"/>
              <w:jc w:val="left"/>
              <w:textAlignment w:val="auto"/>
              <w:rPr>
                <w:rFonts w:eastAsia="MS Mincho"/>
                <w:i/>
                <w:sz w:val="20"/>
                <w:lang w:val="en-US" w:eastAsia="ja-JP"/>
              </w:rPr>
            </w:pPr>
            <w:r w:rsidRPr="008664C3">
              <w:rPr>
                <w:rFonts w:eastAsia="MS Mincho"/>
                <w:i/>
                <w:sz w:val="20"/>
                <w:lang w:val="en-US" w:eastAsia="ja-JP"/>
              </w:rPr>
              <w:t xml:space="preserve">If the maximum uplink timing difference between signals to different serving cells </w:t>
            </w:r>
            <w:r w:rsidRPr="008664C3">
              <w:rPr>
                <w:rFonts w:eastAsia="MS Mincho" w:hint="eastAsia"/>
                <w:i/>
                <w:sz w:val="20"/>
                <w:lang w:val="en-US" w:eastAsia="ja-JP"/>
              </w:rPr>
              <w:t xml:space="preserve">including serving cells </w:t>
            </w:r>
            <w:r w:rsidRPr="008664C3">
              <w:rPr>
                <w:rFonts w:eastAsia="MS Mincho"/>
                <w:i/>
                <w:sz w:val="20"/>
                <w:lang w:val="en-US" w:eastAsia="ja-JP"/>
              </w:rPr>
              <w:t xml:space="preserve">belonging to different CGs is equal to or less than [33us], a UE shall apply DC power control mode 1. </w:t>
            </w:r>
          </w:p>
          <w:p w14:paraId="67D0CE05" w14:textId="77777777" w:rsidR="008664C3" w:rsidRPr="008664C3" w:rsidRDefault="008664C3" w:rsidP="008664C3">
            <w:pPr>
              <w:numPr>
                <w:ilvl w:val="3"/>
                <w:numId w:val="47"/>
              </w:numPr>
              <w:overflowPunct/>
              <w:autoSpaceDE/>
              <w:autoSpaceDN/>
              <w:adjustRightInd/>
              <w:spacing w:after="0"/>
              <w:jc w:val="left"/>
              <w:textAlignment w:val="auto"/>
              <w:rPr>
                <w:rFonts w:eastAsia="MS Mincho"/>
                <w:i/>
                <w:sz w:val="20"/>
                <w:lang w:val="en-US" w:eastAsia="ja-JP"/>
              </w:rPr>
            </w:pPr>
            <w:r w:rsidRPr="008664C3">
              <w:rPr>
                <w:rFonts w:eastAsia="MS Mincho"/>
                <w:i/>
                <w:sz w:val="20"/>
                <w:lang w:val="en-US" w:eastAsia="ja-JP"/>
              </w:rPr>
              <w:t>Otherwise, similar handling as in MTA</w:t>
            </w:r>
          </w:p>
          <w:p w14:paraId="6E6CA67A" w14:textId="3E6403E0" w:rsidR="006A458A" w:rsidRPr="008664C3" w:rsidRDefault="008664C3" w:rsidP="006A458A">
            <w:pPr>
              <w:numPr>
                <w:ilvl w:val="2"/>
                <w:numId w:val="47"/>
              </w:numPr>
              <w:overflowPunct/>
              <w:autoSpaceDE/>
              <w:autoSpaceDN/>
              <w:adjustRightInd/>
              <w:spacing w:after="0"/>
              <w:jc w:val="left"/>
              <w:textAlignment w:val="auto"/>
              <w:rPr>
                <w:rFonts w:eastAsia="MS Mincho"/>
                <w:i/>
                <w:sz w:val="20"/>
                <w:lang w:val="en-US" w:eastAsia="ja-JP"/>
              </w:rPr>
            </w:pPr>
            <w:r w:rsidRPr="008664C3">
              <w:rPr>
                <w:rFonts w:eastAsia="MS Mincho" w:hint="eastAsia"/>
                <w:i/>
                <w:sz w:val="20"/>
                <w:lang w:val="en-US" w:eastAsia="ja-JP"/>
              </w:rPr>
              <w:t xml:space="preserve">Note: </w:t>
            </w:r>
            <w:r w:rsidRPr="008664C3">
              <w:rPr>
                <w:rFonts w:eastAsia="MS Mincho"/>
                <w:i/>
                <w:sz w:val="20"/>
                <w:lang w:val="en-US" w:eastAsia="ja-JP"/>
              </w:rPr>
              <w:t xml:space="preserve">[33us] is a temporary value used by RAN1 for the discussion. The actual value is up to RAN4. </w:t>
            </w:r>
          </w:p>
        </w:tc>
      </w:tr>
    </w:tbl>
    <w:p w14:paraId="1DF57B06" w14:textId="77777777" w:rsidR="008664C3" w:rsidRDefault="008664C3" w:rsidP="006A458A">
      <w:pPr>
        <w:rPr>
          <w:sz w:val="20"/>
          <w:lang w:val="en-US"/>
        </w:rPr>
      </w:pPr>
    </w:p>
    <w:p w14:paraId="438B14DF" w14:textId="77777777" w:rsidR="006A458A" w:rsidRPr="006A458A" w:rsidRDefault="006A458A" w:rsidP="006A458A">
      <w:pPr>
        <w:rPr>
          <w:sz w:val="20"/>
          <w:lang w:val="en-US"/>
        </w:rPr>
      </w:pPr>
      <w:r w:rsidRPr="006A458A">
        <w:rPr>
          <w:sz w:val="20"/>
          <w:lang w:val="en-US"/>
        </w:rPr>
        <w:t xml:space="preserve">The “similar handling as in MTA” above means that the UE behaves as when the maximum timing difference between two TAG’s is exceeded. In this case, the UE stops transmitting on the </w:t>
      </w:r>
      <w:proofErr w:type="spellStart"/>
      <w:r w:rsidRPr="006A458A">
        <w:rPr>
          <w:sz w:val="20"/>
          <w:lang w:val="en-US"/>
        </w:rPr>
        <w:t>sTAG</w:t>
      </w:r>
      <w:proofErr w:type="spellEnd"/>
      <w:r w:rsidRPr="006A458A">
        <w:rPr>
          <w:sz w:val="20"/>
          <w:lang w:val="en-US"/>
        </w:rPr>
        <w:t>. This is specified in clause 7.9.2 of 36.133:</w:t>
      </w:r>
    </w:p>
    <w:tbl>
      <w:tblPr>
        <w:tblStyle w:val="TableGrid"/>
        <w:tblW w:w="0" w:type="auto"/>
        <w:tblLook w:val="04A0" w:firstRow="1" w:lastRow="0" w:firstColumn="1" w:lastColumn="0" w:noHBand="0" w:noVBand="1"/>
      </w:tblPr>
      <w:tblGrid>
        <w:gridCol w:w="9629"/>
      </w:tblGrid>
      <w:tr w:rsidR="008664C3" w14:paraId="3860BB7C" w14:textId="77777777" w:rsidTr="008664C3">
        <w:tc>
          <w:tcPr>
            <w:tcW w:w="9629" w:type="dxa"/>
          </w:tcPr>
          <w:p w14:paraId="7D44182F" w14:textId="593D5E9D" w:rsidR="008664C3" w:rsidRPr="008664C3" w:rsidRDefault="008664C3" w:rsidP="006A458A">
            <w:pPr>
              <w:rPr>
                <w:i/>
                <w:sz w:val="20"/>
                <w:lang w:val="en-US"/>
              </w:rPr>
            </w:pPr>
            <w:r w:rsidRPr="008664C3">
              <w:rPr>
                <w:i/>
                <w:sz w:val="20"/>
                <w:lang w:val="en-US"/>
              </w:rPr>
              <w:t xml:space="preserve">A UE configured with </w:t>
            </w:r>
            <w:proofErr w:type="spellStart"/>
            <w:r w:rsidRPr="008664C3">
              <w:rPr>
                <w:i/>
                <w:sz w:val="20"/>
                <w:lang w:val="en-US"/>
              </w:rPr>
              <w:t>pTAG</w:t>
            </w:r>
            <w:proofErr w:type="spellEnd"/>
            <w:r w:rsidRPr="008664C3">
              <w:rPr>
                <w:i/>
                <w:sz w:val="20"/>
                <w:lang w:val="en-US"/>
              </w:rPr>
              <w:t xml:space="preserve"> and </w:t>
            </w:r>
            <w:proofErr w:type="spellStart"/>
            <w:r w:rsidRPr="008664C3">
              <w:rPr>
                <w:i/>
                <w:sz w:val="20"/>
                <w:lang w:val="en-US"/>
              </w:rPr>
              <w:t>sTAG</w:t>
            </w:r>
            <w:proofErr w:type="spellEnd"/>
            <w:r w:rsidRPr="008664C3">
              <w:rPr>
                <w:i/>
                <w:sz w:val="20"/>
                <w:lang w:val="en-US"/>
              </w:rPr>
              <w:t xml:space="preserve"> may stop transmitting on the </w:t>
            </w:r>
            <w:proofErr w:type="spellStart"/>
            <w:r w:rsidRPr="008664C3">
              <w:rPr>
                <w:i/>
                <w:sz w:val="20"/>
                <w:lang w:val="en-US"/>
              </w:rPr>
              <w:t>SCell</w:t>
            </w:r>
            <w:proofErr w:type="spellEnd"/>
            <w:r w:rsidRPr="008664C3">
              <w:rPr>
                <w:i/>
                <w:sz w:val="20"/>
                <w:lang w:val="en-US"/>
              </w:rPr>
              <w:t xml:space="preserve"> if after timing adjusting due to received TA command the uplink transmission timing difference between </w:t>
            </w:r>
            <w:proofErr w:type="spellStart"/>
            <w:r w:rsidRPr="008664C3">
              <w:rPr>
                <w:i/>
                <w:sz w:val="20"/>
                <w:lang w:val="en-US"/>
              </w:rPr>
              <w:t>PCell</w:t>
            </w:r>
            <w:proofErr w:type="spellEnd"/>
            <w:r w:rsidRPr="008664C3">
              <w:rPr>
                <w:i/>
                <w:sz w:val="20"/>
                <w:lang w:val="en-US"/>
              </w:rPr>
              <w:t xml:space="preserve"> and </w:t>
            </w:r>
            <w:proofErr w:type="spellStart"/>
            <w:r w:rsidRPr="008664C3">
              <w:rPr>
                <w:i/>
                <w:sz w:val="20"/>
                <w:lang w:val="en-US"/>
              </w:rPr>
              <w:t>SCell</w:t>
            </w:r>
            <w:proofErr w:type="spellEnd"/>
            <w:r w:rsidRPr="008664C3">
              <w:rPr>
                <w:i/>
                <w:sz w:val="20"/>
                <w:lang w:val="en-US"/>
              </w:rPr>
              <w:t xml:space="preserve"> exceeds the maximum value the UE can handle as specified above.</w:t>
            </w:r>
          </w:p>
        </w:tc>
      </w:tr>
    </w:tbl>
    <w:p w14:paraId="4ED82B02" w14:textId="77777777" w:rsidR="008664C3" w:rsidRDefault="008664C3" w:rsidP="006A458A">
      <w:pPr>
        <w:rPr>
          <w:sz w:val="20"/>
          <w:lang w:val="en-US"/>
        </w:rPr>
      </w:pPr>
    </w:p>
    <w:p w14:paraId="077DF7CE" w14:textId="0035843B" w:rsidR="006A458A" w:rsidRPr="006A458A" w:rsidRDefault="006A458A" w:rsidP="006A458A">
      <w:pPr>
        <w:rPr>
          <w:sz w:val="20"/>
          <w:lang w:val="en-US"/>
        </w:rPr>
      </w:pPr>
      <w:r w:rsidRPr="006A458A">
        <w:rPr>
          <w:sz w:val="20"/>
          <w:lang w:val="en-US"/>
        </w:rPr>
        <w:t xml:space="preserve">We note that the UE </w:t>
      </w:r>
      <w:r w:rsidR="008664C3">
        <w:rPr>
          <w:sz w:val="20"/>
          <w:lang w:val="en-US"/>
        </w:rPr>
        <w:t>may stop</w:t>
      </w:r>
      <w:r w:rsidRPr="006A458A">
        <w:rPr>
          <w:sz w:val="20"/>
          <w:lang w:val="en-US"/>
        </w:rPr>
        <w:t xml:space="preserve"> transmitting on the </w:t>
      </w:r>
      <w:proofErr w:type="spellStart"/>
      <w:r w:rsidRPr="006A458A">
        <w:rPr>
          <w:sz w:val="20"/>
          <w:lang w:val="en-US"/>
        </w:rPr>
        <w:t>SCell</w:t>
      </w:r>
      <w:proofErr w:type="spellEnd"/>
      <w:r w:rsidRPr="006A458A">
        <w:rPr>
          <w:sz w:val="20"/>
          <w:lang w:val="en-US"/>
        </w:rPr>
        <w:t xml:space="preserve"> only when the maximum timing difference is exceeded, and transmission on other cells (in </w:t>
      </w:r>
      <w:proofErr w:type="spellStart"/>
      <w:r w:rsidRPr="006A458A">
        <w:rPr>
          <w:sz w:val="20"/>
          <w:lang w:val="en-US"/>
        </w:rPr>
        <w:t>pTAG</w:t>
      </w:r>
      <w:proofErr w:type="spellEnd"/>
      <w:r w:rsidRPr="006A458A">
        <w:rPr>
          <w:sz w:val="20"/>
          <w:lang w:val="en-US"/>
        </w:rPr>
        <w:t xml:space="preserve">) has to </w:t>
      </w:r>
      <w:r w:rsidR="00B14BD1">
        <w:rPr>
          <w:sz w:val="20"/>
          <w:lang w:val="en-US"/>
        </w:rPr>
        <w:t>continue. Accordingly, in the dual connectivity</w:t>
      </w:r>
      <w:r w:rsidRPr="006A458A">
        <w:rPr>
          <w:sz w:val="20"/>
          <w:lang w:val="en-US"/>
        </w:rPr>
        <w:t xml:space="preserve"> case the “similar handling” is that the UE </w:t>
      </w:r>
      <w:r w:rsidR="00B14BD1">
        <w:rPr>
          <w:sz w:val="20"/>
          <w:lang w:val="en-US"/>
        </w:rPr>
        <w:t>may stop</w:t>
      </w:r>
      <w:r w:rsidRPr="006A458A">
        <w:rPr>
          <w:sz w:val="20"/>
          <w:lang w:val="en-US"/>
        </w:rPr>
        <w:t xml:space="preserve"> transmitting on the SCG, but still transmits on the MCG.</w:t>
      </w:r>
    </w:p>
    <w:p w14:paraId="1AAD89C9" w14:textId="58EE20B6" w:rsidR="00B14BD1" w:rsidRPr="00B14BD1" w:rsidRDefault="00B14BD1" w:rsidP="006A458A">
      <w:pPr>
        <w:pStyle w:val="Heading1"/>
        <w:pBdr>
          <w:top w:val="single" w:sz="12" w:space="5" w:color="auto"/>
        </w:pBdr>
        <w:spacing w:after="120"/>
        <w:rPr>
          <w:sz w:val="32"/>
          <w:lang w:val="en-US"/>
        </w:rPr>
      </w:pPr>
      <w:r>
        <w:rPr>
          <w:sz w:val="32"/>
          <w:lang w:val="en-US"/>
        </w:rPr>
        <w:t>Possible solutions</w:t>
      </w:r>
    </w:p>
    <w:p w14:paraId="6BE9A0ED" w14:textId="4269C234" w:rsidR="006A458A" w:rsidRPr="006A458A" w:rsidRDefault="00B14BD1" w:rsidP="006A458A">
      <w:pPr>
        <w:rPr>
          <w:sz w:val="20"/>
          <w:lang w:val="en-US"/>
        </w:rPr>
      </w:pPr>
      <w:r>
        <w:rPr>
          <w:sz w:val="20"/>
          <w:lang w:val="en-US"/>
        </w:rPr>
        <w:t>T</w:t>
      </w:r>
      <w:r w:rsidR="006A458A" w:rsidRPr="006A458A">
        <w:rPr>
          <w:sz w:val="20"/>
          <w:lang w:val="en-US"/>
        </w:rPr>
        <w:t>wo alternative solutions emerged as possible ways to address the problems:</w:t>
      </w:r>
    </w:p>
    <w:p w14:paraId="7CCF9683" w14:textId="5615C98B" w:rsidR="006A458A" w:rsidRPr="00B14BD1" w:rsidRDefault="006A458A" w:rsidP="00B14BD1">
      <w:pPr>
        <w:pStyle w:val="ListParagraph"/>
        <w:numPr>
          <w:ilvl w:val="0"/>
          <w:numId w:val="48"/>
        </w:numPr>
        <w:rPr>
          <w:rFonts w:ascii="Times New Roman" w:hAnsi="Times New Roman"/>
          <w:sz w:val="20"/>
        </w:rPr>
      </w:pPr>
      <w:r w:rsidRPr="00B14BD1">
        <w:rPr>
          <w:rFonts w:ascii="Times New Roman" w:hAnsi="Times New Roman"/>
          <w:sz w:val="20"/>
        </w:rPr>
        <w:t xml:space="preserve">Remove the condition “if the maximum uplink timing difference […] exceeds </w:t>
      </w:r>
      <w:r w:rsidRPr="00882E6B">
        <w:rPr>
          <w:rFonts w:ascii="Times New Roman" w:hAnsi="Times New Roman"/>
          <w:i/>
          <w:sz w:val="20"/>
        </w:rPr>
        <w:t>Tdc1_threshold</w:t>
      </w:r>
      <w:r w:rsidRPr="00B14BD1">
        <w:rPr>
          <w:rFonts w:ascii="Times New Roman" w:hAnsi="Times New Roman"/>
          <w:sz w:val="20"/>
        </w:rPr>
        <w:t>” in 36.213 and let RAN4 specify that the UE stops transmitting in SCG in 36.133.</w:t>
      </w:r>
    </w:p>
    <w:p w14:paraId="42CE0784" w14:textId="798EC15B" w:rsidR="006A458A" w:rsidRDefault="006A458A" w:rsidP="00B14BD1">
      <w:pPr>
        <w:pStyle w:val="ListParagraph"/>
        <w:numPr>
          <w:ilvl w:val="0"/>
          <w:numId w:val="49"/>
        </w:numPr>
        <w:rPr>
          <w:rFonts w:ascii="Times New Roman" w:hAnsi="Times New Roman"/>
          <w:sz w:val="20"/>
        </w:rPr>
      </w:pPr>
      <w:r w:rsidRPr="00B14BD1">
        <w:rPr>
          <w:rFonts w:ascii="Times New Roman" w:hAnsi="Times New Roman"/>
          <w:sz w:val="20"/>
        </w:rPr>
        <w:t>In this case, the UE follows power control as in PCM1, which becomes the same as R11 for single CG since there is no transmission on the SCG</w:t>
      </w:r>
      <w:r w:rsidR="00B14BD1">
        <w:rPr>
          <w:rFonts w:ascii="Times New Roman" w:hAnsi="Times New Roman"/>
          <w:sz w:val="20"/>
        </w:rPr>
        <w:t>.</w:t>
      </w:r>
    </w:p>
    <w:p w14:paraId="12FC712F" w14:textId="77777777" w:rsidR="00B14BD1" w:rsidRPr="00B14BD1" w:rsidRDefault="00B14BD1" w:rsidP="00B14BD1">
      <w:pPr>
        <w:pStyle w:val="ListParagraph"/>
        <w:ind w:left="1179"/>
        <w:rPr>
          <w:rFonts w:ascii="Times New Roman" w:hAnsi="Times New Roman"/>
          <w:sz w:val="20"/>
        </w:rPr>
      </w:pPr>
    </w:p>
    <w:p w14:paraId="56937BEB" w14:textId="4089F46D" w:rsidR="00B14BD1" w:rsidRPr="00B14BD1" w:rsidRDefault="00B14BD1" w:rsidP="00B14BD1">
      <w:pPr>
        <w:pStyle w:val="ListParagraph"/>
        <w:numPr>
          <w:ilvl w:val="0"/>
          <w:numId w:val="48"/>
        </w:numPr>
        <w:rPr>
          <w:rFonts w:ascii="Times New Roman" w:hAnsi="Times New Roman"/>
          <w:sz w:val="20"/>
        </w:rPr>
      </w:pPr>
      <w:r w:rsidRPr="00B14BD1">
        <w:rPr>
          <w:rFonts w:ascii="Times New Roman" w:hAnsi="Times New Roman"/>
          <w:sz w:val="20"/>
        </w:rPr>
        <w:t xml:space="preserve">Keep the condition “if the maximum uplink timing difference […] exceeds </w:t>
      </w:r>
      <w:r w:rsidRPr="00882E6B">
        <w:rPr>
          <w:rFonts w:ascii="Times New Roman" w:hAnsi="Times New Roman"/>
          <w:i/>
          <w:sz w:val="20"/>
        </w:rPr>
        <w:t>Tdc1_threshold</w:t>
      </w:r>
      <w:r w:rsidRPr="00B14BD1">
        <w:rPr>
          <w:rFonts w:ascii="Times New Roman" w:hAnsi="Times New Roman"/>
          <w:sz w:val="20"/>
        </w:rPr>
        <w:t>” in 36.213 and specify that power control follows R11 rules in an “otherwise” clause.</w:t>
      </w:r>
    </w:p>
    <w:p w14:paraId="749CC37B" w14:textId="4D54D5E2" w:rsidR="00B14BD1" w:rsidRPr="00B14BD1" w:rsidRDefault="00B14BD1" w:rsidP="00B14BD1">
      <w:pPr>
        <w:pStyle w:val="ListParagraph"/>
        <w:numPr>
          <w:ilvl w:val="0"/>
          <w:numId w:val="49"/>
        </w:numPr>
        <w:rPr>
          <w:rFonts w:ascii="Times New Roman" w:hAnsi="Times New Roman"/>
          <w:sz w:val="20"/>
        </w:rPr>
      </w:pPr>
      <w:r w:rsidRPr="00B14BD1">
        <w:rPr>
          <w:rFonts w:ascii="Times New Roman" w:hAnsi="Times New Roman"/>
          <w:sz w:val="20"/>
        </w:rPr>
        <w:t xml:space="preserve">This requires the parameter </w:t>
      </w:r>
      <w:r w:rsidRPr="00882E6B">
        <w:rPr>
          <w:rFonts w:ascii="Times New Roman" w:hAnsi="Times New Roman"/>
          <w:i/>
          <w:sz w:val="20"/>
        </w:rPr>
        <w:t>Tdc1_threshold</w:t>
      </w:r>
      <w:r w:rsidRPr="00B14BD1">
        <w:rPr>
          <w:rFonts w:ascii="Times New Roman" w:hAnsi="Times New Roman"/>
          <w:sz w:val="20"/>
        </w:rPr>
        <w:t xml:space="preserve"> to be provided in a R12 specification</w:t>
      </w:r>
    </w:p>
    <w:p w14:paraId="20086CD2" w14:textId="1E4B815A" w:rsidR="006A458A" w:rsidRDefault="00B14BD1" w:rsidP="006A458A">
      <w:pPr>
        <w:pStyle w:val="ListParagraph"/>
        <w:numPr>
          <w:ilvl w:val="0"/>
          <w:numId w:val="49"/>
        </w:numPr>
        <w:rPr>
          <w:rFonts w:ascii="Times New Roman" w:hAnsi="Times New Roman"/>
          <w:sz w:val="20"/>
        </w:rPr>
      </w:pPr>
      <w:r w:rsidRPr="00B14BD1">
        <w:rPr>
          <w:rFonts w:ascii="Times New Roman" w:hAnsi="Times New Roman"/>
          <w:sz w:val="20"/>
        </w:rPr>
        <w:lastRenderedPageBreak/>
        <w:t>The MTA-like behavior “may stop transmitting on the SCG” would either be specified in 36.213 or in 36.133 (would need further discussion).</w:t>
      </w:r>
    </w:p>
    <w:p w14:paraId="51AE2C0A" w14:textId="77777777" w:rsidR="00B14BD1" w:rsidRDefault="00B14BD1" w:rsidP="00B14BD1">
      <w:pPr>
        <w:rPr>
          <w:sz w:val="20"/>
        </w:rPr>
      </w:pPr>
    </w:p>
    <w:p w14:paraId="4EA425C0" w14:textId="58DEAFEE" w:rsidR="00E24CB0" w:rsidRDefault="00E24CB0" w:rsidP="00B14BD1">
      <w:pPr>
        <w:rPr>
          <w:sz w:val="20"/>
        </w:rPr>
      </w:pPr>
      <w:r>
        <w:rPr>
          <w:sz w:val="20"/>
        </w:rPr>
        <w:t>The following observations have been made:</w:t>
      </w:r>
    </w:p>
    <w:p w14:paraId="61A801DD" w14:textId="7F12A9C2" w:rsidR="006A458A" w:rsidRDefault="006A458A" w:rsidP="00E24CB0">
      <w:pPr>
        <w:pStyle w:val="ListParagraph"/>
        <w:numPr>
          <w:ilvl w:val="0"/>
          <w:numId w:val="46"/>
        </w:numPr>
        <w:rPr>
          <w:rFonts w:ascii="Times New Roman" w:hAnsi="Times New Roman"/>
          <w:sz w:val="20"/>
        </w:rPr>
      </w:pPr>
      <w:r w:rsidRPr="00E24CB0">
        <w:rPr>
          <w:rFonts w:ascii="Times New Roman" w:hAnsi="Times New Roman"/>
          <w:sz w:val="20"/>
        </w:rPr>
        <w:t>In R11 there is no “maximum timing difference” parameter specified in 36.213 for MTA case. The relevant behavior is defined in clause 7.9.2 of 36.133. It would seem logical to follow the same approach for DC.</w:t>
      </w:r>
    </w:p>
    <w:p w14:paraId="49C714B5" w14:textId="77777777" w:rsidR="00E24CB0" w:rsidRPr="00E24CB0" w:rsidRDefault="00E24CB0" w:rsidP="00E24CB0">
      <w:pPr>
        <w:pStyle w:val="ListParagraph"/>
        <w:ind w:left="1080"/>
        <w:rPr>
          <w:rFonts w:ascii="Times New Roman" w:hAnsi="Times New Roman"/>
          <w:sz w:val="20"/>
        </w:rPr>
      </w:pPr>
    </w:p>
    <w:p w14:paraId="63181502" w14:textId="6D4EC882" w:rsidR="00E24CB0" w:rsidRDefault="00E24CB0" w:rsidP="00E24CB0">
      <w:pPr>
        <w:pStyle w:val="ListParagraph"/>
        <w:numPr>
          <w:ilvl w:val="0"/>
          <w:numId w:val="46"/>
        </w:numPr>
        <w:rPr>
          <w:rFonts w:ascii="Times New Roman" w:hAnsi="Times New Roman"/>
          <w:sz w:val="20"/>
        </w:rPr>
      </w:pPr>
      <w:r w:rsidRPr="00E24CB0">
        <w:rPr>
          <w:rFonts w:ascii="Times New Roman" w:hAnsi="Times New Roman"/>
          <w:sz w:val="20"/>
        </w:rPr>
        <w:t>During the online discussion it was claime</w:t>
      </w:r>
      <w:r>
        <w:rPr>
          <w:rFonts w:ascii="Times New Roman" w:hAnsi="Times New Roman"/>
          <w:sz w:val="20"/>
        </w:rPr>
        <w:t xml:space="preserve">d that RAN1 sent an LS to RAN4 </w:t>
      </w:r>
      <w:r w:rsidRPr="00E24CB0">
        <w:rPr>
          <w:rFonts w:ascii="Times New Roman" w:hAnsi="Times New Roman"/>
          <w:sz w:val="20"/>
        </w:rPr>
        <w:t xml:space="preserve">to </w:t>
      </w:r>
      <w:r>
        <w:rPr>
          <w:rFonts w:ascii="Times New Roman" w:hAnsi="Times New Roman"/>
          <w:sz w:val="20"/>
        </w:rPr>
        <w:t>“</w:t>
      </w:r>
      <w:r w:rsidRPr="00E24CB0">
        <w:rPr>
          <w:rFonts w:ascii="Times New Roman" w:hAnsi="Times New Roman"/>
          <w:sz w:val="20"/>
        </w:rPr>
        <w:t>ask</w:t>
      </w:r>
      <w:r>
        <w:rPr>
          <w:rFonts w:ascii="Times New Roman" w:hAnsi="Times New Roman"/>
          <w:sz w:val="20"/>
        </w:rPr>
        <w:t xml:space="preserve">” them to define </w:t>
      </w:r>
      <w:r w:rsidRPr="00C94979">
        <w:rPr>
          <w:rFonts w:ascii="Times New Roman" w:hAnsi="Times New Roman"/>
          <w:i/>
          <w:sz w:val="20"/>
        </w:rPr>
        <w:t>Tdc1_threshold</w:t>
      </w:r>
      <w:r w:rsidRPr="00E24CB0">
        <w:rPr>
          <w:rFonts w:ascii="Times New Roman" w:hAnsi="Times New Roman"/>
          <w:sz w:val="20"/>
        </w:rPr>
        <w:t>. After some checking this statement does not seem accurate. The LS that was sent in RAN1#78bis (R1-144454) merely copied the relevant power control agreements and only asked RAN2/4 to take them into account. While the agreement does state that the actual [33us] value is up to RAN4, it does not imply that RAN1 will introduce a new parameter in 36.213 (and that RAN4 has to provide the value). In fact, the most natural consequence from RAN4 perspective is that the value is to be used to specify the MTA-like behavior in 36.133.</w:t>
      </w:r>
    </w:p>
    <w:p w14:paraId="396FD060" w14:textId="77777777" w:rsidR="00E24CB0" w:rsidRPr="00E24CB0" w:rsidRDefault="00E24CB0" w:rsidP="00E24CB0">
      <w:pPr>
        <w:pStyle w:val="ListParagraph"/>
        <w:rPr>
          <w:rFonts w:ascii="Times New Roman" w:hAnsi="Times New Roman"/>
          <w:sz w:val="20"/>
        </w:rPr>
      </w:pPr>
    </w:p>
    <w:p w14:paraId="75723533" w14:textId="5A2E87CF" w:rsidR="00E24CB0" w:rsidRDefault="00E24CB0" w:rsidP="00E24CB0">
      <w:pPr>
        <w:pStyle w:val="ListParagraph"/>
        <w:numPr>
          <w:ilvl w:val="0"/>
          <w:numId w:val="46"/>
        </w:numPr>
        <w:rPr>
          <w:rFonts w:ascii="Times New Roman" w:hAnsi="Times New Roman"/>
          <w:sz w:val="20"/>
        </w:rPr>
      </w:pPr>
      <w:r>
        <w:rPr>
          <w:rFonts w:ascii="Times New Roman" w:hAnsi="Times New Roman"/>
          <w:sz w:val="20"/>
        </w:rPr>
        <w:t>It was observed that there is a slight difference between PCM1 and R11 power control when no transmission exists on the SCG with respect to specifying relative priority of PUCCH/PUSCH in power-limited case with PRACH transmitted.</w:t>
      </w:r>
    </w:p>
    <w:p w14:paraId="6202C87F" w14:textId="77777777" w:rsidR="00E24CB0" w:rsidRPr="00E24CB0" w:rsidRDefault="00E24CB0" w:rsidP="00E24CB0">
      <w:pPr>
        <w:pStyle w:val="ListParagraph"/>
        <w:rPr>
          <w:rFonts w:ascii="Times New Roman" w:hAnsi="Times New Roman"/>
          <w:sz w:val="20"/>
        </w:rPr>
      </w:pPr>
    </w:p>
    <w:p w14:paraId="461D02D7" w14:textId="69F48747" w:rsidR="00E24CB0" w:rsidRDefault="00E24CB0" w:rsidP="00E24CB0">
      <w:pPr>
        <w:pStyle w:val="ListParagraph"/>
        <w:numPr>
          <w:ilvl w:val="0"/>
          <w:numId w:val="46"/>
        </w:numPr>
        <w:rPr>
          <w:rFonts w:ascii="Times New Roman" w:hAnsi="Times New Roman"/>
          <w:sz w:val="20"/>
        </w:rPr>
      </w:pPr>
      <w:r>
        <w:rPr>
          <w:rFonts w:ascii="Times New Roman" w:hAnsi="Times New Roman"/>
          <w:sz w:val="20"/>
        </w:rPr>
        <w:t xml:space="preserve">It was suggested that an LS be sent to RAN4 to instruct them of the RAN1 decision on how the issue should be handled, i.e. if RAN1 assumes that some aspects are specified by RAN4 such as when transmissions may be stopped in case the maximum timing difference is exceeded between SCG </w:t>
      </w:r>
      <w:proofErr w:type="gramStart"/>
      <w:r>
        <w:rPr>
          <w:rFonts w:ascii="Times New Roman" w:hAnsi="Times New Roman"/>
          <w:sz w:val="20"/>
        </w:rPr>
        <w:t>or</w:t>
      </w:r>
      <w:proofErr w:type="gramEnd"/>
      <w:r>
        <w:rPr>
          <w:rFonts w:ascii="Times New Roman" w:hAnsi="Times New Roman"/>
          <w:sz w:val="20"/>
        </w:rPr>
        <w:t xml:space="preserve"> MCG or between TAG’s within a CG.</w:t>
      </w:r>
    </w:p>
    <w:p w14:paraId="3F382151" w14:textId="77777777" w:rsidR="008F0AEF" w:rsidRPr="008F0AEF" w:rsidRDefault="008F0AEF" w:rsidP="008F0AEF">
      <w:pPr>
        <w:pStyle w:val="ListParagraph"/>
        <w:rPr>
          <w:rFonts w:ascii="Times New Roman" w:hAnsi="Times New Roman"/>
          <w:sz w:val="20"/>
        </w:rPr>
      </w:pPr>
    </w:p>
    <w:p w14:paraId="237AF5E5" w14:textId="01D0A422" w:rsidR="008F0AEF" w:rsidRDefault="008F0AEF" w:rsidP="00E24CB0">
      <w:pPr>
        <w:pStyle w:val="ListParagraph"/>
        <w:numPr>
          <w:ilvl w:val="0"/>
          <w:numId w:val="46"/>
        </w:numPr>
        <w:rPr>
          <w:rFonts w:ascii="Times New Roman" w:hAnsi="Times New Roman"/>
          <w:sz w:val="20"/>
        </w:rPr>
      </w:pPr>
      <w:r>
        <w:rPr>
          <w:rFonts w:ascii="Times New Roman" w:hAnsi="Times New Roman"/>
          <w:sz w:val="20"/>
        </w:rPr>
        <w:t>It was observed that RAN4 is currently working at defining MTA-like behavior in 36.133 for dual connectivity.</w:t>
      </w:r>
    </w:p>
    <w:p w14:paraId="06203F20" w14:textId="77777777" w:rsidR="00AD499F" w:rsidRPr="00AD499F" w:rsidRDefault="00AD499F" w:rsidP="00AD499F">
      <w:pPr>
        <w:pStyle w:val="ListParagraph"/>
        <w:rPr>
          <w:rFonts w:ascii="Times New Roman" w:hAnsi="Times New Roman"/>
          <w:sz w:val="20"/>
        </w:rPr>
      </w:pPr>
    </w:p>
    <w:p w14:paraId="111C4F70" w14:textId="40355517" w:rsidR="00AD499F" w:rsidRDefault="00AD499F" w:rsidP="00E24CB0">
      <w:pPr>
        <w:pStyle w:val="ListParagraph"/>
        <w:numPr>
          <w:ilvl w:val="0"/>
          <w:numId w:val="46"/>
        </w:numPr>
        <w:rPr>
          <w:rFonts w:ascii="Times New Roman" w:hAnsi="Times New Roman"/>
          <w:sz w:val="20"/>
        </w:rPr>
      </w:pPr>
      <w:r>
        <w:rPr>
          <w:rFonts w:ascii="Times New Roman" w:hAnsi="Times New Roman"/>
          <w:sz w:val="20"/>
        </w:rPr>
        <w:t xml:space="preserve">It was suggested that RAN4 also needs to define MTA-like behavior in 36.133 for the case of maximum timing difference exceeded between </w:t>
      </w:r>
      <w:proofErr w:type="spellStart"/>
      <w:r>
        <w:rPr>
          <w:rFonts w:ascii="Times New Roman" w:hAnsi="Times New Roman"/>
          <w:sz w:val="20"/>
        </w:rPr>
        <w:t>pTAG</w:t>
      </w:r>
      <w:proofErr w:type="spellEnd"/>
      <w:r>
        <w:rPr>
          <w:rFonts w:ascii="Times New Roman" w:hAnsi="Times New Roman"/>
          <w:sz w:val="20"/>
        </w:rPr>
        <w:t xml:space="preserve"> and </w:t>
      </w:r>
      <w:proofErr w:type="spellStart"/>
      <w:r>
        <w:rPr>
          <w:rFonts w:ascii="Times New Roman" w:hAnsi="Times New Roman"/>
          <w:sz w:val="20"/>
        </w:rPr>
        <w:t>sTAG</w:t>
      </w:r>
      <w:proofErr w:type="spellEnd"/>
      <w:r>
        <w:rPr>
          <w:rFonts w:ascii="Times New Roman" w:hAnsi="Times New Roman"/>
          <w:sz w:val="20"/>
        </w:rPr>
        <w:t xml:space="preserve"> within a CG.</w:t>
      </w:r>
    </w:p>
    <w:p w14:paraId="422A5051" w14:textId="77777777" w:rsidR="00E24CB0" w:rsidRPr="00E24CB0" w:rsidRDefault="00E24CB0" w:rsidP="00E24CB0">
      <w:pPr>
        <w:pStyle w:val="ListParagraph"/>
        <w:rPr>
          <w:rFonts w:ascii="Times New Roman" w:hAnsi="Times New Roman"/>
          <w:sz w:val="20"/>
        </w:rPr>
      </w:pPr>
    </w:p>
    <w:p w14:paraId="411E7BBD" w14:textId="63CA1F28" w:rsidR="00085A01" w:rsidRDefault="00E24CB0" w:rsidP="00085A01">
      <w:pPr>
        <w:pStyle w:val="Heading1"/>
        <w:pBdr>
          <w:top w:val="single" w:sz="12" w:space="5" w:color="auto"/>
        </w:pBdr>
        <w:spacing w:after="120"/>
        <w:rPr>
          <w:sz w:val="32"/>
          <w:lang w:val="en-US"/>
        </w:rPr>
      </w:pPr>
      <w:r>
        <w:rPr>
          <w:sz w:val="32"/>
          <w:lang w:val="en-US"/>
        </w:rPr>
        <w:t>Proposed way forward</w:t>
      </w:r>
    </w:p>
    <w:p w14:paraId="5D3B4202" w14:textId="3C3A7043" w:rsidR="006A458A" w:rsidRDefault="00E24CB0" w:rsidP="006A458A">
      <w:pPr>
        <w:rPr>
          <w:sz w:val="20"/>
          <w:lang w:val="en-US"/>
        </w:rPr>
      </w:pPr>
      <w:r w:rsidRPr="008F0AEF">
        <w:rPr>
          <w:sz w:val="20"/>
          <w:lang w:val="en-US"/>
        </w:rPr>
        <w:t>A majority of companies (</w:t>
      </w:r>
      <w:r w:rsidR="00FF66ED">
        <w:rPr>
          <w:sz w:val="20"/>
          <w:lang w:val="en-US"/>
        </w:rPr>
        <w:t xml:space="preserve">i.e. </w:t>
      </w:r>
      <w:proofErr w:type="spellStart"/>
      <w:r w:rsidRPr="008F0AEF">
        <w:rPr>
          <w:sz w:val="20"/>
          <w:lang w:val="en-US"/>
        </w:rPr>
        <w:t>InterDigital</w:t>
      </w:r>
      <w:proofErr w:type="spellEnd"/>
      <w:r w:rsidRPr="008F0AEF">
        <w:rPr>
          <w:sz w:val="20"/>
          <w:lang w:val="en-US"/>
        </w:rPr>
        <w:t xml:space="preserve">, Nokia, Intel, Ericsson, </w:t>
      </w:r>
      <w:proofErr w:type="gramStart"/>
      <w:r w:rsidRPr="008F0AEF">
        <w:rPr>
          <w:sz w:val="20"/>
          <w:lang w:val="en-US"/>
        </w:rPr>
        <w:t>Alcatel</w:t>
      </w:r>
      <w:proofErr w:type="gramEnd"/>
      <w:r w:rsidRPr="008F0AEF">
        <w:rPr>
          <w:sz w:val="20"/>
          <w:lang w:val="en-US"/>
        </w:rPr>
        <w:t xml:space="preserve">-Lucent) expressed a preference for </w:t>
      </w:r>
      <w:r w:rsidR="008F0AEF" w:rsidRPr="008F0AEF">
        <w:rPr>
          <w:sz w:val="20"/>
          <w:lang w:val="en-US"/>
        </w:rPr>
        <w:t>Alternative (a). Either Alternative (a) and (b) would be acceptable to some companies (</w:t>
      </w:r>
      <w:r w:rsidR="00FF66ED">
        <w:rPr>
          <w:sz w:val="20"/>
          <w:lang w:val="en-US"/>
        </w:rPr>
        <w:t xml:space="preserve">i.e. </w:t>
      </w:r>
      <w:r w:rsidR="008F0AEF" w:rsidRPr="008F0AEF">
        <w:rPr>
          <w:sz w:val="20"/>
          <w:lang w:val="en-US"/>
        </w:rPr>
        <w:t>LG, NTT DoCoMo</w:t>
      </w:r>
      <w:r w:rsidR="00FF66ED">
        <w:rPr>
          <w:sz w:val="20"/>
          <w:lang w:val="en-US"/>
        </w:rPr>
        <w:t xml:space="preserve">, </w:t>
      </w:r>
      <w:proofErr w:type="gramStart"/>
      <w:r w:rsidR="00FF66ED">
        <w:rPr>
          <w:sz w:val="20"/>
          <w:lang w:val="en-US"/>
        </w:rPr>
        <w:t>Intel</w:t>
      </w:r>
      <w:proofErr w:type="gramEnd"/>
      <w:r w:rsidR="008F0AEF" w:rsidRPr="008F0AEF">
        <w:rPr>
          <w:sz w:val="20"/>
          <w:lang w:val="en-US"/>
        </w:rPr>
        <w:t xml:space="preserve">). </w:t>
      </w:r>
      <w:r w:rsidR="00FF66ED">
        <w:rPr>
          <w:sz w:val="20"/>
          <w:lang w:val="en-US"/>
        </w:rPr>
        <w:t>One company</w:t>
      </w:r>
      <w:r w:rsidR="008F0AEF" w:rsidRPr="008F0AEF">
        <w:rPr>
          <w:sz w:val="20"/>
          <w:lang w:val="en-US"/>
        </w:rPr>
        <w:t xml:space="preserve"> </w:t>
      </w:r>
      <w:r w:rsidR="00B967ED">
        <w:rPr>
          <w:sz w:val="20"/>
          <w:lang w:val="en-US"/>
        </w:rPr>
        <w:t xml:space="preserve">(Huawei) </w:t>
      </w:r>
      <w:r w:rsidR="008F0AEF" w:rsidRPr="008F0AEF">
        <w:rPr>
          <w:sz w:val="20"/>
          <w:lang w:val="en-US"/>
        </w:rPr>
        <w:t xml:space="preserve">thinks that power control </w:t>
      </w:r>
      <w:r w:rsidR="008F0AEF">
        <w:rPr>
          <w:sz w:val="20"/>
          <w:lang w:val="en-US"/>
        </w:rPr>
        <w:t>should</w:t>
      </w:r>
      <w:r w:rsidR="008F0AEF" w:rsidRPr="008F0AEF">
        <w:rPr>
          <w:sz w:val="20"/>
          <w:lang w:val="en-US"/>
        </w:rPr>
        <w:t xml:space="preserve"> be left unspecified when the threshold is exceeded. </w:t>
      </w:r>
    </w:p>
    <w:p w14:paraId="06BA35E9" w14:textId="5837E4AB" w:rsidR="008F0AEF" w:rsidRPr="008F0AEF" w:rsidRDefault="008F0AEF" w:rsidP="006A458A">
      <w:pPr>
        <w:rPr>
          <w:sz w:val="20"/>
          <w:lang w:val="en-US"/>
        </w:rPr>
      </w:pPr>
      <w:r>
        <w:rPr>
          <w:sz w:val="20"/>
          <w:lang w:val="en-US"/>
        </w:rPr>
        <w:t>In view of this, the followi</w:t>
      </w:r>
      <w:r w:rsidRPr="008F0AEF">
        <w:rPr>
          <w:sz w:val="20"/>
          <w:lang w:val="en-US"/>
        </w:rPr>
        <w:t>ng is recommended:</w:t>
      </w:r>
    </w:p>
    <w:p w14:paraId="30B2D8E7" w14:textId="4EA4E0E7" w:rsidR="008F0AEF" w:rsidRPr="008F0AEF" w:rsidRDefault="008F0AEF" w:rsidP="008F0AEF">
      <w:pPr>
        <w:pStyle w:val="ListParagraph"/>
        <w:numPr>
          <w:ilvl w:val="0"/>
          <w:numId w:val="50"/>
        </w:numPr>
        <w:rPr>
          <w:rFonts w:ascii="Times New Roman" w:hAnsi="Times New Roman"/>
          <w:sz w:val="20"/>
        </w:rPr>
      </w:pPr>
      <w:r w:rsidRPr="008F0AEF">
        <w:rPr>
          <w:rFonts w:ascii="Times New Roman" w:hAnsi="Times New Roman"/>
          <w:sz w:val="20"/>
        </w:rPr>
        <w:t>Adopt Alternative (a) – remove condition for maximum timing difference in 36.213 and have MTA-like behavior specified in 36.133</w:t>
      </w:r>
    </w:p>
    <w:p w14:paraId="4DC661DB" w14:textId="7790C8F3" w:rsidR="008F0AEF" w:rsidRDefault="008F0AEF" w:rsidP="008F0AEF">
      <w:pPr>
        <w:pStyle w:val="ListParagraph"/>
        <w:numPr>
          <w:ilvl w:val="0"/>
          <w:numId w:val="50"/>
        </w:numPr>
        <w:rPr>
          <w:rFonts w:ascii="Times New Roman" w:hAnsi="Times New Roman"/>
          <w:sz w:val="20"/>
        </w:rPr>
      </w:pPr>
      <w:r>
        <w:rPr>
          <w:rFonts w:ascii="Times New Roman" w:hAnsi="Times New Roman"/>
          <w:sz w:val="20"/>
        </w:rPr>
        <w:t>Send LS to RAN4 to inform them of the decision</w:t>
      </w:r>
    </w:p>
    <w:p w14:paraId="4CA52BDE" w14:textId="77777777" w:rsidR="008F0AEF" w:rsidRDefault="008F0AEF" w:rsidP="008F0AEF">
      <w:pPr>
        <w:rPr>
          <w:sz w:val="20"/>
        </w:rPr>
      </w:pPr>
    </w:p>
    <w:p w14:paraId="16E3C875" w14:textId="4E027F42" w:rsidR="008F0AEF" w:rsidRDefault="008F0AEF" w:rsidP="008F0AEF">
      <w:pPr>
        <w:rPr>
          <w:sz w:val="20"/>
        </w:rPr>
      </w:pPr>
      <w:r>
        <w:rPr>
          <w:sz w:val="20"/>
        </w:rPr>
        <w:t>A possible draft LS to RAN4 is included in Appendix.</w:t>
      </w:r>
    </w:p>
    <w:p w14:paraId="5ECBC46D" w14:textId="77777777" w:rsidR="005561DC" w:rsidRPr="005561DC" w:rsidRDefault="005561DC" w:rsidP="000711A4">
      <w:pPr>
        <w:rPr>
          <w:sz w:val="20"/>
        </w:rPr>
      </w:pPr>
    </w:p>
    <w:p w14:paraId="0EF7466D" w14:textId="77777777" w:rsidR="00251B4A" w:rsidRPr="00077CF3" w:rsidRDefault="00251B4A" w:rsidP="00251B4A">
      <w:pPr>
        <w:pStyle w:val="Heading1"/>
        <w:rPr>
          <w:sz w:val="32"/>
          <w:lang w:val="en-US"/>
        </w:rPr>
      </w:pPr>
      <w:r w:rsidRPr="00077CF3">
        <w:rPr>
          <w:sz w:val="32"/>
          <w:lang w:val="en-US"/>
        </w:rPr>
        <w:t>References</w:t>
      </w:r>
    </w:p>
    <w:p w14:paraId="7DCB6414" w14:textId="727727CD" w:rsidR="001B6421" w:rsidRPr="001B6421" w:rsidRDefault="00FE0AD9" w:rsidP="00FE0AD9">
      <w:pPr>
        <w:pStyle w:val="Reference"/>
        <w:rPr>
          <w:rFonts w:eastAsia="Times New Roman"/>
          <w:sz w:val="20"/>
          <w:lang w:val="en-US" w:eastAsia="sv-SE"/>
        </w:rPr>
      </w:pPr>
      <w:bookmarkStart w:id="1" w:name="_Ref416381041"/>
      <w:bookmarkStart w:id="2" w:name="_Ref416357072"/>
      <w:r>
        <w:rPr>
          <w:rFonts w:eastAsia="Times New Roman"/>
          <w:sz w:val="20"/>
          <w:lang w:val="en-US" w:eastAsia="sv-SE"/>
        </w:rPr>
        <w:t>R1-152120, “</w:t>
      </w:r>
      <w:r w:rsidRPr="00FE0AD9">
        <w:rPr>
          <w:rFonts w:eastAsia="Times New Roman"/>
          <w:sz w:val="20"/>
          <w:lang w:val="en-US" w:eastAsia="sv-SE"/>
        </w:rPr>
        <w:t>Correction on Power Control Mode 1 with Maximum Timing Difference</w:t>
      </w:r>
      <w:r>
        <w:rPr>
          <w:rFonts w:eastAsia="Times New Roman"/>
          <w:sz w:val="20"/>
          <w:lang w:val="en-US" w:eastAsia="sv-SE"/>
        </w:rPr>
        <w:t xml:space="preserve">”, </w:t>
      </w:r>
      <w:proofErr w:type="spellStart"/>
      <w:r>
        <w:rPr>
          <w:rFonts w:eastAsia="Times New Roman"/>
          <w:sz w:val="20"/>
          <w:lang w:val="en-US" w:eastAsia="sv-SE"/>
        </w:rPr>
        <w:t>InterDigital</w:t>
      </w:r>
      <w:proofErr w:type="spellEnd"/>
      <w:r>
        <w:rPr>
          <w:rFonts w:eastAsia="Times New Roman"/>
          <w:sz w:val="20"/>
          <w:lang w:val="en-US" w:eastAsia="sv-SE"/>
        </w:rPr>
        <w:t>.</w:t>
      </w:r>
      <w:bookmarkEnd w:id="1"/>
    </w:p>
    <w:bookmarkEnd w:id="2"/>
    <w:p w14:paraId="7EF3BDFE" w14:textId="64686E4C" w:rsidR="00C94979" w:rsidRDefault="00C94979">
      <w:pPr>
        <w:overflowPunct/>
        <w:autoSpaceDE/>
        <w:autoSpaceDN/>
        <w:adjustRightInd/>
        <w:spacing w:after="0"/>
        <w:jc w:val="left"/>
        <w:textAlignment w:val="auto"/>
        <w:rPr>
          <w:rFonts w:eastAsia="Times New Roman"/>
          <w:sz w:val="20"/>
          <w:lang w:val="en-US" w:eastAsia="sv-SE"/>
        </w:rPr>
      </w:pPr>
      <w:r>
        <w:rPr>
          <w:rFonts w:eastAsia="Times New Roman"/>
          <w:sz w:val="20"/>
          <w:lang w:val="en-US" w:eastAsia="sv-SE"/>
        </w:rPr>
        <w:br w:type="page"/>
      </w:r>
    </w:p>
    <w:p w14:paraId="708269F3" w14:textId="37A2538D" w:rsidR="00C94979" w:rsidRDefault="00C94979" w:rsidP="00C94979">
      <w:pPr>
        <w:pStyle w:val="Heading1"/>
        <w:numPr>
          <w:ilvl w:val="0"/>
          <w:numId w:val="0"/>
        </w:numPr>
        <w:ind w:left="432" w:hanging="432"/>
        <w:rPr>
          <w:sz w:val="32"/>
          <w:lang w:val="en-US"/>
        </w:rPr>
      </w:pPr>
      <w:r>
        <w:rPr>
          <w:sz w:val="32"/>
          <w:lang w:val="en-US"/>
        </w:rPr>
        <w:lastRenderedPageBreak/>
        <w:t>Appendix: draft LS</w:t>
      </w:r>
    </w:p>
    <w:p w14:paraId="3D2A7FAB" w14:textId="644810CF" w:rsidR="00C94979" w:rsidRPr="0072270D" w:rsidRDefault="00C94979" w:rsidP="00C94979">
      <w:pPr>
        <w:pStyle w:val="Header"/>
        <w:tabs>
          <w:tab w:val="right" w:pos="7088"/>
          <w:tab w:val="right" w:pos="9781"/>
        </w:tabs>
        <w:rPr>
          <w:bCs w:val="0"/>
          <w:sz w:val="28"/>
          <w:szCs w:val="28"/>
        </w:rPr>
      </w:pPr>
      <w:r w:rsidRPr="0072270D">
        <w:rPr>
          <w:bCs w:val="0"/>
          <w:sz w:val="28"/>
          <w:szCs w:val="28"/>
        </w:rPr>
        <w:t>3GPP TSG-RAN WG1 Meeting #80bis</w:t>
      </w:r>
      <w:r w:rsidRPr="0072270D">
        <w:rPr>
          <w:bCs w:val="0"/>
          <w:sz w:val="28"/>
          <w:szCs w:val="28"/>
        </w:rPr>
        <w:tab/>
      </w:r>
      <w:r w:rsidRPr="0072270D">
        <w:rPr>
          <w:bCs w:val="0"/>
          <w:sz w:val="28"/>
          <w:szCs w:val="28"/>
        </w:rPr>
        <w:tab/>
        <w:t>R1-15</w:t>
      </w:r>
      <w:r>
        <w:rPr>
          <w:bCs w:val="0"/>
          <w:sz w:val="28"/>
          <w:szCs w:val="28"/>
        </w:rPr>
        <w:t>xxxx</w:t>
      </w:r>
    </w:p>
    <w:p w14:paraId="063B9A7D" w14:textId="22708A9B" w:rsidR="00C94979" w:rsidRPr="00C94979" w:rsidRDefault="00C94979" w:rsidP="00C94979">
      <w:pPr>
        <w:rPr>
          <w:rFonts w:ascii="Arial" w:hAnsi="Arial" w:cs="Arial"/>
          <w:b/>
          <w:lang w:val="en-US"/>
        </w:rPr>
      </w:pPr>
      <w:r w:rsidRPr="00C94979">
        <w:rPr>
          <w:rFonts w:ascii="Arial" w:hAnsi="Arial" w:cs="Arial"/>
          <w:b/>
          <w:bCs/>
          <w:sz w:val="28"/>
          <w:szCs w:val="28"/>
        </w:rPr>
        <w:t>Belgrade, Serbia, 20</w:t>
      </w:r>
      <w:r w:rsidRPr="00C94979">
        <w:rPr>
          <w:rFonts w:ascii="Arial" w:hAnsi="Arial" w:cs="Arial"/>
          <w:b/>
          <w:bCs/>
          <w:sz w:val="28"/>
          <w:szCs w:val="28"/>
          <w:vertAlign w:val="superscript"/>
        </w:rPr>
        <w:t>th</w:t>
      </w:r>
      <w:r w:rsidRPr="00C94979">
        <w:rPr>
          <w:rFonts w:ascii="Arial" w:hAnsi="Arial" w:cs="Arial"/>
          <w:b/>
          <w:bCs/>
          <w:sz w:val="28"/>
          <w:szCs w:val="28"/>
        </w:rPr>
        <w:t xml:space="preserve"> – 24</w:t>
      </w:r>
      <w:r w:rsidRPr="00C94979">
        <w:rPr>
          <w:rFonts w:ascii="Arial" w:hAnsi="Arial" w:cs="Arial"/>
          <w:b/>
          <w:bCs/>
          <w:sz w:val="28"/>
          <w:szCs w:val="28"/>
          <w:vertAlign w:val="superscript"/>
        </w:rPr>
        <w:t>th</w:t>
      </w:r>
      <w:r w:rsidRPr="00C94979">
        <w:rPr>
          <w:rFonts w:ascii="Arial" w:hAnsi="Arial" w:cs="Arial"/>
          <w:b/>
          <w:bCs/>
          <w:sz w:val="28"/>
          <w:szCs w:val="28"/>
        </w:rPr>
        <w:t xml:space="preserve"> April 2015</w:t>
      </w:r>
    </w:p>
    <w:p w14:paraId="155C412A" w14:textId="77777777" w:rsidR="00F3665C" w:rsidRDefault="00F3665C" w:rsidP="00C94979">
      <w:pPr>
        <w:pStyle w:val="Reference"/>
        <w:numPr>
          <w:ilvl w:val="0"/>
          <w:numId w:val="0"/>
        </w:numPr>
        <w:ind w:left="567" w:hanging="567"/>
        <w:rPr>
          <w:rFonts w:eastAsia="Times New Roman"/>
          <w:sz w:val="20"/>
          <w:lang w:val="en-US" w:eastAsia="sv-SE"/>
        </w:rPr>
      </w:pPr>
    </w:p>
    <w:p w14:paraId="2B8DA68B" w14:textId="690FD158" w:rsidR="00C94979" w:rsidRPr="00537715" w:rsidRDefault="00C94979" w:rsidP="00C94979">
      <w:pPr>
        <w:spacing w:after="60"/>
        <w:ind w:left="1985" w:hanging="1985"/>
        <w:rPr>
          <w:rFonts w:ascii="Arial" w:hAnsi="Arial" w:cs="Arial"/>
          <w:bCs/>
        </w:rPr>
      </w:pPr>
      <w:r w:rsidRPr="00537715">
        <w:rPr>
          <w:rFonts w:ascii="Arial" w:hAnsi="Arial" w:cs="Arial"/>
          <w:b/>
        </w:rPr>
        <w:t>Title:</w:t>
      </w:r>
      <w:r w:rsidRPr="00537715">
        <w:rPr>
          <w:rFonts w:ascii="Arial" w:hAnsi="Arial" w:cs="Arial"/>
          <w:b/>
        </w:rPr>
        <w:tab/>
      </w:r>
      <w:r w:rsidRPr="00CC342A">
        <w:rPr>
          <w:rFonts w:ascii="Arial" w:hAnsi="Arial" w:cs="Arial"/>
        </w:rPr>
        <w:t xml:space="preserve">LS on </w:t>
      </w:r>
      <w:r>
        <w:rPr>
          <w:rFonts w:ascii="Arial" w:hAnsi="Arial" w:cs="Arial"/>
        </w:rPr>
        <w:t>Maximum timing difference in Dual Connectivity power control mode 1</w:t>
      </w:r>
    </w:p>
    <w:p w14:paraId="743ADC0A" w14:textId="77777777" w:rsidR="00C94979" w:rsidRPr="002A34B8" w:rsidRDefault="00C94979" w:rsidP="00C94979">
      <w:pPr>
        <w:tabs>
          <w:tab w:val="left" w:pos="720"/>
          <w:tab w:val="left" w:pos="1440"/>
          <w:tab w:val="left" w:pos="2160"/>
          <w:tab w:val="left" w:pos="2880"/>
          <w:tab w:val="left" w:pos="6716"/>
        </w:tabs>
        <w:spacing w:after="60"/>
        <w:ind w:left="1985" w:hanging="1985"/>
        <w:rPr>
          <w:rFonts w:ascii="Arial" w:hAnsi="Arial" w:cs="Arial"/>
          <w:bCs/>
        </w:rPr>
      </w:pPr>
      <w:r w:rsidRPr="00537715">
        <w:rPr>
          <w:rFonts w:ascii="Arial" w:hAnsi="Arial" w:cs="Arial"/>
          <w:b/>
        </w:rPr>
        <w:t>Response to:</w:t>
      </w:r>
      <w:r w:rsidRPr="00537715">
        <w:rPr>
          <w:rFonts w:ascii="Arial" w:hAnsi="Arial" w:cs="Arial"/>
          <w:bCs/>
        </w:rPr>
        <w:tab/>
      </w:r>
      <w:r>
        <w:rPr>
          <w:rFonts w:ascii="Arial" w:hAnsi="Arial" w:cs="Arial"/>
          <w:bCs/>
        </w:rPr>
        <w:tab/>
      </w:r>
    </w:p>
    <w:p w14:paraId="111858A8" w14:textId="702FB580" w:rsidR="00C94979" w:rsidRPr="00A84577" w:rsidRDefault="00C94979" w:rsidP="00C94979">
      <w:pPr>
        <w:spacing w:after="60"/>
        <w:ind w:left="1985" w:hanging="1985"/>
        <w:rPr>
          <w:rFonts w:ascii="Arial" w:hAnsi="Arial" w:cs="Arial"/>
          <w:bCs/>
        </w:rPr>
      </w:pPr>
      <w:r w:rsidRPr="00537715">
        <w:rPr>
          <w:rFonts w:ascii="Arial" w:hAnsi="Arial" w:cs="Arial"/>
          <w:b/>
        </w:rPr>
        <w:t>Release:</w:t>
      </w:r>
      <w:r>
        <w:rPr>
          <w:rFonts w:ascii="Arial" w:hAnsi="Arial" w:cs="Arial"/>
          <w:bCs/>
        </w:rPr>
        <w:tab/>
        <w:t>Rel-1</w:t>
      </w:r>
      <w:r>
        <w:rPr>
          <w:rFonts w:ascii="Arial" w:hAnsi="Arial" w:cs="Arial" w:hint="eastAsia"/>
          <w:bCs/>
        </w:rPr>
        <w:t>2</w:t>
      </w:r>
    </w:p>
    <w:p w14:paraId="6E0DE398" w14:textId="0E8B9486" w:rsidR="00C94979" w:rsidRPr="00537715" w:rsidRDefault="00C94979" w:rsidP="00C94979">
      <w:pPr>
        <w:spacing w:after="60"/>
        <w:ind w:left="1985" w:hanging="1985"/>
        <w:rPr>
          <w:rFonts w:ascii="Arial" w:hAnsi="Arial" w:cs="Arial"/>
          <w:bCs/>
        </w:rPr>
      </w:pPr>
      <w:r w:rsidRPr="00537715">
        <w:rPr>
          <w:rFonts w:ascii="Arial" w:hAnsi="Arial" w:cs="Arial"/>
          <w:b/>
        </w:rPr>
        <w:t>Work Item:</w:t>
      </w:r>
      <w:r>
        <w:rPr>
          <w:rFonts w:ascii="Arial" w:hAnsi="Arial" w:cs="Arial"/>
          <w:bCs/>
        </w:rPr>
        <w:tab/>
      </w:r>
      <w:proofErr w:type="spellStart"/>
      <w:r w:rsidR="002A01D4" w:rsidRPr="002A01D4">
        <w:rPr>
          <w:rFonts w:ascii="Arial" w:hAnsi="Arial" w:cs="Arial"/>
          <w:bCs/>
        </w:rPr>
        <w:t>LTE_SC_enh_dualC</w:t>
      </w:r>
      <w:proofErr w:type="spellEnd"/>
      <w:r w:rsidR="002A01D4" w:rsidRPr="002A01D4">
        <w:rPr>
          <w:rFonts w:ascii="Arial" w:hAnsi="Arial" w:cs="Arial"/>
          <w:bCs/>
        </w:rPr>
        <w:t>-Core</w:t>
      </w:r>
    </w:p>
    <w:p w14:paraId="25E131C3" w14:textId="77777777" w:rsidR="00C94979" w:rsidRPr="00537715" w:rsidRDefault="00C94979" w:rsidP="00C94979">
      <w:pPr>
        <w:spacing w:after="60"/>
        <w:ind w:left="1985" w:hanging="1985"/>
        <w:rPr>
          <w:rFonts w:ascii="Arial" w:hAnsi="Arial" w:cs="Arial"/>
          <w:b/>
        </w:rPr>
      </w:pPr>
    </w:p>
    <w:p w14:paraId="4B3EBCE9" w14:textId="5888AE77" w:rsidR="00C94979" w:rsidRPr="001275B2" w:rsidRDefault="00C94979" w:rsidP="00C94979">
      <w:pPr>
        <w:spacing w:after="60"/>
        <w:ind w:left="1985" w:hanging="1985"/>
        <w:rPr>
          <w:rFonts w:ascii="Arial" w:hAnsi="Arial" w:cs="Arial"/>
          <w:bCs/>
        </w:rPr>
      </w:pPr>
      <w:r w:rsidRPr="00537715">
        <w:rPr>
          <w:rFonts w:ascii="Arial" w:hAnsi="Arial" w:cs="Arial"/>
          <w:b/>
        </w:rPr>
        <w:t>Source:</w:t>
      </w:r>
      <w:r w:rsidRPr="00537715">
        <w:rPr>
          <w:rFonts w:ascii="Arial" w:hAnsi="Arial" w:cs="Arial"/>
          <w:bCs/>
        </w:rPr>
        <w:tab/>
      </w:r>
      <w:r>
        <w:rPr>
          <w:rFonts w:ascii="Arial" w:hAnsi="Arial" w:cs="Arial"/>
          <w:bCs/>
        </w:rPr>
        <w:t>RAN</w:t>
      </w:r>
      <w:r w:rsidR="002A01D4">
        <w:rPr>
          <w:rFonts w:ascii="Arial" w:hAnsi="Arial" w:cs="Arial" w:hint="eastAsia"/>
          <w:bCs/>
        </w:rPr>
        <w:t>1</w:t>
      </w:r>
    </w:p>
    <w:p w14:paraId="40E223E4" w14:textId="4279C3C1" w:rsidR="00C94979" w:rsidRPr="000528FE" w:rsidRDefault="00C94979" w:rsidP="00C94979">
      <w:pPr>
        <w:spacing w:after="60"/>
        <w:ind w:left="1985" w:hanging="1985"/>
        <w:rPr>
          <w:rFonts w:ascii="Arial" w:hAnsi="Arial" w:cs="Arial"/>
          <w:bCs/>
        </w:rPr>
      </w:pPr>
      <w:r w:rsidRPr="00537715">
        <w:rPr>
          <w:rFonts w:ascii="Arial" w:hAnsi="Arial" w:cs="Arial"/>
          <w:b/>
        </w:rPr>
        <w:t>To:</w:t>
      </w:r>
      <w:r w:rsidRPr="00537715">
        <w:rPr>
          <w:rFonts w:ascii="Arial" w:hAnsi="Arial" w:cs="Arial"/>
          <w:bCs/>
        </w:rPr>
        <w:tab/>
      </w:r>
      <w:r w:rsidR="002A01D4">
        <w:rPr>
          <w:rFonts w:ascii="Arial" w:hAnsi="Arial" w:cs="Arial" w:hint="eastAsia"/>
          <w:bCs/>
        </w:rPr>
        <w:t>RAN4</w:t>
      </w:r>
    </w:p>
    <w:p w14:paraId="3E87B539" w14:textId="5457893F" w:rsidR="00C94979" w:rsidRPr="002F4FEC" w:rsidRDefault="00C94979" w:rsidP="00C94979">
      <w:pPr>
        <w:spacing w:after="60"/>
        <w:ind w:left="1985" w:hanging="1985"/>
        <w:rPr>
          <w:rFonts w:ascii="Arial" w:hAnsi="Arial" w:cs="Arial"/>
          <w:bCs/>
          <w:lang w:val="en-US"/>
        </w:rPr>
      </w:pPr>
      <w:r>
        <w:rPr>
          <w:rFonts w:ascii="Arial" w:hAnsi="Arial" w:cs="Arial"/>
          <w:b/>
        </w:rPr>
        <w:t>Cc:</w:t>
      </w:r>
      <w:r>
        <w:rPr>
          <w:rFonts w:ascii="Arial" w:hAnsi="Arial" w:cs="Arial"/>
          <w:bCs/>
        </w:rPr>
        <w:tab/>
      </w:r>
      <w:r w:rsidR="002A01D4">
        <w:rPr>
          <w:rFonts w:ascii="Arial" w:hAnsi="Arial" w:cs="Arial"/>
          <w:bCs/>
        </w:rPr>
        <w:t>RAN2</w:t>
      </w:r>
    </w:p>
    <w:p w14:paraId="77402BE9" w14:textId="77777777" w:rsidR="00C94979" w:rsidRDefault="00C94979" w:rsidP="00C94979">
      <w:pPr>
        <w:tabs>
          <w:tab w:val="left" w:pos="2268"/>
        </w:tabs>
        <w:rPr>
          <w:rFonts w:ascii="Arial" w:hAnsi="Arial" w:cs="Arial"/>
          <w:b/>
        </w:rPr>
      </w:pPr>
    </w:p>
    <w:p w14:paraId="73E19289" w14:textId="77777777" w:rsidR="00C94979" w:rsidRPr="00537715" w:rsidRDefault="00C94979" w:rsidP="00C94979">
      <w:pPr>
        <w:tabs>
          <w:tab w:val="left" w:pos="2268"/>
        </w:tabs>
        <w:rPr>
          <w:rFonts w:ascii="Arial" w:hAnsi="Arial" w:cs="Arial"/>
          <w:bCs/>
        </w:rPr>
      </w:pPr>
      <w:r w:rsidRPr="00537715">
        <w:rPr>
          <w:rFonts w:ascii="Arial" w:hAnsi="Arial" w:cs="Arial"/>
          <w:b/>
        </w:rPr>
        <w:t>Contact Person:</w:t>
      </w:r>
    </w:p>
    <w:p w14:paraId="2FBF8C94" w14:textId="7152D6D3" w:rsidR="00C94979" w:rsidRPr="00A35F56" w:rsidRDefault="00C94979" w:rsidP="00C94979">
      <w:pPr>
        <w:spacing w:after="60"/>
        <w:ind w:left="1985" w:hanging="1133"/>
        <w:rPr>
          <w:rFonts w:ascii="Arial" w:hAnsi="Arial" w:cs="Arial"/>
        </w:rPr>
      </w:pPr>
      <w:r w:rsidRPr="00A35F56">
        <w:rPr>
          <w:rFonts w:ascii="Arial" w:hAnsi="Arial" w:cs="Arial"/>
          <w:b/>
        </w:rPr>
        <w:t>Name:</w:t>
      </w:r>
      <w:r w:rsidRPr="00A35F56">
        <w:rPr>
          <w:rFonts w:ascii="Arial" w:hAnsi="Arial" w:cs="Arial"/>
        </w:rPr>
        <w:tab/>
      </w:r>
      <w:r w:rsidRPr="00A35F56">
        <w:rPr>
          <w:rFonts w:ascii="Arial" w:hAnsi="Arial" w:cs="Arial"/>
        </w:rPr>
        <w:tab/>
      </w:r>
      <w:r w:rsidRPr="00A35F56">
        <w:rPr>
          <w:rFonts w:ascii="Arial" w:hAnsi="Arial" w:cs="Arial"/>
        </w:rPr>
        <w:tab/>
      </w:r>
      <w:r w:rsidRPr="00A35F56">
        <w:rPr>
          <w:rFonts w:ascii="Arial" w:hAnsi="Arial" w:cs="Arial" w:hint="eastAsia"/>
        </w:rPr>
        <w:tab/>
      </w:r>
      <w:r w:rsidRPr="00A35F56" w:rsidDel="003E1210">
        <w:rPr>
          <w:rFonts w:ascii="Arial" w:hAnsi="Arial" w:cs="Arial" w:hint="eastAsia"/>
          <w:bCs/>
        </w:rPr>
        <w:t xml:space="preserve"> </w:t>
      </w:r>
    </w:p>
    <w:p w14:paraId="6280D883" w14:textId="12084914" w:rsidR="00C94979" w:rsidRPr="00A35F56" w:rsidRDefault="00C94979" w:rsidP="00C94979">
      <w:pPr>
        <w:spacing w:after="60"/>
        <w:ind w:left="1985" w:hanging="1133"/>
        <w:rPr>
          <w:rFonts w:ascii="Arial" w:hAnsi="Arial" w:cs="Arial"/>
        </w:rPr>
      </w:pPr>
      <w:r w:rsidRPr="00A35F56">
        <w:rPr>
          <w:rFonts w:ascii="Arial" w:hAnsi="Arial" w:cs="Arial"/>
          <w:b/>
        </w:rPr>
        <w:t>E-mail Address:</w:t>
      </w:r>
      <w:r>
        <w:rPr>
          <w:rFonts w:ascii="Arial" w:hAnsi="Arial" w:cs="Arial" w:hint="eastAsia"/>
        </w:rPr>
        <w:tab/>
      </w:r>
    </w:p>
    <w:p w14:paraId="03FF1620" w14:textId="77777777" w:rsidR="00C94979" w:rsidRPr="003E1F5C" w:rsidRDefault="00C94979" w:rsidP="00C94979">
      <w:pPr>
        <w:pBdr>
          <w:bottom w:val="single" w:sz="4" w:space="1" w:color="auto"/>
        </w:pBdr>
        <w:spacing w:after="0"/>
        <w:rPr>
          <w:rFonts w:ascii="Arial" w:hAnsi="Arial" w:cs="Arial"/>
        </w:rPr>
      </w:pPr>
    </w:p>
    <w:p w14:paraId="6C0078C1" w14:textId="77777777" w:rsidR="00C94979" w:rsidRPr="002B2D7F" w:rsidRDefault="00C94979" w:rsidP="00C94979">
      <w:pPr>
        <w:spacing w:after="0"/>
        <w:rPr>
          <w:rFonts w:ascii="Arial" w:eastAsia="Times New Roman" w:hAnsi="Arial" w:cs="Arial"/>
        </w:rPr>
      </w:pPr>
    </w:p>
    <w:p w14:paraId="6925679E" w14:textId="77777777" w:rsidR="00C94979" w:rsidRPr="00BC4410" w:rsidRDefault="00C94979" w:rsidP="00C94979">
      <w:pPr>
        <w:rPr>
          <w:rFonts w:ascii="Arial" w:eastAsia="Times New Roman" w:hAnsi="Arial" w:cs="Arial"/>
          <w:b/>
        </w:rPr>
      </w:pPr>
      <w:r w:rsidRPr="00BC4410">
        <w:rPr>
          <w:rFonts w:ascii="Arial" w:eastAsia="Times New Roman" w:hAnsi="Arial" w:cs="Arial"/>
          <w:b/>
        </w:rPr>
        <w:t>1. Overall Description:</w:t>
      </w:r>
    </w:p>
    <w:p w14:paraId="076E3FAE" w14:textId="61C36A48" w:rsidR="00C94979" w:rsidRDefault="002A01D4" w:rsidP="00C94979">
      <w:pPr>
        <w:pStyle w:val="Reference"/>
        <w:numPr>
          <w:ilvl w:val="0"/>
          <w:numId w:val="0"/>
        </w:numPr>
        <w:ind w:left="567" w:hanging="567"/>
        <w:rPr>
          <w:rFonts w:eastAsia="Times New Roman"/>
          <w:sz w:val="20"/>
          <w:lang w:eastAsia="sv-SE"/>
        </w:rPr>
      </w:pPr>
      <w:r>
        <w:rPr>
          <w:rFonts w:eastAsia="Times New Roman"/>
          <w:sz w:val="20"/>
          <w:lang w:eastAsia="sv-SE"/>
        </w:rPr>
        <w:t>At RAN1#80bis, RAN1 discussed the specification of the following agreement from RAN1#78bis:</w:t>
      </w:r>
    </w:p>
    <w:p w14:paraId="3DF33FF3" w14:textId="77777777" w:rsidR="002A01D4" w:rsidRPr="008664C3" w:rsidRDefault="002A01D4" w:rsidP="002A01D4">
      <w:pPr>
        <w:numPr>
          <w:ilvl w:val="1"/>
          <w:numId w:val="47"/>
        </w:numPr>
        <w:overflowPunct/>
        <w:autoSpaceDE/>
        <w:autoSpaceDN/>
        <w:adjustRightInd/>
        <w:spacing w:after="0"/>
        <w:textAlignment w:val="auto"/>
        <w:rPr>
          <w:rFonts w:eastAsia="MS Mincho"/>
          <w:i/>
          <w:sz w:val="20"/>
          <w:lang w:val="en-US" w:eastAsia="ja-JP"/>
        </w:rPr>
      </w:pPr>
      <w:r w:rsidRPr="008664C3">
        <w:rPr>
          <w:rFonts w:eastAsia="MS Mincho"/>
          <w:i/>
          <w:sz w:val="20"/>
          <w:lang w:val="en-US" w:eastAsia="ja-JP"/>
        </w:rPr>
        <w:t xml:space="preserve">If the network signals DC power control mode 1, </w:t>
      </w:r>
    </w:p>
    <w:p w14:paraId="37E9197B" w14:textId="77777777" w:rsidR="002A01D4" w:rsidRPr="008664C3" w:rsidRDefault="002A01D4" w:rsidP="002A01D4">
      <w:pPr>
        <w:numPr>
          <w:ilvl w:val="2"/>
          <w:numId w:val="47"/>
        </w:numPr>
        <w:overflowPunct/>
        <w:autoSpaceDE/>
        <w:autoSpaceDN/>
        <w:adjustRightInd/>
        <w:spacing w:after="0"/>
        <w:textAlignment w:val="auto"/>
        <w:rPr>
          <w:rFonts w:eastAsia="MS Mincho"/>
          <w:i/>
          <w:sz w:val="20"/>
          <w:lang w:val="en-US" w:eastAsia="ja-JP"/>
        </w:rPr>
      </w:pPr>
      <w:r w:rsidRPr="008664C3">
        <w:rPr>
          <w:rFonts w:eastAsia="MS Mincho"/>
          <w:i/>
          <w:sz w:val="20"/>
          <w:lang w:val="en-US" w:eastAsia="ja-JP"/>
        </w:rPr>
        <w:t xml:space="preserve">If the maximum uplink timing difference between signals to different serving cells </w:t>
      </w:r>
      <w:r w:rsidRPr="008664C3">
        <w:rPr>
          <w:rFonts w:eastAsia="MS Mincho" w:hint="eastAsia"/>
          <w:i/>
          <w:sz w:val="20"/>
          <w:lang w:val="en-US" w:eastAsia="ja-JP"/>
        </w:rPr>
        <w:t xml:space="preserve">including serving cells </w:t>
      </w:r>
      <w:r w:rsidRPr="008664C3">
        <w:rPr>
          <w:rFonts w:eastAsia="MS Mincho"/>
          <w:i/>
          <w:sz w:val="20"/>
          <w:lang w:val="en-US" w:eastAsia="ja-JP"/>
        </w:rPr>
        <w:t xml:space="preserve">belonging to different CGs is equal to or less than [33us], a UE shall apply DC power control mode 1. </w:t>
      </w:r>
    </w:p>
    <w:p w14:paraId="0483531D" w14:textId="77777777" w:rsidR="002A01D4" w:rsidRPr="008664C3" w:rsidRDefault="002A01D4" w:rsidP="002A01D4">
      <w:pPr>
        <w:numPr>
          <w:ilvl w:val="3"/>
          <w:numId w:val="47"/>
        </w:numPr>
        <w:overflowPunct/>
        <w:autoSpaceDE/>
        <w:autoSpaceDN/>
        <w:adjustRightInd/>
        <w:spacing w:after="0"/>
        <w:textAlignment w:val="auto"/>
        <w:rPr>
          <w:rFonts w:eastAsia="MS Mincho"/>
          <w:i/>
          <w:sz w:val="20"/>
          <w:lang w:val="en-US" w:eastAsia="ja-JP"/>
        </w:rPr>
      </w:pPr>
      <w:r w:rsidRPr="008664C3">
        <w:rPr>
          <w:rFonts w:eastAsia="MS Mincho"/>
          <w:i/>
          <w:sz w:val="20"/>
          <w:lang w:val="en-US" w:eastAsia="ja-JP"/>
        </w:rPr>
        <w:t>Otherwise, similar handling as in MTA</w:t>
      </w:r>
    </w:p>
    <w:p w14:paraId="3D182154" w14:textId="77777777" w:rsidR="002A01D4" w:rsidRPr="008664C3" w:rsidRDefault="002A01D4" w:rsidP="002A01D4">
      <w:pPr>
        <w:numPr>
          <w:ilvl w:val="2"/>
          <w:numId w:val="47"/>
        </w:numPr>
        <w:overflowPunct/>
        <w:autoSpaceDE/>
        <w:autoSpaceDN/>
        <w:adjustRightInd/>
        <w:spacing w:after="0"/>
        <w:textAlignment w:val="auto"/>
        <w:rPr>
          <w:rFonts w:eastAsia="MS Mincho"/>
          <w:i/>
          <w:sz w:val="20"/>
          <w:lang w:val="en-US" w:eastAsia="ja-JP"/>
        </w:rPr>
      </w:pPr>
      <w:r w:rsidRPr="008664C3">
        <w:rPr>
          <w:rFonts w:eastAsia="MS Mincho" w:hint="eastAsia"/>
          <w:i/>
          <w:sz w:val="20"/>
          <w:lang w:val="en-US" w:eastAsia="ja-JP"/>
        </w:rPr>
        <w:t xml:space="preserve">Note: </w:t>
      </w:r>
      <w:r w:rsidRPr="008664C3">
        <w:rPr>
          <w:rFonts w:eastAsia="MS Mincho"/>
          <w:i/>
          <w:sz w:val="20"/>
          <w:lang w:val="en-US" w:eastAsia="ja-JP"/>
        </w:rPr>
        <w:t xml:space="preserve">[33us] is a temporary value used by RAN1 for the discussion. The actual value is up to RAN4. </w:t>
      </w:r>
    </w:p>
    <w:p w14:paraId="27C1E171" w14:textId="77777777" w:rsidR="002E065B" w:rsidRDefault="002E065B" w:rsidP="00942308">
      <w:pPr>
        <w:pStyle w:val="Reference"/>
        <w:numPr>
          <w:ilvl w:val="0"/>
          <w:numId w:val="0"/>
        </w:numPr>
        <w:rPr>
          <w:rFonts w:eastAsia="Times New Roman"/>
          <w:sz w:val="20"/>
          <w:lang w:val="en-US" w:eastAsia="sv-SE"/>
        </w:rPr>
      </w:pPr>
    </w:p>
    <w:p w14:paraId="20D13309" w14:textId="3E8CD7AA" w:rsidR="002A01D4" w:rsidRDefault="002A01D4" w:rsidP="00942308">
      <w:pPr>
        <w:pStyle w:val="Reference"/>
        <w:numPr>
          <w:ilvl w:val="0"/>
          <w:numId w:val="0"/>
        </w:numPr>
        <w:rPr>
          <w:rFonts w:eastAsia="Times New Roman"/>
          <w:sz w:val="20"/>
          <w:lang w:eastAsia="sv-SE"/>
        </w:rPr>
      </w:pPr>
      <w:r>
        <w:rPr>
          <w:rFonts w:eastAsia="Times New Roman"/>
          <w:sz w:val="20"/>
          <w:lang w:eastAsia="sv-SE"/>
        </w:rPr>
        <w:t xml:space="preserve">Following this discussion, </w:t>
      </w:r>
      <w:r w:rsidR="00942308">
        <w:rPr>
          <w:rFonts w:eastAsia="Times New Roman"/>
          <w:sz w:val="20"/>
          <w:lang w:eastAsia="sv-SE"/>
        </w:rPr>
        <w:t>RAN1 understanding is that description of “</w:t>
      </w:r>
      <w:r w:rsidR="002E065B">
        <w:rPr>
          <w:rFonts w:eastAsia="Times New Roman"/>
          <w:sz w:val="20"/>
          <w:lang w:eastAsia="sv-SE"/>
        </w:rPr>
        <w:t xml:space="preserve">similar </w:t>
      </w:r>
      <w:r w:rsidR="00942308">
        <w:rPr>
          <w:rFonts w:eastAsia="Times New Roman"/>
          <w:sz w:val="20"/>
          <w:lang w:eastAsia="sv-SE"/>
        </w:rPr>
        <w:t xml:space="preserve">handling as in MTA” will be introduced in RAN4 specification(s). More specifically, RAN1 expects that the </w:t>
      </w:r>
      <w:r w:rsidR="00AD499F">
        <w:rPr>
          <w:rFonts w:eastAsia="Times New Roman"/>
          <w:sz w:val="20"/>
          <w:lang w:eastAsia="sv-SE"/>
        </w:rPr>
        <w:t>following aspect</w:t>
      </w:r>
      <w:r w:rsidR="00942308">
        <w:rPr>
          <w:rFonts w:eastAsia="Times New Roman"/>
          <w:sz w:val="20"/>
          <w:lang w:eastAsia="sv-SE"/>
        </w:rPr>
        <w:t xml:space="preserve"> will be included</w:t>
      </w:r>
      <w:r w:rsidR="00AD499F">
        <w:rPr>
          <w:rFonts w:eastAsia="Times New Roman"/>
          <w:sz w:val="20"/>
          <w:lang w:eastAsia="sv-SE"/>
        </w:rPr>
        <w:t xml:space="preserve"> </w:t>
      </w:r>
      <w:r w:rsidR="001F4755">
        <w:rPr>
          <w:rFonts w:eastAsia="Times New Roman"/>
          <w:sz w:val="20"/>
          <w:lang w:eastAsia="sv-SE"/>
        </w:rPr>
        <w:t xml:space="preserve">in RAN4 specification(s) </w:t>
      </w:r>
      <w:r w:rsidR="00AD499F">
        <w:rPr>
          <w:rFonts w:eastAsia="Times New Roman"/>
          <w:sz w:val="20"/>
          <w:lang w:eastAsia="sv-SE"/>
        </w:rPr>
        <w:t xml:space="preserve">along with other aspects </w:t>
      </w:r>
      <w:r w:rsidR="009735CC">
        <w:rPr>
          <w:rFonts w:eastAsia="Times New Roman"/>
          <w:sz w:val="20"/>
          <w:lang w:eastAsia="sv-SE"/>
        </w:rPr>
        <w:t>specifying behaviour</w:t>
      </w:r>
      <w:r w:rsidR="00AD499F">
        <w:rPr>
          <w:rFonts w:eastAsia="Times New Roman"/>
          <w:sz w:val="20"/>
          <w:lang w:eastAsia="sv-SE"/>
        </w:rPr>
        <w:t xml:space="preserve"> when a maximum timing difference is exceeded within a CG or between CG’s</w:t>
      </w:r>
      <w:r w:rsidR="00942308">
        <w:rPr>
          <w:rFonts w:eastAsia="Times New Roman"/>
          <w:sz w:val="20"/>
          <w:lang w:eastAsia="sv-SE"/>
        </w:rPr>
        <w:t>:</w:t>
      </w:r>
    </w:p>
    <w:p w14:paraId="5E7CB933" w14:textId="0F7D1C5A" w:rsidR="009735CC" w:rsidRDefault="00942308" w:rsidP="009735CC">
      <w:pPr>
        <w:pStyle w:val="Reference"/>
        <w:numPr>
          <w:ilvl w:val="0"/>
          <w:numId w:val="46"/>
        </w:numPr>
        <w:rPr>
          <w:rFonts w:eastAsia="Times New Roman"/>
          <w:sz w:val="20"/>
          <w:lang w:eastAsia="sv-SE"/>
        </w:rPr>
      </w:pPr>
      <w:r>
        <w:rPr>
          <w:rFonts w:eastAsia="Times New Roman"/>
          <w:sz w:val="20"/>
          <w:lang w:eastAsia="sv-SE"/>
        </w:rPr>
        <w:t xml:space="preserve">A UE configured with power control mode 1 may stop transmitting on the SCG when the uplink transmission timing difference between MCG and SCG exceeds </w:t>
      </w:r>
      <w:r w:rsidR="002E065B">
        <w:rPr>
          <w:rFonts w:eastAsia="Times New Roman"/>
          <w:sz w:val="20"/>
          <w:lang w:eastAsia="sv-SE"/>
        </w:rPr>
        <w:t>a</w:t>
      </w:r>
      <w:r>
        <w:rPr>
          <w:rFonts w:eastAsia="Times New Roman"/>
          <w:sz w:val="20"/>
          <w:lang w:eastAsia="sv-SE"/>
        </w:rPr>
        <w:t xml:space="preserve"> threshold</w:t>
      </w:r>
      <w:r w:rsidR="002E065B">
        <w:rPr>
          <w:rFonts w:eastAsia="Times New Roman"/>
          <w:sz w:val="20"/>
          <w:lang w:eastAsia="sv-SE"/>
        </w:rPr>
        <w:t>;</w:t>
      </w:r>
    </w:p>
    <w:p w14:paraId="4DB57426" w14:textId="001BB20D" w:rsidR="009735CC" w:rsidRPr="009735CC" w:rsidRDefault="009735CC" w:rsidP="009735CC">
      <w:pPr>
        <w:pStyle w:val="Reference"/>
        <w:numPr>
          <w:ilvl w:val="1"/>
          <w:numId w:val="46"/>
        </w:numPr>
        <w:rPr>
          <w:rFonts w:eastAsia="Times New Roman"/>
          <w:sz w:val="20"/>
          <w:lang w:eastAsia="sv-SE"/>
        </w:rPr>
      </w:pPr>
      <w:r>
        <w:rPr>
          <w:rFonts w:eastAsia="Times New Roman"/>
          <w:sz w:val="20"/>
          <w:lang w:eastAsia="sv-SE"/>
        </w:rPr>
        <w:t>The above applies to any UE that supports dual connectivity (i.e. both synchronous and asynchronous dual connectivity and synchronous-only dual connectivity)</w:t>
      </w:r>
    </w:p>
    <w:p w14:paraId="7583C898" w14:textId="77777777" w:rsidR="00B2047A" w:rsidRDefault="00B2047A" w:rsidP="00C94979">
      <w:pPr>
        <w:pStyle w:val="Reference"/>
        <w:numPr>
          <w:ilvl w:val="0"/>
          <w:numId w:val="0"/>
        </w:numPr>
        <w:ind w:left="567" w:hanging="567"/>
        <w:rPr>
          <w:rFonts w:eastAsia="Times New Roman"/>
          <w:sz w:val="20"/>
          <w:lang w:eastAsia="sv-SE"/>
        </w:rPr>
      </w:pPr>
    </w:p>
    <w:p w14:paraId="0DC933C8" w14:textId="77777777" w:rsidR="00B2047A" w:rsidRDefault="00B2047A" w:rsidP="00B2047A">
      <w:pPr>
        <w:rPr>
          <w:rFonts w:ascii="Arial" w:hAnsi="Arial" w:cs="Arial"/>
          <w:b/>
        </w:rPr>
      </w:pPr>
      <w:r>
        <w:rPr>
          <w:rFonts w:ascii="Arial" w:hAnsi="Arial" w:cs="Arial"/>
          <w:b/>
        </w:rPr>
        <w:t>2. Actions:</w:t>
      </w:r>
    </w:p>
    <w:p w14:paraId="7AD42E8F" w14:textId="77777777" w:rsidR="00B2047A" w:rsidRDefault="00B2047A" w:rsidP="00B2047A">
      <w:pPr>
        <w:ind w:left="1985" w:hanging="1985"/>
        <w:rPr>
          <w:rFonts w:ascii="Arial" w:hAnsi="Arial" w:cs="Arial"/>
          <w:b/>
        </w:rPr>
      </w:pPr>
      <w:r>
        <w:rPr>
          <w:rFonts w:ascii="Arial" w:hAnsi="Arial" w:cs="Arial"/>
          <w:b/>
        </w:rPr>
        <w:t>To</w:t>
      </w:r>
      <w:r w:rsidRPr="00167EDB">
        <w:rPr>
          <w:rFonts w:ascii="Arial" w:hAnsi="Arial" w:cs="Arial"/>
          <w:b/>
        </w:rPr>
        <w:t xml:space="preserve"> RAN4 </w:t>
      </w:r>
      <w:r>
        <w:rPr>
          <w:rFonts w:ascii="Arial" w:hAnsi="Arial" w:cs="Arial"/>
          <w:b/>
        </w:rPr>
        <w:t>group.</w:t>
      </w:r>
    </w:p>
    <w:p w14:paraId="390B18EA" w14:textId="25720602" w:rsidR="00B2047A" w:rsidRDefault="00B2047A" w:rsidP="00B2047A">
      <w:pPr>
        <w:ind w:left="993" w:hanging="993"/>
        <w:rPr>
          <w:rFonts w:ascii="Arial" w:hAnsi="Arial" w:cs="Arial"/>
          <w:b/>
        </w:rPr>
      </w:pPr>
      <w:r>
        <w:rPr>
          <w:rFonts w:ascii="Arial" w:hAnsi="Arial" w:cs="Arial"/>
          <w:b/>
        </w:rPr>
        <w:t xml:space="preserve">ACTION: </w:t>
      </w:r>
      <w:r>
        <w:rPr>
          <w:rFonts w:ascii="Arial" w:hAnsi="Arial" w:cs="Arial"/>
          <w:b/>
        </w:rPr>
        <w:tab/>
        <w:t xml:space="preserve">RAN1 </w:t>
      </w:r>
      <w:r w:rsidR="00942308">
        <w:rPr>
          <w:rFonts w:ascii="Arial" w:hAnsi="Arial" w:cs="Arial"/>
          <w:b/>
        </w:rPr>
        <w:t xml:space="preserve">kindly </w:t>
      </w:r>
      <w:r>
        <w:rPr>
          <w:rFonts w:ascii="Arial" w:hAnsi="Arial" w:cs="Arial"/>
          <w:b/>
        </w:rPr>
        <w:t>asks RAN4 to take this into consideration.</w:t>
      </w:r>
    </w:p>
    <w:p w14:paraId="79C7914F" w14:textId="77777777" w:rsidR="00B2047A" w:rsidRDefault="00B2047A" w:rsidP="00B2047A">
      <w:pPr>
        <w:ind w:left="993" w:hanging="993"/>
        <w:rPr>
          <w:rFonts w:ascii="Arial" w:hAnsi="Arial" w:cs="Arial"/>
        </w:rPr>
      </w:pPr>
    </w:p>
    <w:p w14:paraId="781E8EC3" w14:textId="0A612772" w:rsidR="00B2047A" w:rsidRPr="00B000AD" w:rsidRDefault="00B2047A" w:rsidP="00B2047A">
      <w:pPr>
        <w:rPr>
          <w:rFonts w:ascii="Arial" w:hAnsi="Arial" w:cs="Arial"/>
          <w:b/>
        </w:rPr>
      </w:pPr>
      <w:r w:rsidRPr="00B000AD">
        <w:rPr>
          <w:rFonts w:ascii="Arial" w:hAnsi="Arial" w:cs="Arial"/>
          <w:b/>
        </w:rPr>
        <w:t>3. Date of Next RAN</w:t>
      </w:r>
      <w:r>
        <w:rPr>
          <w:rFonts w:ascii="Arial" w:hAnsi="Arial" w:cs="Arial"/>
          <w:b/>
        </w:rPr>
        <w:t>1</w:t>
      </w:r>
      <w:r w:rsidRPr="00B000AD">
        <w:rPr>
          <w:rFonts w:ascii="Arial" w:hAnsi="Arial" w:cs="Arial"/>
          <w:b/>
        </w:rPr>
        <w:t xml:space="preserve"> Meetings:</w:t>
      </w:r>
    </w:p>
    <w:p w14:paraId="4757D3D6" w14:textId="6FEAF24B" w:rsidR="00B2047A" w:rsidRPr="00B000AD" w:rsidRDefault="00B2047A" w:rsidP="00B2047A">
      <w:pPr>
        <w:tabs>
          <w:tab w:val="left" w:pos="5103"/>
        </w:tabs>
        <w:ind w:left="2268" w:hanging="2268"/>
        <w:rPr>
          <w:rFonts w:ascii="Arial" w:hAnsi="Arial" w:cs="Arial"/>
          <w:bCs/>
        </w:rPr>
      </w:pPr>
      <w:r>
        <w:rPr>
          <w:rFonts w:ascii="Arial" w:hAnsi="Arial" w:cs="Arial"/>
          <w:bCs/>
        </w:rPr>
        <w:t>RAN1#81</w:t>
      </w:r>
      <w:r w:rsidRPr="00B000AD">
        <w:rPr>
          <w:rFonts w:ascii="Arial" w:hAnsi="Arial" w:cs="Arial"/>
          <w:bCs/>
        </w:rPr>
        <w:tab/>
        <w:t>25</w:t>
      </w:r>
      <w:r w:rsidRPr="00B000AD">
        <w:rPr>
          <w:rFonts w:ascii="Arial" w:hAnsi="Arial" w:cs="Arial"/>
          <w:bCs/>
          <w:vertAlign w:val="superscript"/>
        </w:rPr>
        <w:t>th</w:t>
      </w:r>
      <w:r w:rsidRPr="00B000AD">
        <w:rPr>
          <w:rFonts w:ascii="Arial" w:hAnsi="Arial" w:cs="Arial"/>
          <w:bCs/>
        </w:rPr>
        <w:t xml:space="preserve"> – 29</w:t>
      </w:r>
      <w:r w:rsidRPr="00B000AD">
        <w:rPr>
          <w:rFonts w:ascii="Arial" w:hAnsi="Arial" w:cs="Arial"/>
          <w:bCs/>
          <w:vertAlign w:val="superscript"/>
        </w:rPr>
        <w:t>th</w:t>
      </w:r>
      <w:r w:rsidRPr="00B000AD">
        <w:rPr>
          <w:rFonts w:ascii="Arial" w:hAnsi="Arial" w:cs="Arial"/>
          <w:bCs/>
        </w:rPr>
        <w:t xml:space="preserve"> May 2015</w:t>
      </w:r>
      <w:r w:rsidRPr="00B000AD">
        <w:rPr>
          <w:rFonts w:ascii="Arial" w:hAnsi="Arial" w:cs="Arial"/>
          <w:bCs/>
        </w:rPr>
        <w:tab/>
        <w:t>Fukuoka, Japan</w:t>
      </w:r>
    </w:p>
    <w:p w14:paraId="0F66A278" w14:textId="784AF673" w:rsidR="00B2047A" w:rsidRPr="00B000AD" w:rsidRDefault="00B2047A" w:rsidP="00B2047A">
      <w:pPr>
        <w:tabs>
          <w:tab w:val="left" w:pos="5103"/>
        </w:tabs>
        <w:ind w:left="2268" w:hanging="2268"/>
        <w:rPr>
          <w:rFonts w:ascii="Arial" w:hAnsi="Arial" w:cs="Arial"/>
          <w:bCs/>
        </w:rPr>
      </w:pPr>
      <w:r>
        <w:rPr>
          <w:rFonts w:ascii="Arial" w:hAnsi="Arial" w:cs="Arial"/>
          <w:bCs/>
        </w:rPr>
        <w:t>RAN1</w:t>
      </w:r>
      <w:r w:rsidRPr="00B000AD">
        <w:rPr>
          <w:rFonts w:ascii="Arial" w:hAnsi="Arial" w:cs="Arial"/>
          <w:bCs/>
        </w:rPr>
        <w:t>#</w:t>
      </w:r>
      <w:r>
        <w:rPr>
          <w:rFonts w:ascii="Arial" w:hAnsi="Arial" w:cs="Arial"/>
          <w:bCs/>
        </w:rPr>
        <w:t>82</w:t>
      </w:r>
      <w:r w:rsidRPr="00B000AD">
        <w:rPr>
          <w:rFonts w:ascii="Arial" w:hAnsi="Arial" w:cs="Arial"/>
          <w:bCs/>
        </w:rPr>
        <w:tab/>
        <w:t>2</w:t>
      </w:r>
      <w:r w:rsidR="00882E6B">
        <w:rPr>
          <w:rFonts w:ascii="Arial" w:hAnsi="Arial" w:cs="Arial"/>
          <w:bCs/>
        </w:rPr>
        <w:t>4</w:t>
      </w:r>
      <w:r w:rsidRPr="00B000AD">
        <w:rPr>
          <w:rFonts w:ascii="Arial" w:hAnsi="Arial" w:cs="Arial"/>
          <w:bCs/>
          <w:vertAlign w:val="superscript"/>
        </w:rPr>
        <w:t>th</w:t>
      </w:r>
      <w:r w:rsidRPr="00B000AD">
        <w:rPr>
          <w:rFonts w:ascii="Arial" w:hAnsi="Arial" w:cs="Arial"/>
          <w:bCs/>
        </w:rPr>
        <w:t xml:space="preserve"> – 2</w:t>
      </w:r>
      <w:r w:rsidR="00882E6B">
        <w:rPr>
          <w:rFonts w:ascii="Arial" w:hAnsi="Arial" w:cs="Arial"/>
          <w:bCs/>
        </w:rPr>
        <w:t>8</w:t>
      </w:r>
      <w:r w:rsidRPr="00B000AD">
        <w:rPr>
          <w:rFonts w:ascii="Arial" w:hAnsi="Arial" w:cs="Arial"/>
          <w:bCs/>
          <w:vertAlign w:val="superscript"/>
        </w:rPr>
        <w:t>th</w:t>
      </w:r>
      <w:r w:rsidRPr="00B000AD">
        <w:rPr>
          <w:rFonts w:ascii="Arial" w:hAnsi="Arial" w:cs="Arial"/>
          <w:bCs/>
        </w:rPr>
        <w:t xml:space="preserve"> </w:t>
      </w:r>
      <w:r w:rsidR="00882E6B">
        <w:rPr>
          <w:rFonts w:ascii="Arial" w:hAnsi="Arial" w:cs="Arial"/>
          <w:bCs/>
        </w:rPr>
        <w:t>August</w:t>
      </w:r>
      <w:r w:rsidRPr="00B000AD">
        <w:rPr>
          <w:rFonts w:ascii="Arial" w:hAnsi="Arial" w:cs="Arial"/>
          <w:bCs/>
        </w:rPr>
        <w:t xml:space="preserve"> 2015</w:t>
      </w:r>
      <w:r w:rsidRPr="00B000AD">
        <w:rPr>
          <w:rFonts w:ascii="Arial" w:hAnsi="Arial" w:cs="Arial"/>
          <w:bCs/>
        </w:rPr>
        <w:tab/>
      </w:r>
      <w:r w:rsidR="00882E6B">
        <w:rPr>
          <w:rFonts w:ascii="Arial" w:hAnsi="Arial" w:cs="Arial"/>
          <w:bCs/>
        </w:rPr>
        <w:t>China</w:t>
      </w:r>
    </w:p>
    <w:p w14:paraId="5BB36F7F" w14:textId="77777777" w:rsidR="00B2047A" w:rsidRPr="00C94979" w:rsidRDefault="00B2047A" w:rsidP="00C94979">
      <w:pPr>
        <w:pStyle w:val="Reference"/>
        <w:numPr>
          <w:ilvl w:val="0"/>
          <w:numId w:val="0"/>
        </w:numPr>
        <w:ind w:left="567" w:hanging="567"/>
        <w:rPr>
          <w:rFonts w:eastAsia="Times New Roman"/>
          <w:sz w:val="20"/>
          <w:lang w:eastAsia="sv-SE"/>
        </w:rPr>
      </w:pPr>
    </w:p>
    <w:sectPr w:rsidR="00B2047A" w:rsidRPr="00C94979"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92480" w14:textId="77777777" w:rsidR="00854DFA" w:rsidRDefault="00854DFA">
      <w:r>
        <w:separator/>
      </w:r>
    </w:p>
  </w:endnote>
  <w:endnote w:type="continuationSeparator" w:id="0">
    <w:p w14:paraId="22ABC926" w14:textId="77777777" w:rsidR="00854DFA" w:rsidRDefault="0085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7777777" w:rsidR="003D41C3" w:rsidRDefault="003D41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20C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0C1">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882E6B">
      <w:rPr>
        <w:rStyle w:val="PageNumber"/>
      </w:rPr>
      <w:t>2015-04-24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D7E86" w14:textId="77777777" w:rsidR="00854DFA" w:rsidRDefault="00854DFA">
      <w:r>
        <w:separator/>
      </w:r>
    </w:p>
  </w:footnote>
  <w:footnote w:type="continuationSeparator" w:id="0">
    <w:p w14:paraId="042591D5" w14:textId="77777777" w:rsidR="00854DFA" w:rsidRDefault="00854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3D41C3" w:rsidRDefault="003D41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020C3A28"/>
    <w:multiLevelType w:val="hybridMultilevel"/>
    <w:tmpl w:val="3EEAF0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E947CF6"/>
    <w:multiLevelType w:val="hybridMultilevel"/>
    <w:tmpl w:val="158C0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5B5BBB"/>
    <w:multiLevelType w:val="hybridMultilevel"/>
    <w:tmpl w:val="DC264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7">
    <w:nsid w:val="11703A1D"/>
    <w:multiLevelType w:val="hybridMultilevel"/>
    <w:tmpl w:val="4920B2E2"/>
    <w:lvl w:ilvl="0" w:tplc="17F2E650">
      <w:start w:val="1"/>
      <w:numFmt w:val="bullet"/>
      <w:lvlText w:val=""/>
      <w:lvlJc w:val="left"/>
      <w:pPr>
        <w:ind w:left="1179" w:hanging="405"/>
      </w:pPr>
      <w:rPr>
        <w:rFonts w:ascii="Symbol" w:eastAsia="SimSun" w:hAnsi="Symbol" w:cs="Times New Roman"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8">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9">
    <w:nsid w:val="1CE11A05"/>
    <w:multiLevelType w:val="hybridMultilevel"/>
    <w:tmpl w:val="FB32427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407A3B"/>
    <w:multiLevelType w:val="hybridMultilevel"/>
    <w:tmpl w:val="4F8E78C2"/>
    <w:lvl w:ilvl="0" w:tplc="86D41C3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76260E"/>
    <w:multiLevelType w:val="hybridMultilevel"/>
    <w:tmpl w:val="DA708286"/>
    <w:lvl w:ilvl="0" w:tplc="63D2C66C">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7">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2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6">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E4279B"/>
    <w:multiLevelType w:val="hybridMultilevel"/>
    <w:tmpl w:val="3F90D1E8"/>
    <w:lvl w:ilvl="0" w:tplc="51ACC760">
      <w:start w:val="1"/>
      <w:numFmt w:val="bullet"/>
      <w:lvlText w:val="•"/>
      <w:lvlJc w:val="left"/>
      <w:pPr>
        <w:tabs>
          <w:tab w:val="num" w:pos="720"/>
        </w:tabs>
        <w:ind w:left="720" w:hanging="360"/>
      </w:pPr>
      <w:rPr>
        <w:rFonts w:ascii="Arial" w:hAnsi="Arial" w:hint="default"/>
      </w:rPr>
    </w:lvl>
    <w:lvl w:ilvl="1" w:tplc="5DB205FA">
      <w:start w:val="3518"/>
      <w:numFmt w:val="bullet"/>
      <w:lvlText w:val="–"/>
      <w:lvlJc w:val="left"/>
      <w:pPr>
        <w:tabs>
          <w:tab w:val="num" w:pos="1440"/>
        </w:tabs>
        <w:ind w:left="1440" w:hanging="360"/>
      </w:pPr>
      <w:rPr>
        <w:rFonts w:ascii="Arial" w:hAnsi="Arial" w:hint="default"/>
      </w:rPr>
    </w:lvl>
    <w:lvl w:ilvl="2" w:tplc="AA24B754">
      <w:start w:val="3518"/>
      <w:numFmt w:val="bullet"/>
      <w:lvlText w:val="•"/>
      <w:lvlJc w:val="left"/>
      <w:pPr>
        <w:tabs>
          <w:tab w:val="num" w:pos="2160"/>
        </w:tabs>
        <w:ind w:left="2160" w:hanging="360"/>
      </w:pPr>
      <w:rPr>
        <w:rFonts w:ascii="Arial" w:hAnsi="Arial" w:hint="default"/>
      </w:rPr>
    </w:lvl>
    <w:lvl w:ilvl="3" w:tplc="A3C89EDE">
      <w:start w:val="1"/>
      <w:numFmt w:val="bullet"/>
      <w:lvlText w:val="•"/>
      <w:lvlJc w:val="left"/>
      <w:pPr>
        <w:tabs>
          <w:tab w:val="num" w:pos="2880"/>
        </w:tabs>
        <w:ind w:left="2880" w:hanging="360"/>
      </w:pPr>
      <w:rPr>
        <w:rFonts w:ascii="Arial" w:hAnsi="Arial" w:hint="default"/>
      </w:rPr>
    </w:lvl>
    <w:lvl w:ilvl="4" w:tplc="24C0276E" w:tentative="1">
      <w:start w:val="1"/>
      <w:numFmt w:val="bullet"/>
      <w:lvlText w:val="•"/>
      <w:lvlJc w:val="left"/>
      <w:pPr>
        <w:tabs>
          <w:tab w:val="num" w:pos="3600"/>
        </w:tabs>
        <w:ind w:left="3600" w:hanging="360"/>
      </w:pPr>
      <w:rPr>
        <w:rFonts w:ascii="Arial" w:hAnsi="Arial" w:hint="default"/>
      </w:rPr>
    </w:lvl>
    <w:lvl w:ilvl="5" w:tplc="21A8AE10" w:tentative="1">
      <w:start w:val="1"/>
      <w:numFmt w:val="bullet"/>
      <w:lvlText w:val="•"/>
      <w:lvlJc w:val="left"/>
      <w:pPr>
        <w:tabs>
          <w:tab w:val="num" w:pos="4320"/>
        </w:tabs>
        <w:ind w:left="4320" w:hanging="360"/>
      </w:pPr>
      <w:rPr>
        <w:rFonts w:ascii="Arial" w:hAnsi="Arial" w:hint="default"/>
      </w:rPr>
    </w:lvl>
    <w:lvl w:ilvl="6" w:tplc="317E044A" w:tentative="1">
      <w:start w:val="1"/>
      <w:numFmt w:val="bullet"/>
      <w:lvlText w:val="•"/>
      <w:lvlJc w:val="left"/>
      <w:pPr>
        <w:tabs>
          <w:tab w:val="num" w:pos="5040"/>
        </w:tabs>
        <w:ind w:left="5040" w:hanging="360"/>
      </w:pPr>
      <w:rPr>
        <w:rFonts w:ascii="Arial" w:hAnsi="Arial" w:hint="default"/>
      </w:rPr>
    </w:lvl>
    <w:lvl w:ilvl="7" w:tplc="E3D86012" w:tentative="1">
      <w:start w:val="1"/>
      <w:numFmt w:val="bullet"/>
      <w:lvlText w:val="•"/>
      <w:lvlJc w:val="left"/>
      <w:pPr>
        <w:tabs>
          <w:tab w:val="num" w:pos="5760"/>
        </w:tabs>
        <w:ind w:left="5760" w:hanging="360"/>
      </w:pPr>
      <w:rPr>
        <w:rFonts w:ascii="Arial" w:hAnsi="Arial" w:hint="default"/>
      </w:rPr>
    </w:lvl>
    <w:lvl w:ilvl="8" w:tplc="EAD6D550" w:tentative="1">
      <w:start w:val="1"/>
      <w:numFmt w:val="bullet"/>
      <w:lvlText w:val="•"/>
      <w:lvlJc w:val="left"/>
      <w:pPr>
        <w:tabs>
          <w:tab w:val="num" w:pos="6480"/>
        </w:tabs>
        <w:ind w:left="6480" w:hanging="360"/>
      </w:pPr>
      <w:rPr>
        <w:rFonts w:ascii="Arial" w:hAnsi="Arial" w:hint="default"/>
      </w:rPr>
    </w:lvl>
  </w:abstractNum>
  <w:abstractNum w:abstractNumId="32">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10D4216"/>
    <w:multiLevelType w:val="hybridMultilevel"/>
    <w:tmpl w:val="0576BD36"/>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49DA9F74">
      <w:numFmt w:val="bullet"/>
      <w:lvlText w:val="-"/>
      <w:lvlJc w:val="left"/>
      <w:pPr>
        <w:ind w:left="2160" w:hanging="360"/>
      </w:pPr>
      <w:rPr>
        <w:rFonts w:ascii="Times New Roman" w:eastAsia="SimSun" w:hAnsi="Times New Roman" w:cs="Times New Roman"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41">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5">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2"/>
  </w:num>
  <w:num w:numId="4">
    <w:abstractNumId w:val="23"/>
  </w:num>
  <w:num w:numId="5">
    <w:abstractNumId w:val="20"/>
  </w:num>
  <w:num w:numId="6">
    <w:abstractNumId w:val="27"/>
  </w:num>
  <w:num w:numId="7">
    <w:abstractNumId w:val="33"/>
  </w:num>
  <w:num w:numId="8">
    <w:abstractNumId w:val="21"/>
  </w:num>
  <w:num w:numId="9">
    <w:abstractNumId w:val="43"/>
  </w:num>
  <w:num w:numId="10">
    <w:abstractNumId w:val="36"/>
  </w:num>
  <w:num w:numId="11">
    <w:abstractNumId w:val="44"/>
  </w:num>
  <w:num w:numId="12">
    <w:abstractNumId w:val="12"/>
  </w:num>
  <w:num w:numId="13">
    <w:abstractNumId w:val="17"/>
  </w:num>
  <w:num w:numId="14">
    <w:abstractNumId w:val="26"/>
  </w:num>
  <w:num w:numId="15">
    <w:abstractNumId w:val="37"/>
  </w:num>
  <w:num w:numId="16">
    <w:abstractNumId w:val="14"/>
  </w:num>
  <w:num w:numId="17">
    <w:abstractNumId w:val="6"/>
  </w:num>
  <w:num w:numId="18">
    <w:abstractNumId w:val="19"/>
  </w:num>
  <w:num w:numId="19">
    <w:abstractNumId w:val="34"/>
  </w:num>
  <w:num w:numId="20">
    <w:abstractNumId w:val="29"/>
  </w:num>
  <w:num w:numId="21">
    <w:abstractNumId w:val="32"/>
  </w:num>
  <w:num w:numId="22">
    <w:abstractNumId w:val="39"/>
  </w:num>
  <w:num w:numId="23">
    <w:abstractNumId w:val="11"/>
  </w:num>
  <w:num w:numId="24">
    <w:abstractNumId w:val="38"/>
  </w:num>
  <w:num w:numId="25">
    <w:abstractNumId w:val="45"/>
  </w:num>
  <w:num w:numId="26">
    <w:abstractNumId w:val="24"/>
  </w:num>
  <w:num w:numId="27">
    <w:abstractNumId w:val="41"/>
  </w:num>
  <w:num w:numId="28">
    <w:abstractNumId w:val="30"/>
  </w:num>
  <w:num w:numId="29">
    <w:abstractNumId w:val="3"/>
  </w:num>
  <w:num w:numId="30">
    <w:abstractNumId w:val="3"/>
  </w:num>
  <w:num w:numId="31">
    <w:abstractNumId w:val="35"/>
  </w:num>
  <w:num w:numId="32">
    <w:abstractNumId w:val="28"/>
  </w:num>
  <w:num w:numId="33">
    <w:abstractNumId w:val="18"/>
  </w:num>
  <w:num w:numId="34">
    <w:abstractNumId w:val="46"/>
  </w:num>
  <w:num w:numId="35">
    <w:abstractNumId w:val="42"/>
  </w:num>
  <w:num w:numId="36">
    <w:abstractNumId w:val="0"/>
  </w:num>
  <w:num w:numId="37">
    <w:abstractNumId w:val="16"/>
  </w:num>
  <w:num w:numId="38">
    <w:abstractNumId w:val="1"/>
  </w:num>
  <w:num w:numId="39">
    <w:abstractNumId w:val="15"/>
  </w:num>
  <w:num w:numId="40">
    <w:abstractNumId w:val="25"/>
  </w:num>
  <w:num w:numId="41">
    <w:abstractNumId w:val="8"/>
  </w:num>
  <w:num w:numId="42">
    <w:abstractNumId w:val="40"/>
  </w:num>
  <w:num w:numId="43">
    <w:abstractNumId w:val="4"/>
  </w:num>
  <w:num w:numId="44">
    <w:abstractNumId w:val="10"/>
  </w:num>
  <w:num w:numId="45">
    <w:abstractNumId w:val="2"/>
  </w:num>
  <w:num w:numId="46">
    <w:abstractNumId w:val="13"/>
  </w:num>
  <w:num w:numId="47">
    <w:abstractNumId w:val="31"/>
  </w:num>
  <w:num w:numId="48">
    <w:abstractNumId w:val="9"/>
  </w:num>
  <w:num w:numId="49">
    <w:abstractNumId w:val="7"/>
  </w:num>
  <w:num w:numId="5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4FF"/>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19C"/>
    <w:rsid w:val="000616E7"/>
    <w:rsid w:val="00061829"/>
    <w:rsid w:val="000625C8"/>
    <w:rsid w:val="00063EF3"/>
    <w:rsid w:val="000641AA"/>
    <w:rsid w:val="000645B8"/>
    <w:rsid w:val="0006487E"/>
    <w:rsid w:val="00065E1A"/>
    <w:rsid w:val="00065F7E"/>
    <w:rsid w:val="00066675"/>
    <w:rsid w:val="00070D25"/>
    <w:rsid w:val="000711A4"/>
    <w:rsid w:val="00071225"/>
    <w:rsid w:val="000715A7"/>
    <w:rsid w:val="000725A0"/>
    <w:rsid w:val="00073925"/>
    <w:rsid w:val="0007415D"/>
    <w:rsid w:val="00074F35"/>
    <w:rsid w:val="00075131"/>
    <w:rsid w:val="00075BF1"/>
    <w:rsid w:val="00076DE7"/>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97F"/>
    <w:rsid w:val="00092B27"/>
    <w:rsid w:val="00093009"/>
    <w:rsid w:val="00093474"/>
    <w:rsid w:val="0009356A"/>
    <w:rsid w:val="00094180"/>
    <w:rsid w:val="000945DA"/>
    <w:rsid w:val="00094796"/>
    <w:rsid w:val="0009510F"/>
    <w:rsid w:val="00096A7E"/>
    <w:rsid w:val="00097774"/>
    <w:rsid w:val="000A0028"/>
    <w:rsid w:val="000A0276"/>
    <w:rsid w:val="000A1B7B"/>
    <w:rsid w:val="000A206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06"/>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C18"/>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3E20"/>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5B01"/>
    <w:rsid w:val="00146904"/>
    <w:rsid w:val="00146989"/>
    <w:rsid w:val="00147BDE"/>
    <w:rsid w:val="001506B3"/>
    <w:rsid w:val="001510DF"/>
    <w:rsid w:val="0015190F"/>
    <w:rsid w:val="00151A1D"/>
    <w:rsid w:val="00151E23"/>
    <w:rsid w:val="001526E0"/>
    <w:rsid w:val="00153B76"/>
    <w:rsid w:val="00154220"/>
    <w:rsid w:val="001549FC"/>
    <w:rsid w:val="001551B5"/>
    <w:rsid w:val="00157A90"/>
    <w:rsid w:val="00157B7B"/>
    <w:rsid w:val="00157F10"/>
    <w:rsid w:val="00160461"/>
    <w:rsid w:val="00160E59"/>
    <w:rsid w:val="00162135"/>
    <w:rsid w:val="001629E7"/>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3F33"/>
    <w:rsid w:val="001B56D1"/>
    <w:rsid w:val="001B5A5D"/>
    <w:rsid w:val="001B6421"/>
    <w:rsid w:val="001B653E"/>
    <w:rsid w:val="001B66D0"/>
    <w:rsid w:val="001B69DB"/>
    <w:rsid w:val="001B7034"/>
    <w:rsid w:val="001B74F6"/>
    <w:rsid w:val="001C02A9"/>
    <w:rsid w:val="001C04B4"/>
    <w:rsid w:val="001C07F8"/>
    <w:rsid w:val="001C0AAE"/>
    <w:rsid w:val="001C0B35"/>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4755"/>
    <w:rsid w:val="001F54C5"/>
    <w:rsid w:val="001F5B50"/>
    <w:rsid w:val="001F61DB"/>
    <w:rsid w:val="001F662C"/>
    <w:rsid w:val="001F7074"/>
    <w:rsid w:val="001F7A85"/>
    <w:rsid w:val="00200490"/>
    <w:rsid w:val="0020156E"/>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2A86"/>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2EB"/>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55D4"/>
    <w:rsid w:val="00276081"/>
    <w:rsid w:val="00276AB3"/>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8D"/>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1D4"/>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B7E0D"/>
    <w:rsid w:val="002C0976"/>
    <w:rsid w:val="002C151A"/>
    <w:rsid w:val="002C25A6"/>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ABC"/>
    <w:rsid w:val="002D5255"/>
    <w:rsid w:val="002D5933"/>
    <w:rsid w:val="002D5BFA"/>
    <w:rsid w:val="002D6218"/>
    <w:rsid w:val="002D6B9B"/>
    <w:rsid w:val="002D7637"/>
    <w:rsid w:val="002E065B"/>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03DC"/>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476D"/>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FE3"/>
    <w:rsid w:val="00394328"/>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64F"/>
    <w:rsid w:val="003A7D5E"/>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1F"/>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545"/>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1"/>
    <w:rsid w:val="00416DDF"/>
    <w:rsid w:val="00420230"/>
    <w:rsid w:val="00421105"/>
    <w:rsid w:val="00421616"/>
    <w:rsid w:val="0042167F"/>
    <w:rsid w:val="00421F66"/>
    <w:rsid w:val="00422135"/>
    <w:rsid w:val="00422D12"/>
    <w:rsid w:val="004234DB"/>
    <w:rsid w:val="004234E7"/>
    <w:rsid w:val="00423A90"/>
    <w:rsid w:val="004242F4"/>
    <w:rsid w:val="00424A05"/>
    <w:rsid w:val="00425524"/>
    <w:rsid w:val="00425A2C"/>
    <w:rsid w:val="00425ED6"/>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3787B"/>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4ACF"/>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4D51"/>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4DA3"/>
    <w:rsid w:val="004F53E9"/>
    <w:rsid w:val="004F631B"/>
    <w:rsid w:val="004F6322"/>
    <w:rsid w:val="004F659D"/>
    <w:rsid w:val="004F735E"/>
    <w:rsid w:val="00500B52"/>
    <w:rsid w:val="0050268E"/>
    <w:rsid w:val="0050318E"/>
    <w:rsid w:val="00503E8C"/>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2A6A"/>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1DC"/>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5C6A"/>
    <w:rsid w:val="00586023"/>
    <w:rsid w:val="0058638E"/>
    <w:rsid w:val="00586451"/>
    <w:rsid w:val="00586EF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54B2"/>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15294"/>
    <w:rsid w:val="00620B97"/>
    <w:rsid w:val="00621662"/>
    <w:rsid w:val="00621751"/>
    <w:rsid w:val="006232E1"/>
    <w:rsid w:val="006234A6"/>
    <w:rsid w:val="00624C0D"/>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0DE3"/>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58C"/>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EA8"/>
    <w:rsid w:val="00695FC2"/>
    <w:rsid w:val="006962FB"/>
    <w:rsid w:val="00696949"/>
    <w:rsid w:val="00697052"/>
    <w:rsid w:val="00697530"/>
    <w:rsid w:val="00697F2A"/>
    <w:rsid w:val="006A06B2"/>
    <w:rsid w:val="006A0E56"/>
    <w:rsid w:val="006A0ECE"/>
    <w:rsid w:val="006A325E"/>
    <w:rsid w:val="006A458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3DE"/>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BF7"/>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201"/>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0FE1"/>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B20B2"/>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347B"/>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0C1"/>
    <w:rsid w:val="0080253D"/>
    <w:rsid w:val="00802DEB"/>
    <w:rsid w:val="00803546"/>
    <w:rsid w:val="008036C5"/>
    <w:rsid w:val="00803FAE"/>
    <w:rsid w:val="008052C1"/>
    <w:rsid w:val="0080605F"/>
    <w:rsid w:val="00807786"/>
    <w:rsid w:val="008101B0"/>
    <w:rsid w:val="008115C7"/>
    <w:rsid w:val="00811FCB"/>
    <w:rsid w:val="008125BB"/>
    <w:rsid w:val="008129EC"/>
    <w:rsid w:val="00812B11"/>
    <w:rsid w:val="00812B68"/>
    <w:rsid w:val="0081333C"/>
    <w:rsid w:val="00814AD5"/>
    <w:rsid w:val="00814F7B"/>
    <w:rsid w:val="00815681"/>
    <w:rsid w:val="008156D5"/>
    <w:rsid w:val="008158D6"/>
    <w:rsid w:val="00815979"/>
    <w:rsid w:val="00817196"/>
    <w:rsid w:val="0081757C"/>
    <w:rsid w:val="00817CD2"/>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4DFA"/>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4C3"/>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51B"/>
    <w:rsid w:val="00880FCF"/>
    <w:rsid w:val="00881CDD"/>
    <w:rsid w:val="00882349"/>
    <w:rsid w:val="00882E6B"/>
    <w:rsid w:val="00883005"/>
    <w:rsid w:val="008846AC"/>
    <w:rsid w:val="008848F9"/>
    <w:rsid w:val="00886D00"/>
    <w:rsid w:val="00886D44"/>
    <w:rsid w:val="00886F61"/>
    <w:rsid w:val="008907CA"/>
    <w:rsid w:val="00891245"/>
    <w:rsid w:val="00892CFF"/>
    <w:rsid w:val="0089347C"/>
    <w:rsid w:val="00894A88"/>
    <w:rsid w:val="00895310"/>
    <w:rsid w:val="00895386"/>
    <w:rsid w:val="00895C1F"/>
    <w:rsid w:val="00896985"/>
    <w:rsid w:val="0089757A"/>
    <w:rsid w:val="008A0210"/>
    <w:rsid w:val="008A08E0"/>
    <w:rsid w:val="008A0B9C"/>
    <w:rsid w:val="008A21FF"/>
    <w:rsid w:val="008A2CE2"/>
    <w:rsid w:val="008A30AC"/>
    <w:rsid w:val="008A30BD"/>
    <w:rsid w:val="008A3AE2"/>
    <w:rsid w:val="008A4275"/>
    <w:rsid w:val="008A44B8"/>
    <w:rsid w:val="008A4796"/>
    <w:rsid w:val="008A47DA"/>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D"/>
    <w:rsid w:val="008C1F0E"/>
    <w:rsid w:val="008C1FC4"/>
    <w:rsid w:val="008C2017"/>
    <w:rsid w:val="008C3A3B"/>
    <w:rsid w:val="008C3D46"/>
    <w:rsid w:val="008C48F8"/>
    <w:rsid w:val="008C4958"/>
    <w:rsid w:val="008C4BAA"/>
    <w:rsid w:val="008C636D"/>
    <w:rsid w:val="008C66DB"/>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0AEF"/>
    <w:rsid w:val="008F19BC"/>
    <w:rsid w:val="008F1EAB"/>
    <w:rsid w:val="008F33DC"/>
    <w:rsid w:val="008F37D2"/>
    <w:rsid w:val="008F4050"/>
    <w:rsid w:val="008F477F"/>
    <w:rsid w:val="008F6075"/>
    <w:rsid w:val="008F69A7"/>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97C"/>
    <w:rsid w:val="00911CC4"/>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308"/>
    <w:rsid w:val="00942743"/>
    <w:rsid w:val="00942750"/>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0CE"/>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35CC"/>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1015"/>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5CCE"/>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6CF3"/>
    <w:rsid w:val="009E7CEA"/>
    <w:rsid w:val="009F08F3"/>
    <w:rsid w:val="009F09EF"/>
    <w:rsid w:val="009F0A74"/>
    <w:rsid w:val="009F1A8F"/>
    <w:rsid w:val="009F2089"/>
    <w:rsid w:val="009F2AE7"/>
    <w:rsid w:val="009F2B2C"/>
    <w:rsid w:val="009F2E03"/>
    <w:rsid w:val="009F344F"/>
    <w:rsid w:val="009F753B"/>
    <w:rsid w:val="009F76AF"/>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4A14"/>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47C8"/>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5DF8"/>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99F"/>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1D14"/>
    <w:rsid w:val="00B143FA"/>
    <w:rsid w:val="00B146E4"/>
    <w:rsid w:val="00B14BD1"/>
    <w:rsid w:val="00B157F9"/>
    <w:rsid w:val="00B159ED"/>
    <w:rsid w:val="00B169C0"/>
    <w:rsid w:val="00B17846"/>
    <w:rsid w:val="00B17D61"/>
    <w:rsid w:val="00B20256"/>
    <w:rsid w:val="00B2047A"/>
    <w:rsid w:val="00B206FF"/>
    <w:rsid w:val="00B20D09"/>
    <w:rsid w:val="00B20DD9"/>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3C3"/>
    <w:rsid w:val="00B54858"/>
    <w:rsid w:val="00B575E0"/>
    <w:rsid w:val="00B57A4E"/>
    <w:rsid w:val="00B57B83"/>
    <w:rsid w:val="00B57D2D"/>
    <w:rsid w:val="00B57D49"/>
    <w:rsid w:val="00B57FF9"/>
    <w:rsid w:val="00B60BB3"/>
    <w:rsid w:val="00B62BEF"/>
    <w:rsid w:val="00B63B96"/>
    <w:rsid w:val="00B63CEF"/>
    <w:rsid w:val="00B64A5E"/>
    <w:rsid w:val="00B66456"/>
    <w:rsid w:val="00B664C7"/>
    <w:rsid w:val="00B7019D"/>
    <w:rsid w:val="00B7285B"/>
    <w:rsid w:val="00B72868"/>
    <w:rsid w:val="00B73583"/>
    <w:rsid w:val="00B739F6"/>
    <w:rsid w:val="00B76D2A"/>
    <w:rsid w:val="00B777F2"/>
    <w:rsid w:val="00B77FFB"/>
    <w:rsid w:val="00B81A7B"/>
    <w:rsid w:val="00B81FF6"/>
    <w:rsid w:val="00B8209E"/>
    <w:rsid w:val="00B825B3"/>
    <w:rsid w:val="00B84EBD"/>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67ED"/>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C5F"/>
    <w:rsid w:val="00C040F7"/>
    <w:rsid w:val="00C044AB"/>
    <w:rsid w:val="00C04C9F"/>
    <w:rsid w:val="00C05706"/>
    <w:rsid w:val="00C05C8F"/>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B27"/>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4979"/>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3338"/>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7C9A"/>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5D71"/>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B75AC"/>
    <w:rsid w:val="00DC0BB6"/>
    <w:rsid w:val="00DC2D36"/>
    <w:rsid w:val="00DC3D86"/>
    <w:rsid w:val="00DC53EF"/>
    <w:rsid w:val="00DC5FB3"/>
    <w:rsid w:val="00DC631A"/>
    <w:rsid w:val="00DC6DC7"/>
    <w:rsid w:val="00DC787F"/>
    <w:rsid w:val="00DD017F"/>
    <w:rsid w:val="00DD126B"/>
    <w:rsid w:val="00DD1AE7"/>
    <w:rsid w:val="00DD28C2"/>
    <w:rsid w:val="00DD3166"/>
    <w:rsid w:val="00DD3A6E"/>
    <w:rsid w:val="00DD479B"/>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2BEE"/>
    <w:rsid w:val="00E140BD"/>
    <w:rsid w:val="00E14C1C"/>
    <w:rsid w:val="00E151C0"/>
    <w:rsid w:val="00E15432"/>
    <w:rsid w:val="00E158A7"/>
    <w:rsid w:val="00E158E4"/>
    <w:rsid w:val="00E17A3B"/>
    <w:rsid w:val="00E17FA2"/>
    <w:rsid w:val="00E20025"/>
    <w:rsid w:val="00E20482"/>
    <w:rsid w:val="00E2063D"/>
    <w:rsid w:val="00E21520"/>
    <w:rsid w:val="00E21DD4"/>
    <w:rsid w:val="00E23A38"/>
    <w:rsid w:val="00E23CD9"/>
    <w:rsid w:val="00E240D8"/>
    <w:rsid w:val="00E24CB0"/>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1C04"/>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7F0"/>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D65"/>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664"/>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23FF"/>
    <w:rsid w:val="00EB325F"/>
    <w:rsid w:val="00EB3D70"/>
    <w:rsid w:val="00EB41B5"/>
    <w:rsid w:val="00EB4C35"/>
    <w:rsid w:val="00EB4EA2"/>
    <w:rsid w:val="00EB5B44"/>
    <w:rsid w:val="00EB5B57"/>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6FA1"/>
    <w:rsid w:val="00ED78C9"/>
    <w:rsid w:val="00ED79A3"/>
    <w:rsid w:val="00EE1F98"/>
    <w:rsid w:val="00EE28F5"/>
    <w:rsid w:val="00EE35AB"/>
    <w:rsid w:val="00EE6B5A"/>
    <w:rsid w:val="00EF00FF"/>
    <w:rsid w:val="00EF18FE"/>
    <w:rsid w:val="00EF2981"/>
    <w:rsid w:val="00EF3AD5"/>
    <w:rsid w:val="00EF3D20"/>
    <w:rsid w:val="00EF53CD"/>
    <w:rsid w:val="00EF5787"/>
    <w:rsid w:val="00EF60D0"/>
    <w:rsid w:val="00F00459"/>
    <w:rsid w:val="00F00A11"/>
    <w:rsid w:val="00F01A5F"/>
    <w:rsid w:val="00F01AA2"/>
    <w:rsid w:val="00F037E9"/>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2A24"/>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4480"/>
    <w:rsid w:val="00F351B8"/>
    <w:rsid w:val="00F35D41"/>
    <w:rsid w:val="00F3665C"/>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8A5"/>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160"/>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C06"/>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0AD9"/>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2E22"/>
    <w:rsid w:val="00FF302A"/>
    <w:rsid w:val="00FF3BB8"/>
    <w:rsid w:val="00FF45A5"/>
    <w:rsid w:val="00FF48A3"/>
    <w:rsid w:val="00FF4955"/>
    <w:rsid w:val="00FF4CD9"/>
    <w:rsid w:val="00FF4F60"/>
    <w:rsid w:val="00FF5673"/>
    <w:rsid w:val="00FF587A"/>
    <w:rsid w:val="00FF5C91"/>
    <w:rsid w:val="00FF66ED"/>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94979"/>
    <w:rPr>
      <w:rFonts w:ascii="Arial" w:hAnsi="Arial" w:cs="Arial"/>
      <w:b/>
      <w:bCs/>
      <w:noProof/>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37143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0BDCDA4E-E5F9-4D1B-A185-BE003CE930E0}">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C0FE5E89-E514-4550-8271-EB8066E4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740</TotalTime>
  <Pages>3</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7225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15</cp:revision>
  <cp:lastPrinted>2014-08-07T20:35:00Z</cp:lastPrinted>
  <dcterms:created xsi:type="dcterms:W3CDTF">2015-04-23T19:02:00Z</dcterms:created>
  <dcterms:modified xsi:type="dcterms:W3CDTF">2015-04-24T07:43:00Z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