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F7E558C"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A13C3F">
        <w:rPr>
          <w:rFonts w:ascii="Arial" w:hAnsi="Arial" w:cs="Arial"/>
          <w:szCs w:val="24"/>
          <w:lang w:val="en-US"/>
        </w:rPr>
        <w:t>2099</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09537BDF"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FF2E22">
        <w:rPr>
          <w:rFonts w:cs="Arial"/>
          <w:b/>
          <w:bCs/>
          <w:sz w:val="24"/>
          <w:lang w:val="en-US"/>
        </w:rPr>
        <w:t>7.2.2.2.2</w:t>
      </w:r>
      <w:bookmarkStart w:id="0" w:name="_GoBack"/>
      <w:bookmarkEnd w:id="0"/>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0DB1003B"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FF2E22">
        <w:rPr>
          <w:rFonts w:ascii="Arial" w:hAnsi="Arial" w:cs="Arial"/>
          <w:b/>
          <w:bCs/>
          <w:sz w:val="24"/>
          <w:lang w:val="en-US"/>
        </w:rPr>
        <w:t>HARQ-ACK reporting for up to 32 carriers</w:t>
      </w:r>
    </w:p>
    <w:p w14:paraId="20F2A3ED" w14:textId="1DD6AF34"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C5CCE">
        <w:rPr>
          <w:rFonts w:ascii="Arial" w:hAnsi="Arial" w:cs="Arial"/>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411CB426" w14:textId="4BE07669" w:rsidR="00494D51" w:rsidRDefault="00494D51" w:rsidP="00656DF3">
      <w:pPr>
        <w:rPr>
          <w:sz w:val="20"/>
          <w:lang w:val="en-US"/>
        </w:rPr>
      </w:pPr>
      <w:r>
        <w:rPr>
          <w:sz w:val="20"/>
          <w:lang w:val="en-US"/>
        </w:rPr>
        <w:t>During</w:t>
      </w:r>
      <w:r w:rsidR="003D41C3">
        <w:rPr>
          <w:sz w:val="20"/>
          <w:lang w:val="en-US"/>
        </w:rPr>
        <w:t xml:space="preserve"> RAN1#80</w:t>
      </w:r>
      <w:r>
        <w:rPr>
          <w:sz w:val="20"/>
          <w:lang w:val="en-US"/>
        </w:rPr>
        <w:t>, initial discussions took place on the required enhancements to UL control signaling for aggregation of up to 32 carriers. The following agreements were made:</w:t>
      </w:r>
    </w:p>
    <w:tbl>
      <w:tblPr>
        <w:tblStyle w:val="TableGrid"/>
        <w:tblW w:w="0" w:type="auto"/>
        <w:tblLook w:val="04A0" w:firstRow="1" w:lastRow="0" w:firstColumn="1" w:lastColumn="0" w:noHBand="0" w:noVBand="1"/>
      </w:tblPr>
      <w:tblGrid>
        <w:gridCol w:w="9855"/>
      </w:tblGrid>
      <w:tr w:rsidR="00494D51" w14:paraId="07D8F2E6" w14:textId="77777777" w:rsidTr="00494D51">
        <w:tc>
          <w:tcPr>
            <w:tcW w:w="9855" w:type="dxa"/>
          </w:tcPr>
          <w:p w14:paraId="19460D35" w14:textId="77777777" w:rsidR="00494D51" w:rsidRPr="00760FE1" w:rsidRDefault="00494D51" w:rsidP="00494D51">
            <w:pPr>
              <w:rPr>
                <w:rFonts w:eastAsia="MS Mincho"/>
                <w:i/>
                <w:iCs/>
                <w:sz w:val="20"/>
                <w:lang w:val="en-US" w:eastAsia="ja-JP"/>
              </w:rPr>
            </w:pPr>
            <w:r w:rsidRPr="00760FE1">
              <w:rPr>
                <w:rFonts w:eastAsia="MS Mincho" w:hint="eastAsia"/>
                <w:i/>
                <w:iCs/>
                <w:sz w:val="20"/>
                <w:lang w:val="en-US" w:eastAsia="ja-JP"/>
              </w:rPr>
              <w:t>Agreements:</w:t>
            </w:r>
          </w:p>
          <w:p w14:paraId="2F756ED1" w14:textId="77777777" w:rsidR="00494D51" w:rsidRPr="00760FE1" w:rsidRDefault="00494D51" w:rsidP="00494D51">
            <w:pPr>
              <w:numPr>
                <w:ilvl w:val="0"/>
                <w:numId w:val="37"/>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RAN1 supports following two mechanisms for UCI feedback to support Rel.13 CA configurations.</w:t>
            </w:r>
          </w:p>
          <w:p w14:paraId="4729031E" w14:textId="77777777" w:rsidR="00494D51" w:rsidRPr="00760FE1" w:rsidRDefault="00494D51" w:rsidP="00494D51">
            <w:pPr>
              <w:numPr>
                <w:ilvl w:val="1"/>
                <w:numId w:val="37"/>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 xml:space="preserve">Enhancements to support UCI feedback on PUCCH on </w:t>
            </w:r>
            <w:proofErr w:type="spellStart"/>
            <w:r w:rsidRPr="00760FE1">
              <w:rPr>
                <w:rFonts w:eastAsia="MS Mincho" w:hint="eastAsia"/>
                <w:i/>
                <w:iCs/>
                <w:sz w:val="20"/>
                <w:lang w:val="en-US" w:eastAsia="ja-JP"/>
              </w:rPr>
              <w:t>Pcell</w:t>
            </w:r>
            <w:proofErr w:type="spellEnd"/>
            <w:r w:rsidRPr="00760FE1">
              <w:rPr>
                <w:rFonts w:eastAsia="MS Mincho" w:hint="eastAsia"/>
                <w:i/>
                <w:iCs/>
                <w:sz w:val="20"/>
                <w:lang w:val="en-US" w:eastAsia="ja-JP"/>
              </w:rPr>
              <w:t xml:space="preserve"> for up to 32 DL carriers and enhancements to support UCI feedback on PUSCH on one cell for up to 32 DL carriers</w:t>
            </w:r>
          </w:p>
          <w:p w14:paraId="0B6982C6" w14:textId="77777777" w:rsidR="00494D51" w:rsidRPr="00760FE1" w:rsidRDefault="00494D51" w:rsidP="00494D51">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 xml:space="preserve">Applicable to both </w:t>
            </w:r>
            <w:r w:rsidRPr="00760FE1">
              <w:rPr>
                <w:rFonts w:eastAsia="MS Mincho" w:hint="eastAsia"/>
                <w:i/>
                <w:iCs/>
                <w:sz w:val="20"/>
                <w:lang w:val="en-US" w:eastAsia="ja-JP"/>
              </w:rPr>
              <w:t>cases when UL CA is configured or UL CA is not configured for UL CA capable UEs</w:t>
            </w:r>
          </w:p>
          <w:p w14:paraId="69CA967B" w14:textId="77777777" w:rsidR="00494D51" w:rsidRPr="00760FE1" w:rsidRDefault="00494D51" w:rsidP="00494D51">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Applicable to non-UL</w:t>
            </w:r>
            <w:r w:rsidRPr="00760FE1">
              <w:rPr>
                <w:rFonts w:eastAsia="MS Mincho" w:hint="eastAsia"/>
                <w:i/>
                <w:iCs/>
                <w:sz w:val="20"/>
                <w:lang w:val="en-US" w:eastAsia="ja-JP"/>
              </w:rPr>
              <w:t xml:space="preserve"> </w:t>
            </w:r>
            <w:r w:rsidRPr="00760FE1">
              <w:rPr>
                <w:rFonts w:eastAsia="MS Mincho"/>
                <w:i/>
                <w:iCs/>
                <w:sz w:val="20"/>
                <w:lang w:val="en-US" w:eastAsia="ja-JP"/>
              </w:rPr>
              <w:t xml:space="preserve">CA </w:t>
            </w:r>
            <w:r w:rsidRPr="00760FE1">
              <w:rPr>
                <w:rFonts w:eastAsia="MS Mincho" w:hint="eastAsia"/>
                <w:i/>
                <w:iCs/>
                <w:sz w:val="20"/>
                <w:lang w:val="en-US" w:eastAsia="ja-JP"/>
              </w:rPr>
              <w:t xml:space="preserve">capable </w:t>
            </w:r>
            <w:r w:rsidRPr="00760FE1">
              <w:rPr>
                <w:rFonts w:eastAsia="MS Mincho"/>
                <w:i/>
                <w:iCs/>
                <w:sz w:val="20"/>
                <w:lang w:val="en-US" w:eastAsia="ja-JP"/>
              </w:rPr>
              <w:t>UEs</w:t>
            </w:r>
          </w:p>
          <w:p w14:paraId="1BFBE180" w14:textId="77777777" w:rsidR="00494D51" w:rsidRPr="00760FE1" w:rsidRDefault="00494D51" w:rsidP="00494D51">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 xml:space="preserve">FFS: Multiple PUCCHs on </w:t>
            </w:r>
            <w:proofErr w:type="spellStart"/>
            <w:r w:rsidRPr="00760FE1">
              <w:rPr>
                <w:rFonts w:eastAsia="MS Mincho" w:hint="eastAsia"/>
                <w:i/>
                <w:iCs/>
                <w:sz w:val="20"/>
                <w:lang w:val="en-US" w:eastAsia="ja-JP"/>
              </w:rPr>
              <w:t>Pcell</w:t>
            </w:r>
            <w:proofErr w:type="spellEnd"/>
          </w:p>
          <w:p w14:paraId="2906A5CC" w14:textId="77777777" w:rsidR="00494D51" w:rsidRPr="00760FE1" w:rsidRDefault="00494D51" w:rsidP="00494D51">
            <w:pPr>
              <w:numPr>
                <w:ilvl w:val="1"/>
                <w:numId w:val="37"/>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T</w:t>
            </w:r>
            <w:r w:rsidRPr="00760FE1">
              <w:rPr>
                <w:rFonts w:eastAsia="MS Mincho"/>
                <w:i/>
                <w:iCs/>
                <w:sz w:val="20"/>
                <w:lang w:val="en-US" w:eastAsia="ja-JP"/>
              </w:rPr>
              <w:t>wo PUCCH cell groups are configured</w:t>
            </w:r>
            <w:r w:rsidRPr="00760FE1">
              <w:rPr>
                <w:rFonts w:eastAsia="MS Mincho" w:hint="eastAsia"/>
                <w:i/>
                <w:iCs/>
                <w:sz w:val="20"/>
                <w:lang w:val="en-US" w:eastAsia="ja-JP"/>
              </w:rPr>
              <w:t xml:space="preserve"> for up to 32 DL carriers</w:t>
            </w:r>
          </w:p>
          <w:p w14:paraId="7F1342B8" w14:textId="77777777" w:rsidR="00494D51" w:rsidRPr="00760FE1" w:rsidRDefault="00494D51" w:rsidP="00494D51">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Applicable only when UL CA is configured</w:t>
            </w:r>
          </w:p>
          <w:p w14:paraId="20F39537" w14:textId="77777777" w:rsidR="00494D51" w:rsidRPr="00760FE1" w:rsidRDefault="00494D51" w:rsidP="00494D51">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i/>
                <w:iCs/>
                <w:sz w:val="20"/>
                <w:lang w:val="en-US" w:eastAsia="ja-JP"/>
              </w:rPr>
              <w:t>FFS: how many PUCCH cell groups are supported</w:t>
            </w:r>
          </w:p>
          <w:p w14:paraId="291E3B62" w14:textId="439968CE" w:rsidR="00494D51" w:rsidRPr="00760FE1" w:rsidRDefault="00494D51" w:rsidP="00656DF3">
            <w:pPr>
              <w:numPr>
                <w:ilvl w:val="2"/>
                <w:numId w:val="37"/>
              </w:numPr>
              <w:overflowPunct/>
              <w:autoSpaceDE/>
              <w:autoSpaceDN/>
              <w:adjustRightInd/>
              <w:spacing w:after="0"/>
              <w:jc w:val="left"/>
              <w:textAlignment w:val="auto"/>
              <w:rPr>
                <w:rFonts w:eastAsia="MS Mincho"/>
                <w:i/>
                <w:iCs/>
                <w:sz w:val="20"/>
                <w:lang w:val="en-US" w:eastAsia="ja-JP"/>
              </w:rPr>
            </w:pPr>
            <w:r w:rsidRPr="00760FE1">
              <w:rPr>
                <w:rFonts w:eastAsia="MS Mincho" w:hint="eastAsia"/>
                <w:i/>
                <w:iCs/>
                <w:sz w:val="20"/>
                <w:lang w:val="en-US" w:eastAsia="ja-JP"/>
              </w:rPr>
              <w:t>FFS: more than two PUCCH cell groups case</w:t>
            </w:r>
          </w:p>
        </w:tc>
      </w:tr>
    </w:tbl>
    <w:p w14:paraId="13941917" w14:textId="77777777" w:rsidR="00760FE1" w:rsidRDefault="00760FE1" w:rsidP="00085A01">
      <w:pPr>
        <w:rPr>
          <w:sz w:val="20"/>
          <w:lang w:val="en-US"/>
        </w:rPr>
      </w:pPr>
    </w:p>
    <w:p w14:paraId="48D94537" w14:textId="03A6082B" w:rsidR="003D41C3" w:rsidRPr="00077CF3" w:rsidRDefault="003D41C3" w:rsidP="00085A01">
      <w:pPr>
        <w:rPr>
          <w:sz w:val="20"/>
          <w:lang w:val="en-US"/>
        </w:rPr>
      </w:pPr>
      <w:r w:rsidRPr="00077CF3">
        <w:rPr>
          <w:sz w:val="20"/>
          <w:lang w:val="en-US"/>
        </w:rPr>
        <w:t>In this contribution w</w:t>
      </w:r>
      <w:r w:rsidR="00760FE1">
        <w:rPr>
          <w:sz w:val="20"/>
          <w:lang w:val="en-US"/>
        </w:rPr>
        <w:t xml:space="preserve">e discuss HARQ-ACK feedback transmitted on PUCCH or PUSCH, focusing on the case where </w:t>
      </w:r>
      <w:r w:rsidR="00760FE1" w:rsidRPr="00760FE1">
        <w:rPr>
          <w:sz w:val="20"/>
          <w:lang w:val="en-US"/>
        </w:rPr>
        <w:t xml:space="preserve">PUCCH is available on the </w:t>
      </w:r>
      <w:proofErr w:type="spellStart"/>
      <w:r w:rsidR="00760FE1" w:rsidRPr="00760FE1">
        <w:rPr>
          <w:sz w:val="20"/>
          <w:lang w:val="en-US"/>
        </w:rPr>
        <w:t>Pcell</w:t>
      </w:r>
      <w:proofErr w:type="spellEnd"/>
      <w:r w:rsidR="00760FE1" w:rsidRPr="00760FE1">
        <w:rPr>
          <w:sz w:val="20"/>
          <w:lang w:val="en-US"/>
        </w:rPr>
        <w:t>. It will be proposed that for aggregation of up to 32 carriers, dynamic selection from more than one HARQ-ACK codebooks should be supported.</w:t>
      </w:r>
    </w:p>
    <w:p w14:paraId="411E7BBD" w14:textId="5F260553" w:rsidR="00085A01" w:rsidRPr="00077CF3" w:rsidRDefault="009C5CCE" w:rsidP="00085A01">
      <w:pPr>
        <w:pStyle w:val="Heading1"/>
        <w:pBdr>
          <w:top w:val="single" w:sz="12" w:space="5" w:color="auto"/>
        </w:pBdr>
        <w:spacing w:after="120"/>
        <w:rPr>
          <w:sz w:val="32"/>
          <w:lang w:val="en-US"/>
        </w:rPr>
      </w:pPr>
      <w:r>
        <w:rPr>
          <w:sz w:val="32"/>
          <w:lang w:val="en-US"/>
        </w:rPr>
        <w:lastRenderedPageBreak/>
        <w:t>Review of HARQ-ACK reporting on PUCCH Format 3</w:t>
      </w:r>
    </w:p>
    <w:p w14:paraId="3088B1E0" w14:textId="46967B1E" w:rsidR="009C5CCE" w:rsidRDefault="00AA5DF8" w:rsidP="00B206FF">
      <w:pPr>
        <w:rPr>
          <w:sz w:val="20"/>
          <w:lang w:val="en-US"/>
        </w:rPr>
      </w:pPr>
      <w:r>
        <w:rPr>
          <w:sz w:val="20"/>
          <w:lang w:val="en-US"/>
        </w:rPr>
        <w:t>Before discussing enhancements required to transmit HARQ-ACK over PUCCH for up to 32 carriers, it may be useful to review some aspects of the solution that was adopted in R10 (for up to 5 carriers).</w:t>
      </w:r>
    </w:p>
    <w:p w14:paraId="1383BB05" w14:textId="6C2E4D8F" w:rsidR="00425524" w:rsidRDefault="005D54B2" w:rsidP="00B206FF">
      <w:pPr>
        <w:rPr>
          <w:sz w:val="20"/>
          <w:lang w:val="en-US"/>
        </w:rPr>
      </w:pPr>
      <w:r>
        <w:rPr>
          <w:sz w:val="20"/>
          <w:lang w:val="en-US"/>
        </w:rPr>
        <w:t xml:space="preserve">PUCCH Format 3 has been introduced in R10 to support the transmission of up to 22 bits </w:t>
      </w:r>
      <w:r w:rsidR="00133E20">
        <w:rPr>
          <w:sz w:val="20"/>
          <w:lang w:val="en-US"/>
        </w:rPr>
        <w:t>of UCI. The UCI bits are encoded using Reed-Muller (RM) block code(s) for a total of 48 coded bits. For up to 11 bits, a single RM block code is used while beyond 11 bits, the bits are split in two parts and separately encoded into two RM block codes.</w:t>
      </w:r>
      <w:r w:rsidR="00ED79A3">
        <w:rPr>
          <w:sz w:val="20"/>
          <w:lang w:val="en-US"/>
        </w:rPr>
        <w:t xml:space="preserve"> </w:t>
      </w:r>
    </w:p>
    <w:p w14:paraId="420EA32B" w14:textId="0247348C" w:rsidR="00AA5DF8" w:rsidRDefault="00ED79A3" w:rsidP="00B206FF">
      <w:pPr>
        <w:rPr>
          <w:sz w:val="20"/>
          <w:lang w:val="en-US"/>
        </w:rPr>
      </w:pPr>
      <w:r>
        <w:rPr>
          <w:sz w:val="20"/>
          <w:lang w:val="en-US"/>
        </w:rPr>
        <w:t xml:space="preserve">An important feature </w:t>
      </w:r>
      <w:r w:rsidR="00425524">
        <w:rPr>
          <w:sz w:val="20"/>
          <w:lang w:val="en-US"/>
        </w:rPr>
        <w:t xml:space="preserve">of the R10 design </w:t>
      </w:r>
      <w:r>
        <w:rPr>
          <w:sz w:val="20"/>
          <w:lang w:val="en-US"/>
        </w:rPr>
        <w:t xml:space="preserve">is that </w:t>
      </w:r>
      <w:r w:rsidR="00425524">
        <w:rPr>
          <w:sz w:val="20"/>
          <w:lang w:val="en-US"/>
        </w:rPr>
        <w:t xml:space="preserve">it supports “slow” codebook adaptation. This means that </w:t>
      </w:r>
      <w:r>
        <w:rPr>
          <w:sz w:val="20"/>
          <w:lang w:val="en-US"/>
        </w:rPr>
        <w:t xml:space="preserve">the number </w:t>
      </w:r>
      <w:r w:rsidR="00425524">
        <w:rPr>
          <w:sz w:val="20"/>
          <w:lang w:val="en-US"/>
        </w:rPr>
        <w:t xml:space="preserve">and order </w:t>
      </w:r>
      <w:r>
        <w:rPr>
          <w:sz w:val="20"/>
          <w:lang w:val="en-US"/>
        </w:rPr>
        <w:t xml:space="preserve">of HARQ-ACK bits to be encoded </w:t>
      </w:r>
      <w:r w:rsidR="00425524">
        <w:rPr>
          <w:sz w:val="20"/>
          <w:lang w:val="en-US"/>
        </w:rPr>
        <w:t xml:space="preserve">(the “codebook”) </w:t>
      </w:r>
      <w:r>
        <w:rPr>
          <w:sz w:val="20"/>
          <w:lang w:val="en-US"/>
        </w:rPr>
        <w:t xml:space="preserve">is entirely dependent on the </w:t>
      </w:r>
      <w:r w:rsidR="00425524">
        <w:rPr>
          <w:sz w:val="20"/>
          <w:lang w:val="en-US"/>
        </w:rPr>
        <w:t xml:space="preserve">semi-static configuration of the UE and not on whether PDCCH/E-PDCCH was received or not in a particular </w:t>
      </w:r>
      <w:r w:rsidR="00D17C9A">
        <w:rPr>
          <w:sz w:val="20"/>
          <w:lang w:val="en-US"/>
        </w:rPr>
        <w:t>carrier</w:t>
      </w:r>
      <w:r w:rsidR="00425524">
        <w:rPr>
          <w:sz w:val="20"/>
          <w:lang w:val="en-US"/>
        </w:rPr>
        <w:t xml:space="preserve"> or </w:t>
      </w:r>
      <w:proofErr w:type="spellStart"/>
      <w:r w:rsidR="00425524">
        <w:rPr>
          <w:sz w:val="20"/>
          <w:lang w:val="en-US"/>
        </w:rPr>
        <w:t>subframe</w:t>
      </w:r>
      <w:proofErr w:type="spellEnd"/>
      <w:r w:rsidR="00425524">
        <w:rPr>
          <w:sz w:val="20"/>
          <w:lang w:val="en-US"/>
        </w:rPr>
        <w:t>. More specifically, when a UE does not detect an assignment for a particular cell, the UE encodes “</w:t>
      </w:r>
      <w:proofErr w:type="spellStart"/>
      <w:r w:rsidR="00425524">
        <w:rPr>
          <w:sz w:val="20"/>
          <w:lang w:val="en-US"/>
        </w:rPr>
        <w:t>Nack</w:t>
      </w:r>
      <w:proofErr w:type="spellEnd"/>
      <w:r w:rsidR="00425524">
        <w:rPr>
          <w:sz w:val="20"/>
          <w:lang w:val="en-US"/>
        </w:rPr>
        <w:t>” in the corresponding position(s) of the codebook.</w:t>
      </w:r>
      <w:r w:rsidR="00D17C9A">
        <w:rPr>
          <w:sz w:val="20"/>
          <w:lang w:val="en-US"/>
        </w:rPr>
        <w:t xml:space="preserve"> The benefit of this feature is that it naturally ensures that the codebooks assumed by each side (UE and </w:t>
      </w:r>
      <w:proofErr w:type="spellStart"/>
      <w:r w:rsidR="00D17C9A">
        <w:rPr>
          <w:sz w:val="20"/>
          <w:lang w:val="en-US"/>
        </w:rPr>
        <w:t>eNB</w:t>
      </w:r>
      <w:proofErr w:type="spellEnd"/>
      <w:r w:rsidR="00D17C9A">
        <w:rPr>
          <w:sz w:val="20"/>
          <w:lang w:val="en-US"/>
        </w:rPr>
        <w:t xml:space="preserve">) are identical even if some assignments may be </w:t>
      </w:r>
      <w:proofErr w:type="spellStart"/>
      <w:r w:rsidR="00D17C9A">
        <w:rPr>
          <w:sz w:val="20"/>
          <w:lang w:val="en-US"/>
        </w:rPr>
        <w:t>mis</w:t>
      </w:r>
      <w:proofErr w:type="spellEnd"/>
      <w:r w:rsidR="00D17C9A">
        <w:rPr>
          <w:sz w:val="20"/>
          <w:lang w:val="en-US"/>
        </w:rPr>
        <w:t xml:space="preserve">-detected. In addition, there is virtually no cost in terms of required power when the actual number of scheduled carriers is smaller than the number of configured carriers. This is because the receiver can </w:t>
      </w:r>
      <w:r w:rsidR="00405545">
        <w:rPr>
          <w:sz w:val="20"/>
          <w:lang w:val="en-US"/>
        </w:rPr>
        <w:t>effectively utilize</w:t>
      </w:r>
      <w:r w:rsidR="00D17C9A">
        <w:rPr>
          <w:sz w:val="20"/>
          <w:lang w:val="en-US"/>
        </w:rPr>
        <w:t xml:space="preserve"> the knowledge that bits corresponding to non-scheduled carriers will be set to “</w:t>
      </w:r>
      <w:proofErr w:type="spellStart"/>
      <w:r w:rsidR="00D17C9A">
        <w:rPr>
          <w:sz w:val="20"/>
          <w:lang w:val="en-US"/>
        </w:rPr>
        <w:t>Nack</w:t>
      </w:r>
      <w:proofErr w:type="spellEnd"/>
      <w:r w:rsidR="00D17C9A">
        <w:rPr>
          <w:sz w:val="20"/>
          <w:lang w:val="en-US"/>
        </w:rPr>
        <w:t>”</w:t>
      </w:r>
      <w:r w:rsidR="00405545">
        <w:rPr>
          <w:sz w:val="20"/>
          <w:lang w:val="en-US"/>
        </w:rPr>
        <w:t xml:space="preserve"> when the codebook is small </w:t>
      </w:r>
      <w:r w:rsidR="00405545">
        <w:rPr>
          <w:sz w:val="20"/>
          <w:lang w:val="en-US"/>
        </w:rPr>
        <w:fldChar w:fldCharType="begin"/>
      </w:r>
      <w:r w:rsidR="00405545">
        <w:rPr>
          <w:sz w:val="20"/>
          <w:lang w:val="en-US"/>
        </w:rPr>
        <w:instrText xml:space="preserve"> REF _Ref416357072 \r \h </w:instrText>
      </w:r>
      <w:r w:rsidR="00405545">
        <w:rPr>
          <w:sz w:val="20"/>
          <w:lang w:val="en-US"/>
        </w:rPr>
      </w:r>
      <w:r w:rsidR="00405545">
        <w:rPr>
          <w:sz w:val="20"/>
          <w:lang w:val="en-US"/>
        </w:rPr>
        <w:fldChar w:fldCharType="separate"/>
      </w:r>
      <w:r w:rsidR="00405545">
        <w:rPr>
          <w:sz w:val="20"/>
          <w:lang w:val="en-US"/>
        </w:rPr>
        <w:t>[1]</w:t>
      </w:r>
      <w:r w:rsidR="00405545">
        <w:rPr>
          <w:sz w:val="20"/>
          <w:lang w:val="en-US"/>
        </w:rPr>
        <w:fldChar w:fldCharType="end"/>
      </w:r>
      <w:r w:rsidR="00405545">
        <w:rPr>
          <w:sz w:val="20"/>
          <w:lang w:val="en-US"/>
        </w:rPr>
        <w:t>.</w:t>
      </w:r>
    </w:p>
    <w:p w14:paraId="056D4ECB" w14:textId="5B800E03" w:rsidR="00133E20" w:rsidRDefault="00405545" w:rsidP="00B206FF">
      <w:pPr>
        <w:rPr>
          <w:sz w:val="20"/>
          <w:lang w:val="en-US"/>
        </w:rPr>
      </w:pPr>
      <w:r>
        <w:rPr>
          <w:sz w:val="20"/>
          <w:lang w:val="en-US"/>
        </w:rPr>
        <w:t>Another feature introduced in R10 is the indication of the PUCCH resource using an “</w:t>
      </w:r>
      <w:proofErr w:type="spellStart"/>
      <w:r>
        <w:rPr>
          <w:sz w:val="20"/>
          <w:lang w:val="en-US"/>
        </w:rPr>
        <w:t>Ack</w:t>
      </w:r>
      <w:proofErr w:type="spellEnd"/>
      <w:r>
        <w:rPr>
          <w:sz w:val="20"/>
          <w:lang w:val="en-US"/>
        </w:rPr>
        <w:t>/</w:t>
      </w:r>
      <w:proofErr w:type="spellStart"/>
      <w:r>
        <w:rPr>
          <w:sz w:val="20"/>
          <w:lang w:val="en-US"/>
        </w:rPr>
        <w:t>Nack</w:t>
      </w:r>
      <w:proofErr w:type="spellEnd"/>
      <w:r>
        <w:rPr>
          <w:sz w:val="20"/>
          <w:lang w:val="en-US"/>
        </w:rPr>
        <w:t xml:space="preserve"> resource indicator”</w:t>
      </w:r>
      <w:r w:rsidR="00812B11">
        <w:rPr>
          <w:sz w:val="20"/>
          <w:lang w:val="en-US"/>
        </w:rPr>
        <w:t xml:space="preserve"> (ARI). The ARI is a 2-bits field included in assignments for </w:t>
      </w:r>
      <w:proofErr w:type="spellStart"/>
      <w:r w:rsidR="00812B11">
        <w:rPr>
          <w:sz w:val="20"/>
          <w:lang w:val="en-US"/>
        </w:rPr>
        <w:t>Scells</w:t>
      </w:r>
      <w:proofErr w:type="spellEnd"/>
      <w:r w:rsidR="00812B11">
        <w:rPr>
          <w:sz w:val="20"/>
          <w:lang w:val="en-US"/>
        </w:rPr>
        <w:t xml:space="preserve"> (overloading the TPC field) indicating one out of 4 configured resources for PUCCH. </w:t>
      </w:r>
      <w:r w:rsidR="00B57D2D">
        <w:rPr>
          <w:sz w:val="20"/>
          <w:lang w:val="en-US"/>
        </w:rPr>
        <w:t xml:space="preserve">The introduction of ARI maintains good flexibility for the scheduler and efficient resource usage compared to a situation where the UE would be configured with a single PUCCH resource. </w:t>
      </w:r>
      <w:r w:rsidR="00812B11">
        <w:rPr>
          <w:sz w:val="20"/>
          <w:lang w:val="en-US"/>
        </w:rPr>
        <w:t xml:space="preserve">As the same </w:t>
      </w:r>
      <w:r w:rsidR="00B57D2D">
        <w:rPr>
          <w:sz w:val="20"/>
          <w:lang w:val="en-US"/>
        </w:rPr>
        <w:t xml:space="preserve">ARI </w:t>
      </w:r>
      <w:r w:rsidR="00812B11">
        <w:rPr>
          <w:sz w:val="20"/>
          <w:lang w:val="en-US"/>
        </w:rPr>
        <w:t xml:space="preserve">value is indicated in all assignments, </w:t>
      </w:r>
      <w:r w:rsidR="00B57D2D">
        <w:rPr>
          <w:sz w:val="20"/>
          <w:lang w:val="en-US"/>
        </w:rPr>
        <w:t xml:space="preserve">the mechanism is robust to missed PDCCH/E-PDCCH detections unless all </w:t>
      </w:r>
      <w:proofErr w:type="spellStart"/>
      <w:r w:rsidR="00B57D2D">
        <w:rPr>
          <w:sz w:val="20"/>
          <w:lang w:val="en-US"/>
        </w:rPr>
        <w:t>Scell</w:t>
      </w:r>
      <w:proofErr w:type="spellEnd"/>
      <w:r w:rsidR="00B57D2D">
        <w:rPr>
          <w:sz w:val="20"/>
          <w:lang w:val="en-US"/>
        </w:rPr>
        <w:t xml:space="preserve"> assignments are lost, in which case the UE transmit</w:t>
      </w:r>
      <w:r w:rsidR="00E617F0">
        <w:rPr>
          <w:sz w:val="20"/>
          <w:lang w:val="en-US"/>
        </w:rPr>
        <w:t>s</w:t>
      </w:r>
      <w:r w:rsidR="00B57D2D">
        <w:rPr>
          <w:sz w:val="20"/>
          <w:lang w:val="en-US"/>
        </w:rPr>
        <w:t xml:space="preserve"> on the PUCCH resource according to R8 rule.</w:t>
      </w:r>
    </w:p>
    <w:p w14:paraId="50FC93D4" w14:textId="31831C8E" w:rsidR="00B57D2D" w:rsidRPr="00077CF3" w:rsidRDefault="00B57D2D" w:rsidP="00B57D2D">
      <w:pPr>
        <w:pStyle w:val="Heading1"/>
        <w:pBdr>
          <w:top w:val="single" w:sz="12" w:space="5" w:color="auto"/>
        </w:pBdr>
        <w:spacing w:after="120"/>
        <w:rPr>
          <w:sz w:val="32"/>
          <w:lang w:val="en-US"/>
        </w:rPr>
      </w:pPr>
      <w:r>
        <w:rPr>
          <w:sz w:val="32"/>
          <w:lang w:val="en-US"/>
        </w:rPr>
        <w:lastRenderedPageBreak/>
        <w:t>Considerations for large</w:t>
      </w:r>
      <w:r w:rsidR="00660DE3">
        <w:rPr>
          <w:sz w:val="32"/>
          <w:lang w:val="en-US"/>
        </w:rPr>
        <w:t>r</w:t>
      </w:r>
      <w:r>
        <w:rPr>
          <w:sz w:val="32"/>
          <w:lang w:val="en-US"/>
        </w:rPr>
        <w:t xml:space="preserve"> </w:t>
      </w:r>
      <w:r w:rsidR="008F69A7">
        <w:rPr>
          <w:sz w:val="32"/>
          <w:lang w:val="en-US"/>
        </w:rPr>
        <w:t>payload</w:t>
      </w:r>
    </w:p>
    <w:p w14:paraId="0C930FD9" w14:textId="5A0C8C3F" w:rsidR="00416DD1" w:rsidRDefault="00895C1F" w:rsidP="00B206FF">
      <w:pPr>
        <w:rPr>
          <w:sz w:val="20"/>
          <w:lang w:val="en-US"/>
        </w:rPr>
      </w:pPr>
      <w:r>
        <w:rPr>
          <w:sz w:val="20"/>
          <w:lang w:val="en-US"/>
        </w:rPr>
        <w:t xml:space="preserve">To support aggregation of up to 32 carriers, it may be possible to employ HARQ-ACK compression (such as bundling) to maintain UCI payload to a low number. However, where sufficiently high SINR can be available for PUCCH it would be preferable to transmit </w:t>
      </w:r>
      <w:r w:rsidR="00E41C04">
        <w:rPr>
          <w:sz w:val="20"/>
          <w:lang w:val="en-US"/>
        </w:rPr>
        <w:t xml:space="preserve">HARQ-ACK with little or no compression (using a higher capacity PUCCH Format) to avoid performance degradation due to unnecessary retransmissions. Preliminary simulation results </w:t>
      </w:r>
      <w:r w:rsidR="00E41C04">
        <w:rPr>
          <w:sz w:val="20"/>
          <w:lang w:val="en-US"/>
        </w:rPr>
        <w:fldChar w:fldCharType="begin"/>
      </w:r>
      <w:r w:rsidR="00E41C04">
        <w:rPr>
          <w:sz w:val="20"/>
          <w:lang w:val="en-US"/>
        </w:rPr>
        <w:instrText xml:space="preserve"> REF _Ref416359360 \r \h </w:instrText>
      </w:r>
      <w:r w:rsidR="00E41C04">
        <w:rPr>
          <w:sz w:val="20"/>
          <w:lang w:val="en-US"/>
        </w:rPr>
      </w:r>
      <w:r w:rsidR="00E41C04">
        <w:rPr>
          <w:sz w:val="20"/>
          <w:lang w:val="en-US"/>
        </w:rPr>
        <w:fldChar w:fldCharType="separate"/>
      </w:r>
      <w:r w:rsidR="00E41C04">
        <w:rPr>
          <w:sz w:val="20"/>
          <w:lang w:val="en-US"/>
        </w:rPr>
        <w:t>[2]</w:t>
      </w:r>
      <w:r w:rsidR="00E41C04">
        <w:rPr>
          <w:sz w:val="20"/>
          <w:lang w:val="en-US"/>
        </w:rPr>
        <w:fldChar w:fldCharType="end"/>
      </w:r>
      <w:r w:rsidR="00E41C04">
        <w:rPr>
          <w:sz w:val="20"/>
          <w:lang w:val="en-US"/>
        </w:rPr>
        <w:t xml:space="preserve"> suggest that high SINR is indeed possible </w:t>
      </w:r>
      <w:r w:rsidR="00586EF1">
        <w:rPr>
          <w:sz w:val="20"/>
          <w:lang w:val="en-US"/>
        </w:rPr>
        <w:t>for a significant portion of UE’s</w:t>
      </w:r>
      <w:r w:rsidR="00416DD1">
        <w:rPr>
          <w:sz w:val="20"/>
          <w:lang w:val="en-US"/>
        </w:rPr>
        <w:t xml:space="preserve">, e.g. SINR in excess of 5 dB or 25 dB may be available to at least 40% of UEs for PUCCH transmitted to macro cell or small cell (respectively). Based on conservative estimates, such SINR values are expected to allow reliable transmission of at least 40 or 100 bits (respectively) of HARQ-ACK payload. For FDD, a payload of 64 HARQ-ACK bits can support feedback </w:t>
      </w:r>
      <w:r w:rsidR="00F96160">
        <w:rPr>
          <w:sz w:val="20"/>
          <w:lang w:val="en-US"/>
        </w:rPr>
        <w:t>for PDSCH transmitted in 32 carriers without compression.</w:t>
      </w:r>
    </w:p>
    <w:p w14:paraId="69E32C5E" w14:textId="13EA0990" w:rsidR="002532EB" w:rsidRDefault="002532EB" w:rsidP="00B206FF">
      <w:pPr>
        <w:rPr>
          <w:sz w:val="20"/>
          <w:lang w:val="en-US"/>
        </w:rPr>
      </w:pPr>
      <w:r>
        <w:rPr>
          <w:sz w:val="20"/>
          <w:lang w:val="en-US"/>
        </w:rPr>
        <w:t xml:space="preserve">Some issues need to be considered for the support of ~100 bits of payload. </w:t>
      </w:r>
      <w:r w:rsidR="008F69A7">
        <w:rPr>
          <w:sz w:val="20"/>
          <w:lang w:val="en-US"/>
        </w:rPr>
        <w:t>First, s</w:t>
      </w:r>
      <w:r w:rsidR="00716201">
        <w:rPr>
          <w:sz w:val="20"/>
          <w:lang w:val="en-US"/>
        </w:rPr>
        <w:t xml:space="preserve">low codebook adaptation may now incur a more significant power (and interference) penalty compared to a situation where HARQ-ACK would be transmitted only for scheduled carriers. For example, if a convolutional code is used the knowledge that a particular bit should be set to zero would not help decode all the other </w:t>
      </w:r>
      <w:r w:rsidR="008F69A7">
        <w:rPr>
          <w:sz w:val="20"/>
          <w:lang w:val="en-US"/>
        </w:rPr>
        <w:t>bits. If the payload is split in smaller sub-codebooks separately encoded using block codes, it may be possible for the receiver to utilize the knowledge of non-scheduled carriers on a per sub-codebook basis. However, power may still be wasted if HARQ-ACK bits corresponding to non-scheduled carriers are not evenly spread across sub-codebooks.</w:t>
      </w:r>
    </w:p>
    <w:p w14:paraId="636BAB29" w14:textId="196BEA26" w:rsidR="008F69A7" w:rsidRDefault="008F69A7" w:rsidP="00B206FF">
      <w:pPr>
        <w:rPr>
          <w:sz w:val="20"/>
          <w:lang w:val="en-US"/>
        </w:rPr>
      </w:pPr>
      <w:r>
        <w:rPr>
          <w:sz w:val="20"/>
          <w:lang w:val="en-US"/>
        </w:rPr>
        <w:t xml:space="preserve">Another issue is that using a reasonable coding rate, the number of coded </w:t>
      </w:r>
      <w:r w:rsidR="009B1015">
        <w:rPr>
          <w:sz w:val="20"/>
          <w:lang w:val="en-US"/>
        </w:rPr>
        <w:t xml:space="preserve">bits may reach 200 to 300 bits which will inevitably require additional resources compared to PUCCH Format 3. Several design options can be considered for the provision of these resources, such as reducing the spreading in the time domain (or utilizing multiple spreading codes), or increasing the number of RB’s of the PUCCH transmission. Most of these options are likely to significantly reduce the multiplexing capacity compared to PUCCH Format 3. Slow codebook adaptation in this case may mean that a UE scheduled on a subset of carriers under-utilizes a </w:t>
      </w:r>
      <w:r w:rsidR="009F76AF">
        <w:rPr>
          <w:sz w:val="20"/>
          <w:lang w:val="en-US"/>
        </w:rPr>
        <w:t>large amount of PUCCH resources, which is undesirable especially in scenarios where such resources may be scarce, such as a macro carrier.</w:t>
      </w:r>
    </w:p>
    <w:p w14:paraId="5C026C99" w14:textId="597453AD" w:rsidR="000A206B" w:rsidRDefault="000A206B" w:rsidP="00B206FF">
      <w:pPr>
        <w:rPr>
          <w:sz w:val="20"/>
          <w:lang w:val="en-US"/>
        </w:rPr>
      </w:pPr>
      <w:r>
        <w:rPr>
          <w:sz w:val="20"/>
          <w:lang w:val="en-US"/>
        </w:rPr>
        <w:t>Although the above discussion centered on PUCCH, similar considerations would apply when HARQ-ACK is transmitted in PUSCH.</w:t>
      </w:r>
    </w:p>
    <w:p w14:paraId="1851F910" w14:textId="6D448527" w:rsidR="00394328" w:rsidRDefault="00394328" w:rsidP="00B206FF">
      <w:pPr>
        <w:rPr>
          <w:sz w:val="20"/>
          <w:lang w:val="en-US"/>
        </w:rPr>
      </w:pPr>
      <w:r>
        <w:rPr>
          <w:sz w:val="20"/>
          <w:lang w:val="en-US"/>
        </w:rPr>
        <w:lastRenderedPageBreak/>
        <w:t xml:space="preserve">Based on the above considerations, it may be worth </w:t>
      </w:r>
      <w:r w:rsidR="009F76AF">
        <w:rPr>
          <w:sz w:val="20"/>
          <w:lang w:val="en-US"/>
        </w:rPr>
        <w:t xml:space="preserve">supporting a mechanism allowing the selection of a smaller codebook(s) </w:t>
      </w:r>
      <w:r w:rsidR="007D347B">
        <w:rPr>
          <w:sz w:val="20"/>
          <w:lang w:val="en-US"/>
        </w:rPr>
        <w:t xml:space="preserve">and corresponding resource size </w:t>
      </w:r>
      <w:r w:rsidR="00817CD2">
        <w:rPr>
          <w:sz w:val="20"/>
          <w:lang w:val="en-US"/>
        </w:rPr>
        <w:t xml:space="preserve">on a </w:t>
      </w:r>
      <w:proofErr w:type="spellStart"/>
      <w:r w:rsidR="00817CD2">
        <w:rPr>
          <w:sz w:val="20"/>
          <w:lang w:val="en-US"/>
        </w:rPr>
        <w:t>subframe</w:t>
      </w:r>
      <w:proofErr w:type="spellEnd"/>
      <w:r w:rsidR="00817CD2">
        <w:rPr>
          <w:sz w:val="20"/>
          <w:lang w:val="en-US"/>
        </w:rPr>
        <w:t xml:space="preserve"> basis </w:t>
      </w:r>
      <w:r w:rsidR="009F76AF">
        <w:rPr>
          <w:sz w:val="20"/>
          <w:lang w:val="en-US"/>
        </w:rPr>
        <w:t>when the UE is scheduled on a subset of carriers</w:t>
      </w:r>
      <w:r w:rsidR="00D35D71">
        <w:rPr>
          <w:sz w:val="20"/>
          <w:lang w:val="en-US"/>
        </w:rPr>
        <w:t>.</w:t>
      </w:r>
      <w:r w:rsidR="00817CD2">
        <w:rPr>
          <w:sz w:val="20"/>
          <w:lang w:val="en-US"/>
        </w:rPr>
        <w:t xml:space="preserve"> The number of codebooks to be selected from can be studied further.</w:t>
      </w:r>
    </w:p>
    <w:p w14:paraId="091BBDD2" w14:textId="77777777" w:rsidR="0043787B" w:rsidRDefault="009F76AF" w:rsidP="00B206FF">
      <w:pPr>
        <w:rPr>
          <w:b/>
          <w:i/>
          <w:sz w:val="20"/>
          <w:lang w:val="en-US"/>
        </w:rPr>
      </w:pPr>
      <w:r w:rsidRPr="007D347B">
        <w:rPr>
          <w:b/>
          <w:i/>
          <w:sz w:val="20"/>
          <w:lang w:val="en-US"/>
        </w:rPr>
        <w:t xml:space="preserve">Proposal: </w:t>
      </w:r>
      <w:r w:rsidR="00D35D71" w:rsidRPr="007D347B">
        <w:rPr>
          <w:b/>
          <w:i/>
          <w:sz w:val="20"/>
          <w:lang w:val="en-US"/>
        </w:rPr>
        <w:t xml:space="preserve">For aggregation of up to 32 carriers, support dynamic selection </w:t>
      </w:r>
      <w:r w:rsidR="00817CD2" w:rsidRPr="007D347B">
        <w:rPr>
          <w:b/>
          <w:i/>
          <w:sz w:val="20"/>
          <w:lang w:val="en-US"/>
        </w:rPr>
        <w:t>from N HARQ-ACK codebooks</w:t>
      </w:r>
      <w:r w:rsidR="007D347B">
        <w:rPr>
          <w:b/>
          <w:i/>
          <w:sz w:val="20"/>
          <w:lang w:val="en-US"/>
        </w:rPr>
        <w:t xml:space="preserve"> (N&gt;1)</w:t>
      </w:r>
      <w:r w:rsidR="00817CD2" w:rsidRPr="007D347B">
        <w:rPr>
          <w:b/>
          <w:i/>
          <w:sz w:val="20"/>
          <w:lang w:val="en-US"/>
        </w:rPr>
        <w:t>.</w:t>
      </w:r>
    </w:p>
    <w:p w14:paraId="43297A3C" w14:textId="3BEE4052" w:rsidR="009F76AF" w:rsidRPr="0043787B" w:rsidRDefault="0043787B" w:rsidP="00B206FF">
      <w:pPr>
        <w:rPr>
          <w:b/>
          <w:i/>
          <w:sz w:val="20"/>
          <w:lang w:val="en-US"/>
        </w:rPr>
      </w:pPr>
      <w:r>
        <w:rPr>
          <w:sz w:val="20"/>
          <w:lang w:val="en-US"/>
        </w:rPr>
        <w:t xml:space="preserve">Different possible solutions can be envisioned to support this type of mechanism. Since the network has knowledge of the actual scheduled transmissions, </w:t>
      </w:r>
      <w:r w:rsidR="002B7E0D">
        <w:rPr>
          <w:sz w:val="20"/>
          <w:lang w:val="en-US"/>
        </w:rPr>
        <w:t xml:space="preserve">it can provide an indication to the UE in the PDCCH/E-PDCCH. This could be realized without additional overhead by overloading the ARI such that a </w:t>
      </w:r>
      <w:proofErr w:type="spellStart"/>
      <w:r w:rsidR="002B7E0D">
        <w:rPr>
          <w:sz w:val="20"/>
          <w:lang w:val="en-US"/>
        </w:rPr>
        <w:t>codepoint</w:t>
      </w:r>
      <w:proofErr w:type="spellEnd"/>
      <w:r w:rsidR="002B7E0D">
        <w:rPr>
          <w:sz w:val="20"/>
          <w:lang w:val="en-US"/>
        </w:rPr>
        <w:t xml:space="preserve"> indicates not only a resource but also the corresponding codebook. Another possibility would be that the UE identifies the codebook based on the received assignments and indicates it as part of the HARQ-ACK payload to ensure that codebooks are aligned.</w:t>
      </w: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5ABA5085" w14:textId="699A2587" w:rsidR="004E45AE" w:rsidRDefault="00760FE1" w:rsidP="004E45AE">
      <w:pPr>
        <w:rPr>
          <w:sz w:val="20"/>
          <w:lang w:val="en-US" w:eastAsia="sv-SE"/>
        </w:rPr>
      </w:pPr>
      <w:r>
        <w:rPr>
          <w:sz w:val="20"/>
          <w:lang w:val="en-US" w:eastAsia="sv-SE"/>
        </w:rPr>
        <w:t>This contribution discussed transmission of HARQ-ACK feedback on PUCCH and PUSCH for aggregation of up to 32 carriers. The following is proposed:</w:t>
      </w:r>
    </w:p>
    <w:p w14:paraId="06E1B867" w14:textId="77777777" w:rsidR="00760FE1" w:rsidRDefault="00760FE1" w:rsidP="00760FE1">
      <w:pPr>
        <w:rPr>
          <w:b/>
          <w:i/>
          <w:sz w:val="20"/>
          <w:lang w:val="en-US"/>
        </w:rPr>
      </w:pPr>
      <w:r w:rsidRPr="007D347B">
        <w:rPr>
          <w:b/>
          <w:i/>
          <w:sz w:val="20"/>
          <w:lang w:val="en-US"/>
        </w:rPr>
        <w:t>Proposal: For aggregation of up to 32 carriers, support dynamic selection from N HARQ-ACK codebooks</w:t>
      </w:r>
      <w:r>
        <w:rPr>
          <w:b/>
          <w:i/>
          <w:sz w:val="20"/>
          <w:lang w:val="en-US"/>
        </w:rPr>
        <w:t xml:space="preserve"> (N&gt;1)</w:t>
      </w:r>
      <w:r w:rsidRPr="007D347B">
        <w:rPr>
          <w:b/>
          <w:i/>
          <w:sz w:val="20"/>
          <w:lang w:val="en-US"/>
        </w:rPr>
        <w:t>.</w:t>
      </w:r>
    </w:p>
    <w:p w14:paraId="0EF7466D" w14:textId="77777777" w:rsidR="00251B4A" w:rsidRPr="00077CF3" w:rsidRDefault="00251B4A" w:rsidP="00251B4A">
      <w:pPr>
        <w:pStyle w:val="Heading1"/>
        <w:rPr>
          <w:sz w:val="32"/>
          <w:lang w:val="en-US"/>
        </w:rPr>
      </w:pPr>
      <w:r w:rsidRPr="00077CF3">
        <w:rPr>
          <w:sz w:val="32"/>
          <w:lang w:val="en-US"/>
        </w:rPr>
        <w:t>References</w:t>
      </w:r>
    </w:p>
    <w:p w14:paraId="49C3F8E0" w14:textId="1AFCE9BE" w:rsidR="00C500B5" w:rsidRPr="00B57D2D" w:rsidRDefault="00405545" w:rsidP="00FF2E22">
      <w:pPr>
        <w:pStyle w:val="Reference"/>
        <w:rPr>
          <w:rFonts w:eastAsia="Times New Roman"/>
          <w:sz w:val="20"/>
          <w:lang w:val="en-US" w:eastAsia="sv-SE"/>
        </w:rPr>
      </w:pPr>
      <w:bookmarkStart w:id="1" w:name="_Ref416357072"/>
      <w:r>
        <w:rPr>
          <w:sz w:val="20"/>
          <w:lang w:val="en-US"/>
        </w:rPr>
        <w:t>R1-103508, “On ACK/NACK codebook performance for carrier aggregation”, Ericsson, ST-Ericsson.</w:t>
      </w:r>
      <w:bookmarkEnd w:id="1"/>
    </w:p>
    <w:p w14:paraId="5E0BE6CB" w14:textId="4A7D38DF" w:rsidR="00B57D2D" w:rsidRPr="00077CF3" w:rsidRDefault="00B57D2D" w:rsidP="00FF2E22">
      <w:pPr>
        <w:pStyle w:val="Reference"/>
        <w:rPr>
          <w:rFonts w:eastAsia="Times New Roman"/>
          <w:sz w:val="20"/>
          <w:lang w:val="en-US" w:eastAsia="sv-SE"/>
        </w:rPr>
      </w:pPr>
      <w:bookmarkStart w:id="2" w:name="_Ref416359360"/>
      <w:r>
        <w:rPr>
          <w:sz w:val="20"/>
          <w:lang w:val="en-US"/>
        </w:rPr>
        <w:t xml:space="preserve">R1-151689, “Simulation results for SINR distribution of PUCCH”, </w:t>
      </w:r>
      <w:proofErr w:type="spellStart"/>
      <w:r>
        <w:rPr>
          <w:sz w:val="20"/>
          <w:lang w:val="en-US"/>
        </w:rPr>
        <w:t>InterDigital</w:t>
      </w:r>
      <w:proofErr w:type="spellEnd"/>
      <w:r>
        <w:rPr>
          <w:sz w:val="20"/>
          <w:lang w:val="en-US"/>
        </w:rPr>
        <w:t>.</w:t>
      </w:r>
      <w:bookmarkEnd w:id="2"/>
    </w:p>
    <w:sectPr w:rsidR="00B57D2D" w:rsidRPr="00077CF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FFA89" w14:textId="77777777" w:rsidR="00E151C0" w:rsidRDefault="00E151C0">
      <w:r>
        <w:separator/>
      </w:r>
    </w:p>
  </w:endnote>
  <w:endnote w:type="continuationSeparator" w:id="0">
    <w:p w14:paraId="0F7AA39F" w14:textId="77777777" w:rsidR="00E151C0" w:rsidRDefault="00E1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7777777" w:rsidR="003D41C3" w:rsidRDefault="003D41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3C3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3C3F">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A13C3F">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74532" w14:textId="77777777" w:rsidR="00E151C0" w:rsidRDefault="00E151C0">
      <w:r>
        <w:separator/>
      </w:r>
    </w:p>
  </w:footnote>
  <w:footnote w:type="continuationSeparator" w:id="0">
    <w:p w14:paraId="51FD0222" w14:textId="77777777" w:rsidR="00E151C0" w:rsidRDefault="00E15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3D41C3" w:rsidRDefault="003D41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2"/>
  </w:num>
  <w:num w:numId="4">
    <w:abstractNumId w:val="13"/>
  </w:num>
  <w:num w:numId="5">
    <w:abstractNumId w:val="10"/>
  </w:num>
  <w:num w:numId="6">
    <w:abstractNumId w:val="16"/>
  </w:num>
  <w:num w:numId="7">
    <w:abstractNumId w:val="21"/>
  </w:num>
  <w:num w:numId="8">
    <w:abstractNumId w:val="11"/>
  </w:num>
  <w:num w:numId="9">
    <w:abstractNumId w:val="30"/>
  </w:num>
  <w:num w:numId="10">
    <w:abstractNumId w:val="24"/>
  </w:num>
  <w:num w:numId="11">
    <w:abstractNumId w:val="31"/>
  </w:num>
  <w:num w:numId="12">
    <w:abstractNumId w:val="4"/>
  </w:num>
  <w:num w:numId="13">
    <w:abstractNumId w:val="7"/>
  </w:num>
  <w:num w:numId="14">
    <w:abstractNumId w:val="15"/>
  </w:num>
  <w:num w:numId="15">
    <w:abstractNumId w:val="25"/>
  </w:num>
  <w:num w:numId="16">
    <w:abstractNumId w:val="5"/>
  </w:num>
  <w:num w:numId="17">
    <w:abstractNumId w:val="2"/>
  </w:num>
  <w:num w:numId="18">
    <w:abstractNumId w:val="9"/>
  </w:num>
  <w:num w:numId="19">
    <w:abstractNumId w:val="22"/>
  </w:num>
  <w:num w:numId="20">
    <w:abstractNumId w:val="18"/>
  </w:num>
  <w:num w:numId="21">
    <w:abstractNumId w:val="20"/>
  </w:num>
  <w:num w:numId="22">
    <w:abstractNumId w:val="27"/>
  </w:num>
  <w:num w:numId="23">
    <w:abstractNumId w:val="3"/>
  </w:num>
  <w:num w:numId="24">
    <w:abstractNumId w:val="26"/>
  </w:num>
  <w:num w:numId="25">
    <w:abstractNumId w:val="32"/>
  </w:num>
  <w:num w:numId="26">
    <w:abstractNumId w:val="14"/>
  </w:num>
  <w:num w:numId="27">
    <w:abstractNumId w:val="28"/>
  </w:num>
  <w:num w:numId="28">
    <w:abstractNumId w:val="19"/>
  </w:num>
  <w:num w:numId="29">
    <w:abstractNumId w:val="1"/>
  </w:num>
  <w:num w:numId="30">
    <w:abstractNumId w:val="1"/>
  </w:num>
  <w:num w:numId="31">
    <w:abstractNumId w:val="23"/>
  </w:num>
  <w:num w:numId="32">
    <w:abstractNumId w:val="17"/>
  </w:num>
  <w:num w:numId="33">
    <w:abstractNumId w:val="8"/>
  </w:num>
  <w:num w:numId="34">
    <w:abstractNumId w:val="33"/>
  </w:num>
  <w:num w:numId="35">
    <w:abstractNumId w:val="29"/>
  </w:num>
  <w:num w:numId="36">
    <w:abstractNumId w:val="0"/>
  </w:num>
  <w:num w:numId="3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19C"/>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06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3E20"/>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2EB"/>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55D4"/>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B7E0D"/>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328"/>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64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545"/>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1"/>
    <w:rsid w:val="00416DDF"/>
    <w:rsid w:val="00420230"/>
    <w:rsid w:val="00421105"/>
    <w:rsid w:val="00421616"/>
    <w:rsid w:val="0042167F"/>
    <w:rsid w:val="00421F66"/>
    <w:rsid w:val="00422D12"/>
    <w:rsid w:val="004234DB"/>
    <w:rsid w:val="004234E7"/>
    <w:rsid w:val="00423A90"/>
    <w:rsid w:val="004242F4"/>
    <w:rsid w:val="00424A05"/>
    <w:rsid w:val="00425524"/>
    <w:rsid w:val="00425A2C"/>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3787B"/>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4D51"/>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5C6A"/>
    <w:rsid w:val="00586023"/>
    <w:rsid w:val="0058638E"/>
    <w:rsid w:val="00586451"/>
    <w:rsid w:val="00586EF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54B2"/>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15294"/>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0DE3"/>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201"/>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0FE1"/>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47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11"/>
    <w:rsid w:val="00812B68"/>
    <w:rsid w:val="0081333C"/>
    <w:rsid w:val="00814AD5"/>
    <w:rsid w:val="00814F7B"/>
    <w:rsid w:val="00815681"/>
    <w:rsid w:val="008156D5"/>
    <w:rsid w:val="008158D6"/>
    <w:rsid w:val="00815979"/>
    <w:rsid w:val="00817196"/>
    <w:rsid w:val="0081757C"/>
    <w:rsid w:val="00817CD2"/>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5C1F"/>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9A7"/>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97C"/>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1015"/>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5CCE"/>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6AF"/>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C3F"/>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DF8"/>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2D"/>
    <w:rsid w:val="00B57D49"/>
    <w:rsid w:val="00B57FF9"/>
    <w:rsid w:val="00B60BB3"/>
    <w:rsid w:val="00B62BEF"/>
    <w:rsid w:val="00B63B96"/>
    <w:rsid w:val="00B63CEF"/>
    <w:rsid w:val="00B64A5E"/>
    <w:rsid w:val="00B66456"/>
    <w:rsid w:val="00B664C7"/>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7C9A"/>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5D71"/>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FA2"/>
    <w:rsid w:val="00E20025"/>
    <w:rsid w:val="00E20482"/>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1C04"/>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7F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D65"/>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D79A3"/>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160"/>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2E22"/>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BDCDA4E-E5F9-4D1B-A185-BE003CE930E0}">
  <ds:schemaRefs>
    <ds:schemaRef ds:uri="http://schemas.microsoft.com/office/2006/documentManagement/types"/>
    <ds:schemaRef ds:uri="http://purl.org/dc/terms/"/>
    <ds:schemaRef ds:uri="http://purl.org/dc/elements/1.1/"/>
    <ds:schemaRef ds:uri="http://www.w3.org/XML/1998/namespace"/>
    <ds:schemaRef ds:uri="http://purl.org/dc/dcmitype/"/>
    <ds:schemaRef ds:uri="a98b0458-14e1-4e1f-a9ed-8418c6586003"/>
    <ds:schemaRef ds:uri="http://schemas.openxmlformats.org/package/2006/metadata/core-properties"/>
    <ds:schemaRef ds:uri="1a6b509d-2589-4a83-a0a0-28d3825bdbf3"/>
    <ds:schemaRef ds:uri="http://schemas.microsoft.com/office/2006/metadata/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66984AF3-EA5E-4A82-B857-764514904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2</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7634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2</cp:revision>
  <cp:lastPrinted>2014-08-07T20:35:00Z</cp:lastPrinted>
  <dcterms:created xsi:type="dcterms:W3CDTF">2015-04-10T15:55:00Z</dcterms:created>
  <dcterms:modified xsi:type="dcterms:W3CDTF">2015-04-10T15:55:00Z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