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69ED5" w14:textId="53D5D9ED" w:rsidR="00B67E6C" w:rsidRPr="004F7D4C" w:rsidRDefault="00D31D2F" w:rsidP="00B67E6C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Meeting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</w:t>
      </w:r>
      <w:r w:rsidR="005E4540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</w:t>
      </w:r>
      <w:r w:rsidR="00973821">
        <w:rPr>
          <w:rFonts w:ascii="Arial" w:eastAsia="Times New Roman" w:hAnsi="Arial" w:cs="Arial"/>
          <w:b/>
          <w:bCs/>
          <w:noProof/>
          <w:szCs w:val="18"/>
          <w:lang w:eastAsia="zh-CN"/>
        </w:rPr>
        <w:t>R1-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>15</w:t>
      </w:r>
      <w:r w:rsidR="001527C5">
        <w:rPr>
          <w:rFonts w:ascii="Arial" w:eastAsia="Times New Roman" w:hAnsi="Arial" w:cs="Arial"/>
          <w:b/>
          <w:bCs/>
          <w:noProof/>
          <w:szCs w:val="18"/>
          <w:lang w:eastAsia="zh-CN"/>
        </w:rPr>
        <w:t>1801</w:t>
      </w:r>
    </w:p>
    <w:p w14:paraId="14169ED6" w14:textId="77777777" w:rsidR="00B67E6C" w:rsidRPr="00A81A0C" w:rsidRDefault="005E4540" w:rsidP="00B67E6C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Belgrade</w:t>
      </w:r>
      <w:r w:rsidR="00B67E6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Serbia</w:t>
      </w:r>
      <w:r w:rsidR="00D1140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>2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0</w:t>
      </w:r>
      <w:r w:rsidR="00A81A0C"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D1140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 w:rsidR="002E5646">
        <w:rPr>
          <w:rFonts w:ascii="Arial" w:eastAsia="Times New Roman" w:hAnsi="Arial" w:cs="Arial"/>
          <w:b/>
          <w:bCs/>
          <w:noProof/>
          <w:szCs w:val="18"/>
          <w:lang w:eastAsia="zh-CN"/>
        </w:rPr>
        <w:t>2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4</w:t>
      </w:r>
      <w:r w:rsidR="00D31D2F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B67E6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</w:t>
      </w:r>
      <w:r w:rsidR="00B67E6C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 w:rsidR="00D31D2F"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14:paraId="14169ED7" w14:textId="77777777" w:rsidR="00D1140C" w:rsidRDefault="00D1140C" w:rsidP="00B67E6C">
      <w:pPr>
        <w:pStyle w:val="TdocHeader2"/>
        <w:rPr>
          <w:sz w:val="20"/>
          <w:lang w:val="en-US"/>
        </w:rPr>
      </w:pPr>
    </w:p>
    <w:p w14:paraId="14169ED8" w14:textId="77777777"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14169ED9" w14:textId="77777777"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7E303F">
        <w:rPr>
          <w:sz w:val="20"/>
          <w:lang w:val="en-US"/>
        </w:rPr>
        <w:t>PUCCH resource</w:t>
      </w:r>
      <w:r w:rsidR="007926B6">
        <w:rPr>
          <w:sz w:val="20"/>
          <w:lang w:val="en-US"/>
        </w:rPr>
        <w:t xml:space="preserve"> allocation for </w:t>
      </w:r>
      <w:r w:rsidR="007E303F">
        <w:rPr>
          <w:sz w:val="20"/>
          <w:lang w:val="en-US"/>
        </w:rPr>
        <w:t>HARQ-ACK</w:t>
      </w:r>
    </w:p>
    <w:p w14:paraId="14169EDA" w14:textId="77777777"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E4540">
        <w:rPr>
          <w:sz w:val="20"/>
          <w:lang w:val="en-US"/>
        </w:rPr>
        <w:t>7.2.</w:t>
      </w:r>
      <w:r w:rsidR="002E5646">
        <w:rPr>
          <w:sz w:val="20"/>
          <w:lang w:val="en-US"/>
        </w:rPr>
        <w:t>2.2</w:t>
      </w:r>
      <w:r w:rsidR="005E4540">
        <w:rPr>
          <w:sz w:val="20"/>
          <w:lang w:val="en-US"/>
        </w:rPr>
        <w:t>.2</w:t>
      </w:r>
    </w:p>
    <w:p w14:paraId="14169EDB" w14:textId="77777777"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14:paraId="14169EDC" w14:textId="77777777" w:rsidR="00B67E6C" w:rsidRDefault="00B67E6C" w:rsidP="00B67E6C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14169EDD" w14:textId="77777777" w:rsidR="00E71A58" w:rsidRPr="00E16CD2" w:rsidRDefault="005E4540" w:rsidP="00685DE3">
      <w:pPr>
        <w:rPr>
          <w:lang w:val="en-US"/>
        </w:rPr>
      </w:pPr>
      <w:r>
        <w:t>A new WI was agreed at RAN #66 plenary meeting to support LTE carrier aggregation beyond 5 carriers</w:t>
      </w:r>
      <w:r w:rsidR="000323DE">
        <w:t xml:space="preserve"> </w:t>
      </w:r>
      <w:r w:rsidR="000323DE">
        <w:fldChar w:fldCharType="begin"/>
      </w:r>
      <w:r w:rsidR="000323DE">
        <w:instrText xml:space="preserve"> REF _Ref415666081 \r \h </w:instrText>
      </w:r>
      <w:r w:rsidR="000323DE">
        <w:fldChar w:fldCharType="separate"/>
      </w:r>
      <w:r w:rsidR="000323DE">
        <w:t>[1]</w:t>
      </w:r>
      <w:r w:rsidR="000323DE">
        <w:fldChar w:fldCharType="end"/>
      </w:r>
      <w:r>
        <w:t>. In this contribution, we discuss</w:t>
      </w:r>
      <w:r w:rsidR="00E16CD2">
        <w:t xml:space="preserve"> </w:t>
      </w:r>
      <w:r w:rsidR="007926B6">
        <w:t xml:space="preserve">formats and resource allocation for DL HARQ-ACK transmission in UL to support </w:t>
      </w:r>
      <w:r w:rsidR="00E16CD2" w:rsidRPr="00E16CD2">
        <w:t xml:space="preserve">up to 32 DL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14:paraId="14169EDE" w14:textId="77777777" w:rsidR="00E16CD2" w:rsidRPr="00E16CD2" w:rsidRDefault="00070520" w:rsidP="00E16CD2">
      <w:pPr>
        <w:pStyle w:val="Heading1"/>
      </w:pPr>
      <w:r>
        <w:t>D</w:t>
      </w:r>
      <w:r w:rsidR="00436735">
        <w:t>iscussion</w:t>
      </w:r>
    </w:p>
    <w:p w14:paraId="14169EDF" w14:textId="77777777" w:rsidR="00F42AEE" w:rsidRDefault="00E0318E" w:rsidP="00E0318E">
      <w:pPr>
        <w:pStyle w:val="Heading2"/>
      </w:pPr>
      <w:r>
        <w:t>HARQ-ACK codebook size</w:t>
      </w:r>
    </w:p>
    <w:p w14:paraId="14169EE0" w14:textId="2E5A7CC2" w:rsidR="001773AC" w:rsidRDefault="00EC79F1" w:rsidP="001773AC">
      <w:r w:rsidRPr="00EC79F1">
        <w:t>In general, the exact relat</w:t>
      </w:r>
      <w:r>
        <w:t>ionship between the number of HARQ-ACK</w:t>
      </w:r>
      <w:r w:rsidRPr="00EC79F1">
        <w:t xml:space="preserve"> bits and the transmitted signals can be referred to as the encoding codebook of a CA PUCCH scheme. It is evident that the codebook needs to be synchronized between the UE and the </w:t>
      </w:r>
      <w:proofErr w:type="spellStart"/>
      <w:r w:rsidRPr="00EC79F1">
        <w:t>eNB</w:t>
      </w:r>
      <w:proofErr w:type="spellEnd"/>
      <w:r w:rsidRPr="00EC79F1">
        <w:t xml:space="preserve"> for the </w:t>
      </w:r>
      <w:r>
        <w:t>HARQ-ACK</w:t>
      </w:r>
      <w:r w:rsidRPr="00EC79F1">
        <w:t xml:space="preserve"> feedback signal to be correctly </w:t>
      </w:r>
      <w:r w:rsidR="00AD49A2">
        <w:t>understood</w:t>
      </w:r>
      <w:r w:rsidR="00C567A5">
        <w:t xml:space="preserve"> and </w:t>
      </w:r>
      <w:r w:rsidR="00C567A5" w:rsidRPr="00EC79F1">
        <w:t>processed</w:t>
      </w:r>
      <w:r w:rsidR="00AD49A2">
        <w:t xml:space="preserve"> </w:t>
      </w:r>
      <w:r w:rsidRPr="00EC79F1">
        <w:t>on both sides.</w:t>
      </w:r>
      <w:r w:rsidR="00CF4480">
        <w:t xml:space="preserve"> </w:t>
      </w:r>
      <w:r w:rsidR="00643C6F">
        <w:t>Basically, there are three different codebook adaptations:</w:t>
      </w:r>
    </w:p>
    <w:p w14:paraId="14169EE1" w14:textId="77777777" w:rsidR="00643C6F" w:rsidRDefault="00643C6F" w:rsidP="00643C6F">
      <w:pPr>
        <w:pStyle w:val="BodyText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Codebook adapted to the number of detected (E)PDCCHs</w:t>
      </w:r>
    </w:p>
    <w:p w14:paraId="14169EE2" w14:textId="77777777" w:rsidR="00643C6F" w:rsidRDefault="00643C6F" w:rsidP="00643C6F">
      <w:pPr>
        <w:pStyle w:val="BodyText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Codebook adapted to the number of activated CCs</w:t>
      </w:r>
    </w:p>
    <w:p w14:paraId="14169EE3" w14:textId="77777777" w:rsidR="00643C6F" w:rsidRDefault="00643C6F" w:rsidP="00643C6F">
      <w:pPr>
        <w:pStyle w:val="BodyText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Codebook adapted to the number of configured CCs</w:t>
      </w:r>
    </w:p>
    <w:p w14:paraId="14169EE4" w14:textId="77777777" w:rsidR="00643C6F" w:rsidRDefault="00643C6F" w:rsidP="00643C6F">
      <w:pPr>
        <w:pStyle w:val="BodyText"/>
      </w:pPr>
      <w:r>
        <w:t xml:space="preserve">The pros and cons of three mechanisms have been discussed in </w:t>
      </w:r>
      <w:r>
        <w:fldChar w:fldCharType="begin"/>
      </w:r>
      <w:r>
        <w:instrText xml:space="preserve"> REF _Ref416012170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</w:p>
    <w:p w14:paraId="14169EE5" w14:textId="77777777" w:rsidR="00643C6F" w:rsidRDefault="00643C6F" w:rsidP="00643C6F">
      <w:pPr>
        <w:pStyle w:val="BodyText"/>
      </w:pPr>
      <w:r>
        <w:t>The first option is clearly problematic since the UE may miss detecting (E</w:t>
      </w:r>
      <w:proofErr w:type="gramStart"/>
      <w:r>
        <w:t>)PDCCHs</w:t>
      </w:r>
      <w:proofErr w:type="gramEnd"/>
      <w:r>
        <w:t xml:space="preserve"> from the </w:t>
      </w:r>
      <w:proofErr w:type="spellStart"/>
      <w:r>
        <w:t>eNB</w:t>
      </w:r>
      <w:proofErr w:type="spellEnd"/>
      <w:r>
        <w:t>, which immediately leads to divergence of codebooks assumed by the two sides. HARQ operations and status can thus be corrupted rather frequently.</w:t>
      </w:r>
    </w:p>
    <w:p w14:paraId="14169EE6" w14:textId="77777777" w:rsidR="00643C6F" w:rsidRDefault="00643C6F" w:rsidP="00643C6F">
      <w:pPr>
        <w:pStyle w:val="BodyText"/>
      </w:pPr>
      <w:r>
        <w:t>The second option provides improved stability and reliability over the first in the period between a</w:t>
      </w:r>
      <w:r w:rsidRPr="00BB2D3E">
        <w:t>ctivation and de-activation of CC</w:t>
      </w:r>
      <w:r>
        <w:t>s. HARQ-ACK bit fields corresponding to CCs with no detected (E)PDCCHs are set to 0 (NAK) by the UE. The a</w:t>
      </w:r>
      <w:r w:rsidRPr="00BB2D3E">
        <w:t>ctivation and de-activation of CC is performed via MAC control elements</w:t>
      </w:r>
      <w:r>
        <w:t xml:space="preserve">. </w:t>
      </w:r>
      <w:r w:rsidRPr="00BB2D3E">
        <w:t xml:space="preserve">Due to HARQ feedback errors in the </w:t>
      </w:r>
      <w:r>
        <w:t>(de)-</w:t>
      </w:r>
      <w:r w:rsidRPr="00BB2D3E">
        <w:t>activation message</w:t>
      </w:r>
      <w:r>
        <w:t>,</w:t>
      </w:r>
      <w:r w:rsidRPr="00BB2D3E">
        <w:t xml:space="preserve"> this signal</w:t>
      </w:r>
      <w:r>
        <w:t>l</w:t>
      </w:r>
      <w:r w:rsidRPr="00BB2D3E">
        <w:t xml:space="preserve">ing is not very reliable. </w:t>
      </w:r>
      <w:r>
        <w:t>In addition, CCs can also be autonomously and hence unilaterally de-activated by the UE based on UE-side timers. Therefore, b</w:t>
      </w:r>
      <w:r w:rsidRPr="00BB2D3E">
        <w:t>asing the codebook adaptatio</w:t>
      </w:r>
      <w:r>
        <w:t xml:space="preserve">n on the CC activation state could be </w:t>
      </w:r>
      <w:r w:rsidRPr="00BB2D3E">
        <w:t>error prone</w:t>
      </w:r>
      <w:r>
        <w:t>.</w:t>
      </w:r>
    </w:p>
    <w:p w14:paraId="14169EE7" w14:textId="6070DB2B" w:rsidR="00643C6F" w:rsidRDefault="00643C6F" w:rsidP="00643C6F">
      <w:pPr>
        <w:pStyle w:val="BodyText"/>
        <w:overflowPunct/>
        <w:autoSpaceDE/>
        <w:autoSpaceDN/>
        <w:adjustRightInd/>
        <w:textAlignment w:val="auto"/>
      </w:pPr>
      <w:r>
        <w:t xml:space="preserve">The third option is a slow codebook adaptation and seems to be less efficient and have worse link performance than first two options at first glance. However, it has been shown in </w:t>
      </w:r>
      <w:r>
        <w:fldChar w:fldCharType="begin"/>
      </w:r>
      <w:r>
        <w:instrText xml:space="preserve"> REF _Ref416012170 \r \h </w:instrText>
      </w:r>
      <w:r>
        <w:fldChar w:fldCharType="separate"/>
      </w:r>
      <w:r>
        <w:t>[2]</w:t>
      </w:r>
      <w:r>
        <w:fldChar w:fldCharType="end"/>
      </w:r>
      <w:r>
        <w:t xml:space="preserve"> that it has similar link performance as</w:t>
      </w:r>
      <w:r w:rsidR="00AD49A2">
        <w:t xml:space="preserve"> the first option</w:t>
      </w:r>
      <w:r w:rsidRPr="00AD49A2">
        <w:t xml:space="preserve"> </w:t>
      </w:r>
      <w:r>
        <w:t xml:space="preserve">with smart </w:t>
      </w:r>
      <w:proofErr w:type="spellStart"/>
      <w:r>
        <w:t>eNB</w:t>
      </w:r>
      <w:proofErr w:type="spellEnd"/>
      <w:r>
        <w:t xml:space="preserve"> decoding based on the fact that </w:t>
      </w:r>
      <w:proofErr w:type="spellStart"/>
      <w:r>
        <w:t>eNB</w:t>
      </w:r>
      <w:proofErr w:type="spellEnd"/>
      <w:r>
        <w:t xml:space="preserve"> is aware of the scheduled and non-scheduled carriers. Therefore, it was agreed to be adopted in Rel-10.</w:t>
      </w:r>
    </w:p>
    <w:p w14:paraId="14169EE8" w14:textId="37C2D9B7" w:rsidR="00AB56F8" w:rsidRDefault="00643C6F" w:rsidP="00643C6F">
      <w:pPr>
        <w:pStyle w:val="BodyText"/>
        <w:overflowPunct/>
        <w:autoSpaceDE/>
        <w:autoSpaceDN/>
        <w:adjustRightInd/>
        <w:textAlignment w:val="auto"/>
      </w:pPr>
      <w:r>
        <w:t xml:space="preserve">With increased number of carriers to be supported in Rel-13, there is a discussion on </w:t>
      </w:r>
      <w:r w:rsidR="00990B9B">
        <w:t xml:space="preserve">the codebook adaptation for the new PUCCH format </w:t>
      </w:r>
      <w:r w:rsidR="0073734A">
        <w:t>to</w:t>
      </w:r>
      <w:r w:rsidR="00990B9B">
        <w:t xml:space="preserve"> support up to 32 DL carriers aggregation. One question raised</w:t>
      </w:r>
      <w:r w:rsidR="008A29AE">
        <w:t xml:space="preserve"> </w:t>
      </w:r>
      <w:r w:rsidR="00990B9B">
        <w:t xml:space="preserve">is </w:t>
      </w:r>
      <w:r>
        <w:t xml:space="preserve">whether </w:t>
      </w:r>
      <w:r w:rsidR="00990B9B">
        <w:t xml:space="preserve">or not </w:t>
      </w:r>
      <w:r>
        <w:t>to r</w:t>
      </w:r>
      <w:r w:rsidRPr="00CF4480">
        <w:t>educ</w:t>
      </w:r>
      <w:r>
        <w:t>e</w:t>
      </w:r>
      <w:r w:rsidRPr="00CF4480">
        <w:t xml:space="preserve"> the number of HARQ-ACK feedback bits associated with non-scheduled </w:t>
      </w:r>
      <w:r>
        <w:t xml:space="preserve">and/or non-activated </w:t>
      </w:r>
      <w:r w:rsidRPr="00CF4480">
        <w:t>serving cells</w:t>
      </w:r>
      <w:r>
        <w:t>.</w:t>
      </w:r>
      <w:r w:rsidR="0073734A">
        <w:t xml:space="preserve"> In our view, the codebook adaptation should be </w:t>
      </w:r>
      <w:r w:rsidR="008460EB">
        <w:t>considered together with the new PUCCH format solution. If multiple PUCCH format 3</w:t>
      </w:r>
      <w:r w:rsidR="00640C91">
        <w:t xml:space="preserve">, i.e., using PUCCH format 3 on multiple PRBs and/or using PUCCH format 3 with multiple OCCs, </w:t>
      </w:r>
      <w:r w:rsidR="00473E1A">
        <w:t>is adopted</w:t>
      </w:r>
      <w:r w:rsidR="008460EB">
        <w:t xml:space="preserve"> as the new PUCCH format</w:t>
      </w:r>
      <w:r w:rsidR="00473E1A">
        <w:t xml:space="preserve"> solution</w:t>
      </w:r>
      <w:r w:rsidR="008460EB">
        <w:t>, apply</w:t>
      </w:r>
      <w:r w:rsidR="00745AA5">
        <w:t>ing</w:t>
      </w:r>
      <w:r w:rsidR="008460EB">
        <w:t xml:space="preserve"> fast codebook adaptation </w:t>
      </w:r>
      <w:r w:rsidR="00745AA5">
        <w:t>can adjust</w:t>
      </w:r>
      <w:r w:rsidR="008460EB">
        <w:t xml:space="preserve"> the PUCCH resources consumed by the UE dynamically</w:t>
      </w:r>
      <w:r w:rsidR="00745AA5">
        <w:t xml:space="preserve"> and hence potentially better utilize PUCCH resources</w:t>
      </w:r>
      <w:r w:rsidR="008460EB">
        <w:t>.</w:t>
      </w:r>
      <w:r w:rsidR="00473E1A">
        <w:t xml:space="preserve"> </w:t>
      </w:r>
      <w:r w:rsidR="00CE3A83">
        <w:t xml:space="preserve">But this approach is less robust than slow codebook adaptation as discussed above and multiple PUCCH </w:t>
      </w:r>
      <w:proofErr w:type="gramStart"/>
      <w:r w:rsidR="00CE3A83">
        <w:lastRenderedPageBreak/>
        <w:t>format</w:t>
      </w:r>
      <w:proofErr w:type="gramEnd"/>
      <w:r w:rsidR="00CE3A83">
        <w:t xml:space="preserve"> 3 can increase the Cubic Metric as discussed in our companion paper </w:t>
      </w:r>
      <w:r w:rsidR="00CE3A83">
        <w:fldChar w:fldCharType="begin"/>
      </w:r>
      <w:r w:rsidR="00CE3A83">
        <w:instrText xml:space="preserve"> REF _Ref416031525 \r \h </w:instrText>
      </w:r>
      <w:r w:rsidR="00CE3A83">
        <w:fldChar w:fldCharType="separate"/>
      </w:r>
      <w:r w:rsidR="00CE3A83">
        <w:t>[3]</w:t>
      </w:r>
      <w:r w:rsidR="00CE3A83">
        <w:fldChar w:fldCharType="end"/>
      </w:r>
      <w:r w:rsidR="00CE3A83">
        <w:t xml:space="preserve">. </w:t>
      </w:r>
      <w:r w:rsidR="00473E1A">
        <w:t>On the other hand, if the PUSCH-like design</w:t>
      </w:r>
      <w:r w:rsidR="006A22D1">
        <w:t>, i.e., reuse PUSCH structure for PUCCH transmission,</w:t>
      </w:r>
      <w:r w:rsidR="00473E1A">
        <w:t xml:space="preserve"> is adopted as the new PUCCH </w:t>
      </w:r>
      <w:r w:rsidR="00AB56F8">
        <w:t xml:space="preserve">format solution, it </w:t>
      </w:r>
      <w:r w:rsidR="00CE3A83">
        <w:t>will</w:t>
      </w:r>
      <w:r w:rsidR="00AB56F8">
        <w:t xml:space="preserve"> occupy one</w:t>
      </w:r>
      <w:r w:rsidR="00745AA5">
        <w:t xml:space="preserve"> or more</w:t>
      </w:r>
      <w:r w:rsidR="00AB56F8">
        <w:t xml:space="preserve"> PRB</w:t>
      </w:r>
      <w:r w:rsidR="00745AA5">
        <w:t>s</w:t>
      </w:r>
      <w:r w:rsidR="00AB56F8">
        <w:t xml:space="preserve"> without multiplexing capability. In this case, slow codebook adaptation can be utilized </w:t>
      </w:r>
      <w:r w:rsidR="00CE3A83">
        <w:t xml:space="preserve">to achieve </w:t>
      </w:r>
      <w:r w:rsidR="00AB56F8">
        <w:t xml:space="preserve">better robustness. The smart decoding at </w:t>
      </w:r>
      <w:proofErr w:type="spellStart"/>
      <w:r w:rsidR="00AB56F8">
        <w:t>eNB</w:t>
      </w:r>
      <w:proofErr w:type="spellEnd"/>
      <w:r w:rsidR="00AB56F8">
        <w:t xml:space="preserve"> can improve link performance when the HARQ-ACK feedback is based on the configured carriers. </w:t>
      </w:r>
      <w:r w:rsidR="00B63F0D">
        <w:t>The only aspect to be considered is that</w:t>
      </w:r>
      <w:r w:rsidR="00AB56F8">
        <w:t xml:space="preserve"> the PUCCH capacity might be limited </w:t>
      </w:r>
      <w:r w:rsidR="00745AA5">
        <w:t>for some cases due to this approach</w:t>
      </w:r>
      <w:r w:rsidR="00AB56F8">
        <w:t>. In summary, there is a trade-off between robustness and capacity</w:t>
      </w:r>
      <w:r w:rsidR="00745AA5">
        <w:t xml:space="preserve"> when designing the new PUCCH format and codebook adaptation. In our view, ro</w:t>
      </w:r>
      <w:r w:rsidR="00E21F73">
        <w:t>bustness should be prioritized as otherwise HARQ operation could be corrupted and hence degrade system performance.</w:t>
      </w:r>
    </w:p>
    <w:p w14:paraId="14169EE9" w14:textId="77777777" w:rsidR="00AB56F8" w:rsidRPr="00AB56F8" w:rsidRDefault="00CE3A83" w:rsidP="00643C6F">
      <w:pPr>
        <w:pStyle w:val="BodyText"/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Proposal</w:t>
      </w:r>
      <w:r w:rsidR="00AB56F8" w:rsidRPr="00AB56F8">
        <w:rPr>
          <w:b/>
        </w:rPr>
        <w:t>:</w:t>
      </w:r>
    </w:p>
    <w:p w14:paraId="14169EEB" w14:textId="203D4E64" w:rsidR="00AB56F8" w:rsidRDefault="00AB56F8" w:rsidP="00B70C38">
      <w:pPr>
        <w:pStyle w:val="BodyText"/>
        <w:numPr>
          <w:ilvl w:val="0"/>
          <w:numId w:val="23"/>
        </w:numPr>
        <w:overflowPunct/>
        <w:autoSpaceDE/>
        <w:autoSpaceDN/>
        <w:adjustRightInd/>
        <w:textAlignment w:val="auto"/>
      </w:pPr>
      <w:commentRangeStart w:id="5"/>
      <w:r>
        <w:t>The codebook adaptation should be considered together with the new PUCCH format solution</w:t>
      </w:r>
      <w:r w:rsidR="00611186">
        <w:t xml:space="preserve"> because t</w:t>
      </w:r>
      <w:commentRangeEnd w:id="5"/>
      <w:r>
        <w:t>here is a trade-off between robustness and capacity.</w:t>
      </w:r>
    </w:p>
    <w:p w14:paraId="40D6018A" w14:textId="6D05E365" w:rsidR="00611186" w:rsidRPr="001773AC" w:rsidRDefault="00611186" w:rsidP="00B70C38">
      <w:pPr>
        <w:pStyle w:val="BodyText"/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>Robustness should be prioritized in the design.</w:t>
      </w:r>
    </w:p>
    <w:p w14:paraId="14169EEC" w14:textId="77777777" w:rsidR="001249AA" w:rsidRPr="001249AA" w:rsidRDefault="00CE3A83" w:rsidP="001249AA">
      <w:pPr>
        <w:pStyle w:val="Heading2"/>
      </w:pPr>
      <w:proofErr w:type="spellStart"/>
      <w:r>
        <w:t>F</w:t>
      </w:r>
      <w:r w:rsidR="001249AA">
        <w:t>allback</w:t>
      </w:r>
      <w:proofErr w:type="spellEnd"/>
      <w:r w:rsidR="001249AA">
        <w:t xml:space="preserve"> operation</w:t>
      </w:r>
    </w:p>
    <w:p w14:paraId="14169EED" w14:textId="77777777" w:rsidR="001249AA" w:rsidRDefault="001249AA" w:rsidP="001249AA">
      <w:pPr>
        <w:pStyle w:val="BodyText"/>
      </w:pPr>
      <w:r>
        <w:t xml:space="preserve">In Rel-10, a </w:t>
      </w:r>
      <w:r w:rsidR="001773AC">
        <w:t>UE</w:t>
      </w:r>
      <w:r>
        <w:t xml:space="preserve"> only scheduled on the DL component carrier associated with the UL component carrier used for PUCCH (i.e. </w:t>
      </w:r>
      <w:proofErr w:type="spellStart"/>
      <w:r>
        <w:t>PCell</w:t>
      </w:r>
      <w:proofErr w:type="spellEnd"/>
      <w:r>
        <w:t>) has a according to Rel-8 rules a PUCCH resources reserved on this carrier</w:t>
      </w:r>
      <w:r w:rsidR="009629EB">
        <w:t>, i.e. PUCCH format 3 and PUCCH form</w:t>
      </w:r>
      <w:r w:rsidR="001773AC">
        <w:t xml:space="preserve">at 1b with channel selection </w:t>
      </w:r>
      <w:proofErr w:type="spellStart"/>
      <w:r w:rsidR="001773AC">
        <w:t>fallback</w:t>
      </w:r>
      <w:proofErr w:type="spellEnd"/>
      <w:r w:rsidR="009629EB">
        <w:t xml:space="preserve"> to PUCCH format 1a/1b</w:t>
      </w:r>
      <w:r w:rsidR="001773AC">
        <w:t xml:space="preserve"> if PDSCH</w:t>
      </w:r>
      <w:r w:rsidR="009629EB">
        <w:t xml:space="preserve"> is </w:t>
      </w:r>
      <w:r w:rsidR="001773AC">
        <w:t xml:space="preserve">only </w:t>
      </w:r>
      <w:r w:rsidR="009629EB">
        <w:t>scheduled</w:t>
      </w:r>
      <w:r w:rsidR="001773AC">
        <w:t xml:space="preserve"> on </w:t>
      </w:r>
      <w:proofErr w:type="spellStart"/>
      <w:r w:rsidR="001773AC">
        <w:t>PCell</w:t>
      </w:r>
      <w:proofErr w:type="spellEnd"/>
      <w:r>
        <w:t>.</w:t>
      </w:r>
      <w:r w:rsidR="00640C91">
        <w:t xml:space="preserve"> </w:t>
      </w:r>
    </w:p>
    <w:p w14:paraId="14169EEE" w14:textId="3C8ED14E" w:rsidR="003A5AA2" w:rsidRDefault="00DC6757" w:rsidP="001249AA">
      <w:pPr>
        <w:pStyle w:val="BodyText"/>
      </w:pPr>
      <w:r>
        <w:t xml:space="preserve">In Rel-13, new PUCCH format </w:t>
      </w:r>
      <w:r w:rsidR="00C66BF3">
        <w:t xml:space="preserve">will be introduced </w:t>
      </w:r>
      <w:r w:rsidR="001773AC">
        <w:t xml:space="preserve">to support up to 32 carriers because PUCCH format 3 only supports up to 22 bits. </w:t>
      </w:r>
      <w:r w:rsidR="001249AA">
        <w:t xml:space="preserve">In case a </w:t>
      </w:r>
      <w:r w:rsidR="001773AC">
        <w:t>UE is scheduled on more than 5</w:t>
      </w:r>
      <w:r w:rsidR="001249AA">
        <w:t xml:space="preserve"> DL component carriers</w:t>
      </w:r>
      <w:r w:rsidR="001773AC">
        <w:t>,</w:t>
      </w:r>
      <w:r w:rsidR="001249AA">
        <w:t xml:space="preserve"> the new PUCCH format </w:t>
      </w:r>
      <w:r w:rsidR="00C66BF3">
        <w:t>supporting</w:t>
      </w:r>
      <w:r w:rsidR="001249AA">
        <w:t xml:space="preserve"> larger</w:t>
      </w:r>
      <w:r w:rsidR="003A5AA2">
        <w:t xml:space="preserve"> payload size should be used. Similar </w:t>
      </w:r>
      <w:proofErr w:type="spellStart"/>
      <w:r w:rsidR="003A5AA2">
        <w:t>fallback</w:t>
      </w:r>
      <w:proofErr w:type="spellEnd"/>
      <w:r w:rsidR="003A5AA2">
        <w:t xml:space="preserve"> operation should be defined. Based on the same principle, when a UE is scheduled only on the </w:t>
      </w:r>
      <w:proofErr w:type="spellStart"/>
      <w:r w:rsidR="003A5AA2">
        <w:t>PCell</w:t>
      </w:r>
      <w:proofErr w:type="spellEnd"/>
      <w:r w:rsidR="003A5AA2">
        <w:t xml:space="preserve"> in DL, PUCCH resources should be reserved according to Rel-8 rules, i.e., new PUCCH format should </w:t>
      </w:r>
      <w:proofErr w:type="spellStart"/>
      <w:r w:rsidR="003A5AA2">
        <w:t>fallback</w:t>
      </w:r>
      <w:proofErr w:type="spellEnd"/>
      <w:r w:rsidR="003A5AA2">
        <w:t xml:space="preserve"> to PUCCH format 1a/1b if PDSCH is only scheduled on </w:t>
      </w:r>
      <w:proofErr w:type="spellStart"/>
      <w:r w:rsidR="003A5AA2">
        <w:t>PCell</w:t>
      </w:r>
      <w:proofErr w:type="spellEnd"/>
      <w:r w:rsidR="003A5AA2">
        <w:t>.</w:t>
      </w:r>
      <w:r w:rsidR="00832927">
        <w:t xml:space="preserve"> </w:t>
      </w:r>
      <w:r w:rsidR="00640C91">
        <w:t xml:space="preserve">PUCCH resources refer here to resource blocks as well as time-domain covers and/or cyclic shifts (exact parameters depend on design details of the new PUCCH format). </w:t>
      </w:r>
      <w:r w:rsidR="00832927">
        <w:t xml:space="preserve">Similarly, to maintain the HARQ-ACK performance with PUCCH format 3, the new PUCCH format should be able to </w:t>
      </w:r>
      <w:proofErr w:type="spellStart"/>
      <w:r w:rsidR="00832927">
        <w:t>fallback</w:t>
      </w:r>
      <w:proofErr w:type="spellEnd"/>
      <w:r w:rsidR="00832927">
        <w:t xml:space="preserve"> to PUCCH forma</w:t>
      </w:r>
      <w:r w:rsidR="0032159F">
        <w:t xml:space="preserve">t </w:t>
      </w:r>
      <w:r w:rsidR="00832927">
        <w:t xml:space="preserve">3 under certain circumstances. For example, if a UE is scheduled on DL </w:t>
      </w:r>
      <w:proofErr w:type="spellStart"/>
      <w:r w:rsidR="00832927">
        <w:t>PCell</w:t>
      </w:r>
      <w:proofErr w:type="spellEnd"/>
      <w:r w:rsidR="00832927">
        <w:t xml:space="preserve"> and DL component carriers with carrier index 1-4, it should use the PUCCH resources reserved according to Rel-10 rules for PUCCH format 3.</w:t>
      </w:r>
    </w:p>
    <w:p w14:paraId="14169EEF" w14:textId="77777777" w:rsidR="00832927" w:rsidRPr="00832927" w:rsidRDefault="00832927" w:rsidP="001249AA">
      <w:pPr>
        <w:pStyle w:val="BodyText"/>
        <w:rPr>
          <w:b/>
        </w:rPr>
      </w:pPr>
      <w:r w:rsidRPr="00832927">
        <w:rPr>
          <w:b/>
        </w:rPr>
        <w:t>Proposal:</w:t>
      </w:r>
    </w:p>
    <w:p w14:paraId="14169EF0" w14:textId="77777777" w:rsidR="00832927" w:rsidRDefault="00832927" w:rsidP="00832927">
      <w:pPr>
        <w:pStyle w:val="BodyText"/>
        <w:numPr>
          <w:ilvl w:val="0"/>
          <w:numId w:val="23"/>
        </w:numPr>
      </w:pPr>
      <w:r>
        <w:t xml:space="preserve">The new PUCCH format should </w:t>
      </w:r>
      <w:proofErr w:type="spellStart"/>
      <w:r>
        <w:t>fallback</w:t>
      </w:r>
      <w:proofErr w:type="spellEnd"/>
      <w:r>
        <w:t xml:space="preserve"> to PUCCH format 3 and PUCCH 1a/1b under certain circumstances.</w:t>
      </w:r>
    </w:p>
    <w:p w14:paraId="14169EF1" w14:textId="77777777" w:rsidR="001773AC" w:rsidRDefault="001773AC" w:rsidP="001773AC">
      <w:pPr>
        <w:pStyle w:val="Heading2"/>
      </w:pPr>
      <w:r>
        <w:t>Resource allocation for new PUCCH Format</w:t>
      </w:r>
    </w:p>
    <w:p w14:paraId="14169EF2" w14:textId="77777777" w:rsidR="004173A7" w:rsidRDefault="004173A7" w:rsidP="001773AC">
      <w:pPr>
        <w:pStyle w:val="BodyText"/>
      </w:pPr>
      <w:r>
        <w:t>In current mechanism, t</w:t>
      </w:r>
      <w:r w:rsidRPr="004173A7">
        <w:t xml:space="preserve">he PUCCH format 3 </w:t>
      </w:r>
      <w:proofErr w:type="gramStart"/>
      <w:r w:rsidR="00640C91">
        <w:t>resource</w:t>
      </w:r>
      <w:proofErr w:type="gramEnd"/>
      <w:r w:rsidRPr="004173A7">
        <w:t xml:space="preserve"> is determined according to higher layer configuration and a dynamic indication from the downlink assignment. In detail, the TPC field in the DCI format of the corresponding </w:t>
      </w:r>
      <w:r>
        <w:t>(E</w:t>
      </w:r>
      <w:proofErr w:type="gramStart"/>
      <w:r>
        <w:t>)</w:t>
      </w:r>
      <w:r w:rsidRPr="004173A7">
        <w:t>PDCCH</w:t>
      </w:r>
      <w:proofErr w:type="gramEnd"/>
      <w:r w:rsidRPr="004173A7">
        <w:t xml:space="preserve"> is used to determine the PUCCH resource values from one of the four resource values configured by higher layers. For FDD, the TPC field corresponds to the </w:t>
      </w:r>
      <w:r>
        <w:t>(E</w:t>
      </w:r>
      <w:proofErr w:type="gramStart"/>
      <w:r>
        <w:t>)</w:t>
      </w:r>
      <w:r w:rsidRPr="004173A7">
        <w:t>PDCCH</w:t>
      </w:r>
      <w:proofErr w:type="gramEnd"/>
      <w:r w:rsidRPr="004173A7">
        <w:t xml:space="preserve"> for the scheduled secondary serving cells. For TDD, the TPC field corresponds to the </w:t>
      </w:r>
      <w:r>
        <w:t>(</w:t>
      </w:r>
      <w:r w:rsidRPr="004173A7">
        <w:t>E</w:t>
      </w:r>
      <w:proofErr w:type="gramStart"/>
      <w:r>
        <w:t>)</w:t>
      </w:r>
      <w:r w:rsidRPr="004173A7">
        <w:t>PDCCH</w:t>
      </w:r>
      <w:proofErr w:type="gramEnd"/>
      <w:r w:rsidRPr="004173A7">
        <w:t xml:space="preserve"> for the primary cell with DAI value in the PDCCH/EPDCCH larger than ‘1’. A UE shall assume that the same PUCCH resource values are transmitted in each DCI format of the corresponding </w:t>
      </w:r>
      <w:r w:rsidR="006F6070">
        <w:t>(</w:t>
      </w:r>
      <w:r w:rsidRPr="004173A7">
        <w:t>E</w:t>
      </w:r>
      <w:proofErr w:type="gramStart"/>
      <w:r w:rsidR="006F6070">
        <w:t>)</w:t>
      </w:r>
      <w:r w:rsidRPr="004173A7">
        <w:t>PDCCH</w:t>
      </w:r>
      <w:proofErr w:type="gramEnd"/>
      <w:r w:rsidRPr="004173A7">
        <w:t xml:space="preserve"> assignments</w:t>
      </w:r>
      <w:r w:rsidR="00640C91">
        <w:t>.</w:t>
      </w:r>
    </w:p>
    <w:p w14:paraId="14169EF3" w14:textId="77777777" w:rsidR="00640C91" w:rsidRDefault="00640C91" w:rsidP="001773AC">
      <w:pPr>
        <w:pStyle w:val="BodyText"/>
      </w:pPr>
      <w:r>
        <w:t xml:space="preserve">In Rel-13, the resource allocation for new PUCCH format should depend on the solution of new format. If multiple PUCCH </w:t>
      </w:r>
      <w:proofErr w:type="gramStart"/>
      <w:r>
        <w:t>format</w:t>
      </w:r>
      <w:proofErr w:type="gramEnd"/>
      <w:r>
        <w:t xml:space="preserve"> 3 is adopted</w:t>
      </w:r>
      <w:r w:rsidR="003518B8">
        <w:t xml:space="preserve">, it is preferred to use the same mechanism for PUCCH resource allocation with minimum standards impact. </w:t>
      </w:r>
      <w:r w:rsidR="006E4C9D">
        <w:t>If PUSCH-like design is adopted as the new PUCCH format, the resource allocation should be studied taking into consideration the co-</w:t>
      </w:r>
      <w:r w:rsidR="006E4C9D">
        <w:lastRenderedPageBreak/>
        <w:t xml:space="preserve">existence and resource share with legacy PUCCH format, standard impact, signalling overhead and implementation complexity. </w:t>
      </w:r>
    </w:p>
    <w:p w14:paraId="14169EF4" w14:textId="77777777"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4169EF5" w14:textId="55933A02" w:rsidR="002B54F0" w:rsidRPr="00246F2C" w:rsidRDefault="002B54F0" w:rsidP="004666E3">
      <w:pPr>
        <w:rPr>
          <w:noProof/>
        </w:rPr>
      </w:pPr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E21F73">
        <w:t>formats and resource allocation for DL HARQ-ACK transmission</w:t>
      </w:r>
      <w:r w:rsidR="00E45E97">
        <w:rPr>
          <w:iCs/>
        </w:rPr>
        <w:t xml:space="preserve"> for CA enhancements</w:t>
      </w:r>
      <w:r w:rsidR="00ED52A7">
        <w:rPr>
          <w:iCs/>
        </w:rPr>
        <w:t>.</w:t>
      </w:r>
      <w:r w:rsidR="00246F2C">
        <w:t xml:space="preserve"> The above discussion is summarized with the following </w:t>
      </w:r>
      <w:r w:rsidR="006B09AD">
        <w:t>proposals</w:t>
      </w:r>
      <w:r w:rsidR="00246F2C">
        <w:t>:</w:t>
      </w:r>
    </w:p>
    <w:p w14:paraId="14169EF6" w14:textId="77777777" w:rsidR="003518B8" w:rsidRDefault="003518B8" w:rsidP="003518B8">
      <w:pPr>
        <w:pStyle w:val="BodyText"/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Proposal</w:t>
      </w:r>
      <w:r w:rsidRPr="00AB56F8">
        <w:rPr>
          <w:b/>
        </w:rPr>
        <w:t>:</w:t>
      </w:r>
    </w:p>
    <w:p w14:paraId="29DC7254" w14:textId="77777777" w:rsidR="00E21F73" w:rsidRDefault="00E21F73" w:rsidP="00E21F73">
      <w:pPr>
        <w:pStyle w:val="BodyText"/>
        <w:numPr>
          <w:ilvl w:val="0"/>
          <w:numId w:val="23"/>
        </w:numPr>
        <w:overflowPunct/>
        <w:autoSpaceDE/>
        <w:autoSpaceDN/>
        <w:adjustRightInd/>
        <w:textAlignment w:val="auto"/>
      </w:pPr>
      <w:commentRangeStart w:id="6"/>
      <w:r>
        <w:t>The codebook adaptation should be considered together with the new PUCCH format solution because t</w:t>
      </w:r>
      <w:commentRangeEnd w:id="6"/>
      <w:r>
        <w:t>here is a trade-off between robustness and capacity.</w:t>
      </w:r>
    </w:p>
    <w:p w14:paraId="091AC108" w14:textId="77777777" w:rsidR="00E21F73" w:rsidRPr="001773AC" w:rsidRDefault="00E21F73" w:rsidP="00E21F73">
      <w:pPr>
        <w:pStyle w:val="BodyText"/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>Robustness should be prioritized in the design.</w:t>
      </w:r>
    </w:p>
    <w:p w14:paraId="45D2B310" w14:textId="142957DD" w:rsidR="00E21F73" w:rsidRPr="00B70C38" w:rsidRDefault="00E21F73" w:rsidP="00B70C38">
      <w:pPr>
        <w:pStyle w:val="BodyText"/>
        <w:numPr>
          <w:ilvl w:val="0"/>
          <w:numId w:val="23"/>
        </w:numPr>
      </w:pPr>
      <w:r>
        <w:t xml:space="preserve">The new PUCCH format should </w:t>
      </w:r>
      <w:proofErr w:type="spellStart"/>
      <w:r>
        <w:t>fallback</w:t>
      </w:r>
      <w:proofErr w:type="spellEnd"/>
      <w:r>
        <w:t xml:space="preserve"> to PUCCH format 3 and PUCCH 1a/1b under certain circumstances.</w:t>
      </w:r>
    </w:p>
    <w:p w14:paraId="14169EFA" w14:textId="77777777"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14:paraId="14169EFB" w14:textId="77777777" w:rsidR="00D942BA" w:rsidRDefault="00D942BA" w:rsidP="00D942BA">
      <w:pPr>
        <w:pStyle w:val="Reference"/>
        <w:rPr>
          <w:lang w:val="en-US"/>
        </w:rPr>
      </w:pPr>
      <w:bookmarkStart w:id="7" w:name="_Ref363567898"/>
      <w:bookmarkStart w:id="8" w:name="_Ref367350341"/>
      <w:bookmarkStart w:id="9" w:name="_Ref370111837"/>
      <w:bookmarkStart w:id="10" w:name="_Ref370203071"/>
      <w:bookmarkStart w:id="11" w:name="_Ref377571746"/>
      <w:bookmarkStart w:id="12" w:name="_Ref386564944"/>
      <w:bookmarkStart w:id="13" w:name="_Ref386565146"/>
      <w:bookmarkStart w:id="14" w:name="_Ref395083208"/>
      <w:bookmarkStart w:id="15" w:name="_Ref415666081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olumns”.</w:t>
      </w:r>
    </w:p>
    <w:p w14:paraId="14169EFC" w14:textId="77777777" w:rsidR="00CE3A83" w:rsidRDefault="00643C6F" w:rsidP="00CE3A83">
      <w:pPr>
        <w:pStyle w:val="Reference"/>
        <w:rPr>
          <w:lang w:val="en-US"/>
        </w:rPr>
      </w:pPr>
      <w:bookmarkStart w:id="16" w:name="_Ref416012170"/>
      <w:r>
        <w:rPr>
          <w:lang w:val="en-US"/>
        </w:rPr>
        <w:t>R1-103508, “</w:t>
      </w:r>
      <w:r w:rsidRPr="00643C6F">
        <w:rPr>
          <w:lang w:val="en-US"/>
        </w:rPr>
        <w:t>On ACK/NACK codebook performance for carrier aggregation</w:t>
      </w:r>
      <w:r>
        <w:rPr>
          <w:lang w:val="en-US"/>
        </w:rPr>
        <w:t>”, Ericsson, ST-Ericsson.</w:t>
      </w:r>
      <w:bookmarkEnd w:id="16"/>
    </w:p>
    <w:p w14:paraId="14169EFD" w14:textId="79A4C549" w:rsidR="00CE3A83" w:rsidRPr="00B70C38" w:rsidRDefault="00CE3A83" w:rsidP="00CE3A83">
      <w:pPr>
        <w:pStyle w:val="Reference"/>
        <w:rPr>
          <w:lang w:val="en-US"/>
        </w:rPr>
      </w:pPr>
      <w:bookmarkStart w:id="17" w:name="_Ref416031525"/>
      <w:r w:rsidRPr="00B70C38">
        <w:rPr>
          <w:lang w:val="en-US"/>
        </w:rPr>
        <w:t>R1-15</w:t>
      </w:r>
      <w:r w:rsidR="00E21F73" w:rsidRPr="00B70C38">
        <w:rPr>
          <w:lang w:val="en-US"/>
        </w:rPr>
        <w:t>1800</w:t>
      </w:r>
      <w:r w:rsidRPr="00B70C38">
        <w:rPr>
          <w:lang w:val="en-US"/>
        </w:rPr>
        <w:t>, “</w:t>
      </w:r>
      <w:r w:rsidR="00E21F73" w:rsidRPr="00B70C38">
        <w:rPr>
          <w:lang w:val="en-US"/>
        </w:rPr>
        <w:t>PUCCH format design for CA enhancement</w:t>
      </w:r>
      <w:r w:rsidRPr="00B70C38">
        <w:rPr>
          <w:lang w:val="en-US"/>
        </w:rPr>
        <w:t>”, Ericsson</w:t>
      </w:r>
      <w:bookmarkEnd w:id="17"/>
      <w:r w:rsidR="00E21F73" w:rsidRPr="00B70C38">
        <w:rPr>
          <w:lang w:val="en-US"/>
        </w:rPr>
        <w:t>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4169EFE" w14:textId="77777777" w:rsidR="0038030A" w:rsidRPr="0038030A" w:rsidRDefault="0038030A" w:rsidP="0038030A">
      <w:pPr>
        <w:rPr>
          <w:lang w:val="en-US"/>
        </w:rPr>
      </w:pPr>
    </w:p>
    <w:p w14:paraId="14169EFF" w14:textId="77777777" w:rsidR="0038030A" w:rsidRPr="0038030A" w:rsidRDefault="0038030A" w:rsidP="0038030A">
      <w:pPr>
        <w:rPr>
          <w:lang w:val="en-US"/>
        </w:rPr>
      </w:pPr>
    </w:p>
    <w:p w14:paraId="14169F00" w14:textId="77777777" w:rsidR="0038030A" w:rsidRDefault="0038030A" w:rsidP="0038030A">
      <w:pPr>
        <w:rPr>
          <w:lang w:val="en-US"/>
        </w:rPr>
      </w:pPr>
    </w:p>
    <w:p w14:paraId="14169F01" w14:textId="77777777" w:rsidR="00512450" w:rsidRPr="0038030A" w:rsidRDefault="0038030A" w:rsidP="0038030A">
      <w:pPr>
        <w:tabs>
          <w:tab w:val="left" w:pos="5760"/>
        </w:tabs>
        <w:rPr>
          <w:lang w:val="en-US"/>
        </w:rPr>
      </w:pPr>
      <w:r>
        <w:rPr>
          <w:lang w:val="en-US"/>
        </w:rPr>
        <w:tab/>
      </w:r>
    </w:p>
    <w:sectPr w:rsidR="00512450" w:rsidRPr="0038030A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3ABAC" w14:textId="77777777" w:rsidR="00E20205" w:rsidRDefault="00E20205" w:rsidP="000C2022">
      <w:pPr>
        <w:spacing w:after="0"/>
      </w:pPr>
      <w:r>
        <w:separator/>
      </w:r>
    </w:p>
  </w:endnote>
  <w:endnote w:type="continuationSeparator" w:id="0">
    <w:p w14:paraId="6ECCE83E" w14:textId="77777777" w:rsidR="00E20205" w:rsidRDefault="00E20205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84774" w14:textId="77777777" w:rsidR="00E20205" w:rsidRDefault="00E20205" w:rsidP="000C2022">
      <w:pPr>
        <w:spacing w:after="0"/>
      </w:pPr>
      <w:r>
        <w:separator/>
      </w:r>
    </w:p>
  </w:footnote>
  <w:footnote w:type="continuationSeparator" w:id="0">
    <w:p w14:paraId="41E96415" w14:textId="77777777" w:rsidR="00E20205" w:rsidRDefault="00E20205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27646"/>
    <w:multiLevelType w:val="hybridMultilevel"/>
    <w:tmpl w:val="D65A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D4E8E"/>
    <w:multiLevelType w:val="hybridMultilevel"/>
    <w:tmpl w:val="817A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EC5F90"/>
    <w:multiLevelType w:val="hybridMultilevel"/>
    <w:tmpl w:val="74D21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5"/>
  </w:num>
  <w:num w:numId="5">
    <w:abstractNumId w:val="17"/>
  </w:num>
  <w:num w:numId="6">
    <w:abstractNumId w:val="3"/>
  </w:num>
  <w:num w:numId="7">
    <w:abstractNumId w:val="20"/>
  </w:num>
  <w:num w:numId="8">
    <w:abstractNumId w:val="15"/>
  </w:num>
  <w:num w:numId="9">
    <w:abstractNumId w:val="18"/>
  </w:num>
  <w:num w:numId="10">
    <w:abstractNumId w:val="6"/>
  </w:num>
  <w:num w:numId="11">
    <w:abstractNumId w:val="16"/>
  </w:num>
  <w:num w:numId="12">
    <w:abstractNumId w:val="8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19"/>
  </w:num>
  <w:num w:numId="18">
    <w:abstractNumId w:val="11"/>
  </w:num>
  <w:num w:numId="19">
    <w:abstractNumId w:val="12"/>
  </w:num>
  <w:num w:numId="20">
    <w:abstractNumId w:val="9"/>
  </w:num>
  <w:num w:numId="21">
    <w:abstractNumId w:val="0"/>
  </w:num>
  <w:num w:numId="22">
    <w:abstractNumId w:val="14"/>
  </w:num>
  <w:num w:numId="2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6F31"/>
    <w:rsid w:val="00010190"/>
    <w:rsid w:val="00015C65"/>
    <w:rsid w:val="00017365"/>
    <w:rsid w:val="00021C89"/>
    <w:rsid w:val="00023C54"/>
    <w:rsid w:val="00023CF5"/>
    <w:rsid w:val="00024DA7"/>
    <w:rsid w:val="00025FD9"/>
    <w:rsid w:val="000323DE"/>
    <w:rsid w:val="000374CB"/>
    <w:rsid w:val="000434E5"/>
    <w:rsid w:val="0004502C"/>
    <w:rsid w:val="000462B9"/>
    <w:rsid w:val="000509AD"/>
    <w:rsid w:val="000513DB"/>
    <w:rsid w:val="00052C52"/>
    <w:rsid w:val="000545C6"/>
    <w:rsid w:val="00055B89"/>
    <w:rsid w:val="00063371"/>
    <w:rsid w:val="000643F6"/>
    <w:rsid w:val="00066C59"/>
    <w:rsid w:val="00070520"/>
    <w:rsid w:val="00070AE9"/>
    <w:rsid w:val="0007167E"/>
    <w:rsid w:val="00074454"/>
    <w:rsid w:val="0007460E"/>
    <w:rsid w:val="0007476D"/>
    <w:rsid w:val="00076361"/>
    <w:rsid w:val="00080E20"/>
    <w:rsid w:val="00090129"/>
    <w:rsid w:val="0009036B"/>
    <w:rsid w:val="000916FA"/>
    <w:rsid w:val="0009172B"/>
    <w:rsid w:val="000955EF"/>
    <w:rsid w:val="000A0A13"/>
    <w:rsid w:val="000A375A"/>
    <w:rsid w:val="000A3CBB"/>
    <w:rsid w:val="000A6D95"/>
    <w:rsid w:val="000B1A2C"/>
    <w:rsid w:val="000B3E0F"/>
    <w:rsid w:val="000C1373"/>
    <w:rsid w:val="000C2022"/>
    <w:rsid w:val="000C61AA"/>
    <w:rsid w:val="000C7D43"/>
    <w:rsid w:val="000D1369"/>
    <w:rsid w:val="000F2C29"/>
    <w:rsid w:val="000F6096"/>
    <w:rsid w:val="000F7999"/>
    <w:rsid w:val="00100788"/>
    <w:rsid w:val="00102793"/>
    <w:rsid w:val="00114680"/>
    <w:rsid w:val="00120819"/>
    <w:rsid w:val="001219E0"/>
    <w:rsid w:val="00122E62"/>
    <w:rsid w:val="001249AA"/>
    <w:rsid w:val="001352A3"/>
    <w:rsid w:val="001423F6"/>
    <w:rsid w:val="00143E8C"/>
    <w:rsid w:val="00145CB4"/>
    <w:rsid w:val="00145D1F"/>
    <w:rsid w:val="00145E4A"/>
    <w:rsid w:val="00150D13"/>
    <w:rsid w:val="001527C5"/>
    <w:rsid w:val="00154016"/>
    <w:rsid w:val="00156079"/>
    <w:rsid w:val="00165095"/>
    <w:rsid w:val="00171752"/>
    <w:rsid w:val="00171C9F"/>
    <w:rsid w:val="00172149"/>
    <w:rsid w:val="00172C95"/>
    <w:rsid w:val="00176033"/>
    <w:rsid w:val="00176F4D"/>
    <w:rsid w:val="001773AC"/>
    <w:rsid w:val="001811DE"/>
    <w:rsid w:val="00181D11"/>
    <w:rsid w:val="001849E3"/>
    <w:rsid w:val="00185F0A"/>
    <w:rsid w:val="00195254"/>
    <w:rsid w:val="00196436"/>
    <w:rsid w:val="001A16DB"/>
    <w:rsid w:val="001A4934"/>
    <w:rsid w:val="001B0678"/>
    <w:rsid w:val="001B1AFF"/>
    <w:rsid w:val="001B3E32"/>
    <w:rsid w:val="001B4D6F"/>
    <w:rsid w:val="001C3A4A"/>
    <w:rsid w:val="001C6C5C"/>
    <w:rsid w:val="001D1488"/>
    <w:rsid w:val="001D1708"/>
    <w:rsid w:val="001D18A2"/>
    <w:rsid w:val="001D3DA2"/>
    <w:rsid w:val="001D7487"/>
    <w:rsid w:val="001E087D"/>
    <w:rsid w:val="001E3E04"/>
    <w:rsid w:val="001E412C"/>
    <w:rsid w:val="001E5D99"/>
    <w:rsid w:val="00205542"/>
    <w:rsid w:val="00220517"/>
    <w:rsid w:val="00220960"/>
    <w:rsid w:val="00230DB5"/>
    <w:rsid w:val="00233CDA"/>
    <w:rsid w:val="00243B7F"/>
    <w:rsid w:val="00243D6D"/>
    <w:rsid w:val="00244AF5"/>
    <w:rsid w:val="00246F2C"/>
    <w:rsid w:val="0024710A"/>
    <w:rsid w:val="002475FD"/>
    <w:rsid w:val="002536F6"/>
    <w:rsid w:val="00254F3E"/>
    <w:rsid w:val="00262477"/>
    <w:rsid w:val="00271199"/>
    <w:rsid w:val="002724AE"/>
    <w:rsid w:val="00273B32"/>
    <w:rsid w:val="002763B9"/>
    <w:rsid w:val="00280F46"/>
    <w:rsid w:val="0028345F"/>
    <w:rsid w:val="002902F8"/>
    <w:rsid w:val="00291178"/>
    <w:rsid w:val="00292344"/>
    <w:rsid w:val="002A11BF"/>
    <w:rsid w:val="002A276D"/>
    <w:rsid w:val="002A3E1F"/>
    <w:rsid w:val="002A4A3D"/>
    <w:rsid w:val="002A5561"/>
    <w:rsid w:val="002A5C38"/>
    <w:rsid w:val="002A7E37"/>
    <w:rsid w:val="002B19A1"/>
    <w:rsid w:val="002B270D"/>
    <w:rsid w:val="002B54F0"/>
    <w:rsid w:val="002C0275"/>
    <w:rsid w:val="002C2709"/>
    <w:rsid w:val="002D5A86"/>
    <w:rsid w:val="002E0B95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6C11"/>
    <w:rsid w:val="00312F31"/>
    <w:rsid w:val="00314E22"/>
    <w:rsid w:val="003163C9"/>
    <w:rsid w:val="0032159F"/>
    <w:rsid w:val="00327856"/>
    <w:rsid w:val="003303A5"/>
    <w:rsid w:val="00334E15"/>
    <w:rsid w:val="003379E0"/>
    <w:rsid w:val="00342DBD"/>
    <w:rsid w:val="00343D1D"/>
    <w:rsid w:val="0034717F"/>
    <w:rsid w:val="003516E0"/>
    <w:rsid w:val="003518B8"/>
    <w:rsid w:val="00353292"/>
    <w:rsid w:val="003538F3"/>
    <w:rsid w:val="00364E49"/>
    <w:rsid w:val="003679F1"/>
    <w:rsid w:val="00371529"/>
    <w:rsid w:val="00376018"/>
    <w:rsid w:val="0038030A"/>
    <w:rsid w:val="00382360"/>
    <w:rsid w:val="0039469C"/>
    <w:rsid w:val="003954F9"/>
    <w:rsid w:val="003A0C6E"/>
    <w:rsid w:val="003A150D"/>
    <w:rsid w:val="003A4CF0"/>
    <w:rsid w:val="003A5AA2"/>
    <w:rsid w:val="003B3DBC"/>
    <w:rsid w:val="003D0546"/>
    <w:rsid w:val="003D1A79"/>
    <w:rsid w:val="003D3027"/>
    <w:rsid w:val="003D66C5"/>
    <w:rsid w:val="003E2608"/>
    <w:rsid w:val="003E6AE4"/>
    <w:rsid w:val="003E78A4"/>
    <w:rsid w:val="003E7A42"/>
    <w:rsid w:val="003E7FA9"/>
    <w:rsid w:val="003F0362"/>
    <w:rsid w:val="003F0B7A"/>
    <w:rsid w:val="003F1959"/>
    <w:rsid w:val="003F5352"/>
    <w:rsid w:val="003F5886"/>
    <w:rsid w:val="003F6DC1"/>
    <w:rsid w:val="004015E8"/>
    <w:rsid w:val="00401A72"/>
    <w:rsid w:val="00403322"/>
    <w:rsid w:val="00403A8E"/>
    <w:rsid w:val="004123B1"/>
    <w:rsid w:val="00415D57"/>
    <w:rsid w:val="00416F4C"/>
    <w:rsid w:val="004173A7"/>
    <w:rsid w:val="0042188B"/>
    <w:rsid w:val="00432D5E"/>
    <w:rsid w:val="004366BC"/>
    <w:rsid w:val="00436735"/>
    <w:rsid w:val="0044293A"/>
    <w:rsid w:val="004440D5"/>
    <w:rsid w:val="00454194"/>
    <w:rsid w:val="0045497D"/>
    <w:rsid w:val="00454D0A"/>
    <w:rsid w:val="00457AEE"/>
    <w:rsid w:val="00461BC3"/>
    <w:rsid w:val="00464E47"/>
    <w:rsid w:val="004666E3"/>
    <w:rsid w:val="00470832"/>
    <w:rsid w:val="00472F28"/>
    <w:rsid w:val="00473E1A"/>
    <w:rsid w:val="0047627B"/>
    <w:rsid w:val="0047671A"/>
    <w:rsid w:val="00493BCC"/>
    <w:rsid w:val="00493EF6"/>
    <w:rsid w:val="00497C79"/>
    <w:rsid w:val="004A29A4"/>
    <w:rsid w:val="004A3C88"/>
    <w:rsid w:val="004B2B12"/>
    <w:rsid w:val="004B68DC"/>
    <w:rsid w:val="004C191C"/>
    <w:rsid w:val="004C3C4C"/>
    <w:rsid w:val="004C5334"/>
    <w:rsid w:val="004D1500"/>
    <w:rsid w:val="004D24E3"/>
    <w:rsid w:val="004D2AA8"/>
    <w:rsid w:val="004F1226"/>
    <w:rsid w:val="004F6284"/>
    <w:rsid w:val="005043CF"/>
    <w:rsid w:val="0050491E"/>
    <w:rsid w:val="0050603A"/>
    <w:rsid w:val="00510BEB"/>
    <w:rsid w:val="00512450"/>
    <w:rsid w:val="0051694C"/>
    <w:rsid w:val="005209E0"/>
    <w:rsid w:val="00524832"/>
    <w:rsid w:val="0052793E"/>
    <w:rsid w:val="0053717E"/>
    <w:rsid w:val="00537727"/>
    <w:rsid w:val="005378D1"/>
    <w:rsid w:val="005440D2"/>
    <w:rsid w:val="00544D3C"/>
    <w:rsid w:val="00550D3B"/>
    <w:rsid w:val="005510E4"/>
    <w:rsid w:val="0056116A"/>
    <w:rsid w:val="005620C5"/>
    <w:rsid w:val="00563939"/>
    <w:rsid w:val="0057203A"/>
    <w:rsid w:val="005723AB"/>
    <w:rsid w:val="00573D17"/>
    <w:rsid w:val="00574CE5"/>
    <w:rsid w:val="00577988"/>
    <w:rsid w:val="0058097B"/>
    <w:rsid w:val="0058129C"/>
    <w:rsid w:val="00584828"/>
    <w:rsid w:val="005854D3"/>
    <w:rsid w:val="0059079F"/>
    <w:rsid w:val="005A2B54"/>
    <w:rsid w:val="005A6DD3"/>
    <w:rsid w:val="005A7521"/>
    <w:rsid w:val="005B128C"/>
    <w:rsid w:val="005B1A07"/>
    <w:rsid w:val="005B30DC"/>
    <w:rsid w:val="005B31A3"/>
    <w:rsid w:val="005B6097"/>
    <w:rsid w:val="005B71E6"/>
    <w:rsid w:val="005C1E47"/>
    <w:rsid w:val="005D327D"/>
    <w:rsid w:val="005D341B"/>
    <w:rsid w:val="005D5E82"/>
    <w:rsid w:val="005D6ACE"/>
    <w:rsid w:val="005E1B83"/>
    <w:rsid w:val="005E4540"/>
    <w:rsid w:val="005E66DC"/>
    <w:rsid w:val="005E755F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6B3F"/>
    <w:rsid w:val="006076BA"/>
    <w:rsid w:val="00611186"/>
    <w:rsid w:val="00612CCC"/>
    <w:rsid w:val="00614DF9"/>
    <w:rsid w:val="0062343F"/>
    <w:rsid w:val="00631569"/>
    <w:rsid w:val="00631F6D"/>
    <w:rsid w:val="006324FD"/>
    <w:rsid w:val="00632AA0"/>
    <w:rsid w:val="006336CA"/>
    <w:rsid w:val="00637CE4"/>
    <w:rsid w:val="00640C91"/>
    <w:rsid w:val="00643C6F"/>
    <w:rsid w:val="00645491"/>
    <w:rsid w:val="00647D52"/>
    <w:rsid w:val="00652A89"/>
    <w:rsid w:val="00656E38"/>
    <w:rsid w:val="00657A20"/>
    <w:rsid w:val="00657EDB"/>
    <w:rsid w:val="006626B1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22D1"/>
    <w:rsid w:val="006A356A"/>
    <w:rsid w:val="006B09AD"/>
    <w:rsid w:val="006B1671"/>
    <w:rsid w:val="006B2F1F"/>
    <w:rsid w:val="006B6F07"/>
    <w:rsid w:val="006B7BBC"/>
    <w:rsid w:val="006C4557"/>
    <w:rsid w:val="006C6C6E"/>
    <w:rsid w:val="006D7142"/>
    <w:rsid w:val="006E34FB"/>
    <w:rsid w:val="006E491B"/>
    <w:rsid w:val="006E4C9D"/>
    <w:rsid w:val="006E559F"/>
    <w:rsid w:val="006E7199"/>
    <w:rsid w:val="006F6070"/>
    <w:rsid w:val="0070165B"/>
    <w:rsid w:val="00702B09"/>
    <w:rsid w:val="007118A4"/>
    <w:rsid w:val="00715E98"/>
    <w:rsid w:val="007206B3"/>
    <w:rsid w:val="007227BD"/>
    <w:rsid w:val="00722CBC"/>
    <w:rsid w:val="00731E26"/>
    <w:rsid w:val="00733B14"/>
    <w:rsid w:val="0073734A"/>
    <w:rsid w:val="007378D4"/>
    <w:rsid w:val="00741B81"/>
    <w:rsid w:val="00741DD8"/>
    <w:rsid w:val="00745AA5"/>
    <w:rsid w:val="007641DB"/>
    <w:rsid w:val="00773161"/>
    <w:rsid w:val="007755B8"/>
    <w:rsid w:val="007769C4"/>
    <w:rsid w:val="00777FDC"/>
    <w:rsid w:val="00785AB3"/>
    <w:rsid w:val="00790BBC"/>
    <w:rsid w:val="00791076"/>
    <w:rsid w:val="0079186C"/>
    <w:rsid w:val="007926B6"/>
    <w:rsid w:val="00796302"/>
    <w:rsid w:val="007A68C7"/>
    <w:rsid w:val="007B0F8F"/>
    <w:rsid w:val="007B2611"/>
    <w:rsid w:val="007C241D"/>
    <w:rsid w:val="007C671F"/>
    <w:rsid w:val="007C739B"/>
    <w:rsid w:val="007E1855"/>
    <w:rsid w:val="007E1F3D"/>
    <w:rsid w:val="007E303F"/>
    <w:rsid w:val="007E31E2"/>
    <w:rsid w:val="007F1CC1"/>
    <w:rsid w:val="007F2DC4"/>
    <w:rsid w:val="007F50A4"/>
    <w:rsid w:val="007F748F"/>
    <w:rsid w:val="00802F3A"/>
    <w:rsid w:val="008058AD"/>
    <w:rsid w:val="0080596A"/>
    <w:rsid w:val="00811A47"/>
    <w:rsid w:val="00815DFF"/>
    <w:rsid w:val="00816725"/>
    <w:rsid w:val="008201B4"/>
    <w:rsid w:val="00825897"/>
    <w:rsid w:val="00826C78"/>
    <w:rsid w:val="0082726C"/>
    <w:rsid w:val="00832927"/>
    <w:rsid w:val="008336A1"/>
    <w:rsid w:val="008339C0"/>
    <w:rsid w:val="008362F8"/>
    <w:rsid w:val="00837110"/>
    <w:rsid w:val="0084117B"/>
    <w:rsid w:val="008460EB"/>
    <w:rsid w:val="0084628A"/>
    <w:rsid w:val="008465E4"/>
    <w:rsid w:val="00850B58"/>
    <w:rsid w:val="0085122B"/>
    <w:rsid w:val="0085627F"/>
    <w:rsid w:val="00860724"/>
    <w:rsid w:val="0086135D"/>
    <w:rsid w:val="00862F4B"/>
    <w:rsid w:val="00865064"/>
    <w:rsid w:val="00874B0F"/>
    <w:rsid w:val="00881396"/>
    <w:rsid w:val="00884662"/>
    <w:rsid w:val="00885257"/>
    <w:rsid w:val="00885740"/>
    <w:rsid w:val="00887955"/>
    <w:rsid w:val="008907C6"/>
    <w:rsid w:val="008931B3"/>
    <w:rsid w:val="00896C35"/>
    <w:rsid w:val="008A29AE"/>
    <w:rsid w:val="008A3508"/>
    <w:rsid w:val="008B2053"/>
    <w:rsid w:val="008B371B"/>
    <w:rsid w:val="008B7A21"/>
    <w:rsid w:val="008D4155"/>
    <w:rsid w:val="008E30C4"/>
    <w:rsid w:val="008E4F69"/>
    <w:rsid w:val="008E67E0"/>
    <w:rsid w:val="008F0545"/>
    <w:rsid w:val="009031F8"/>
    <w:rsid w:val="00910277"/>
    <w:rsid w:val="00914A33"/>
    <w:rsid w:val="0092115B"/>
    <w:rsid w:val="009219D9"/>
    <w:rsid w:val="009222F7"/>
    <w:rsid w:val="00922393"/>
    <w:rsid w:val="00935300"/>
    <w:rsid w:val="0094016B"/>
    <w:rsid w:val="00941B6B"/>
    <w:rsid w:val="00941EC9"/>
    <w:rsid w:val="00942467"/>
    <w:rsid w:val="00942A6E"/>
    <w:rsid w:val="0094625E"/>
    <w:rsid w:val="0094722A"/>
    <w:rsid w:val="00951588"/>
    <w:rsid w:val="009629EB"/>
    <w:rsid w:val="00966FB3"/>
    <w:rsid w:val="009718CD"/>
    <w:rsid w:val="00973821"/>
    <w:rsid w:val="00981094"/>
    <w:rsid w:val="00982B40"/>
    <w:rsid w:val="00983D96"/>
    <w:rsid w:val="009858EF"/>
    <w:rsid w:val="00986A7F"/>
    <w:rsid w:val="009879A4"/>
    <w:rsid w:val="00987C14"/>
    <w:rsid w:val="00987DA8"/>
    <w:rsid w:val="009902E0"/>
    <w:rsid w:val="00990B9B"/>
    <w:rsid w:val="00990DB2"/>
    <w:rsid w:val="00991E60"/>
    <w:rsid w:val="009B1D8F"/>
    <w:rsid w:val="009B4D08"/>
    <w:rsid w:val="009B5ADE"/>
    <w:rsid w:val="009C514D"/>
    <w:rsid w:val="009D5F5C"/>
    <w:rsid w:val="009E1318"/>
    <w:rsid w:val="009E4053"/>
    <w:rsid w:val="009E5676"/>
    <w:rsid w:val="009E76AA"/>
    <w:rsid w:val="009E7CE9"/>
    <w:rsid w:val="009F58B1"/>
    <w:rsid w:val="009F594C"/>
    <w:rsid w:val="00A032AF"/>
    <w:rsid w:val="00A0509E"/>
    <w:rsid w:val="00A11022"/>
    <w:rsid w:val="00A11D4D"/>
    <w:rsid w:val="00A13165"/>
    <w:rsid w:val="00A1419D"/>
    <w:rsid w:val="00A25907"/>
    <w:rsid w:val="00A27BCD"/>
    <w:rsid w:val="00A32B50"/>
    <w:rsid w:val="00A41FE4"/>
    <w:rsid w:val="00A44420"/>
    <w:rsid w:val="00A45250"/>
    <w:rsid w:val="00A52252"/>
    <w:rsid w:val="00A55D34"/>
    <w:rsid w:val="00A62527"/>
    <w:rsid w:val="00A64AA3"/>
    <w:rsid w:val="00A66BD0"/>
    <w:rsid w:val="00A6754E"/>
    <w:rsid w:val="00A70AEB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56F8"/>
    <w:rsid w:val="00AB6F6C"/>
    <w:rsid w:val="00AB7085"/>
    <w:rsid w:val="00AC0650"/>
    <w:rsid w:val="00AC08C1"/>
    <w:rsid w:val="00AD07EB"/>
    <w:rsid w:val="00AD49A2"/>
    <w:rsid w:val="00AD6BEE"/>
    <w:rsid w:val="00AE1AD3"/>
    <w:rsid w:val="00AE6155"/>
    <w:rsid w:val="00AF18BC"/>
    <w:rsid w:val="00AF51F4"/>
    <w:rsid w:val="00B00EE6"/>
    <w:rsid w:val="00B013A9"/>
    <w:rsid w:val="00B03371"/>
    <w:rsid w:val="00B0596D"/>
    <w:rsid w:val="00B13991"/>
    <w:rsid w:val="00B2252B"/>
    <w:rsid w:val="00B23615"/>
    <w:rsid w:val="00B23D20"/>
    <w:rsid w:val="00B250E2"/>
    <w:rsid w:val="00B251C0"/>
    <w:rsid w:val="00B302C2"/>
    <w:rsid w:val="00B31017"/>
    <w:rsid w:val="00B33267"/>
    <w:rsid w:val="00B351AE"/>
    <w:rsid w:val="00B37468"/>
    <w:rsid w:val="00B46811"/>
    <w:rsid w:val="00B46A1C"/>
    <w:rsid w:val="00B57CAE"/>
    <w:rsid w:val="00B6241B"/>
    <w:rsid w:val="00B63F0D"/>
    <w:rsid w:val="00B658F9"/>
    <w:rsid w:val="00B67E6C"/>
    <w:rsid w:val="00B700AB"/>
    <w:rsid w:val="00B70C38"/>
    <w:rsid w:val="00B70FFD"/>
    <w:rsid w:val="00B72634"/>
    <w:rsid w:val="00B740AB"/>
    <w:rsid w:val="00B75CB5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64E8"/>
    <w:rsid w:val="00BB3DFD"/>
    <w:rsid w:val="00BB4D85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4D5A"/>
    <w:rsid w:val="00BE7608"/>
    <w:rsid w:val="00BE7D9B"/>
    <w:rsid w:val="00BF0289"/>
    <w:rsid w:val="00BF4E20"/>
    <w:rsid w:val="00BF4F67"/>
    <w:rsid w:val="00BF5DB0"/>
    <w:rsid w:val="00C0777F"/>
    <w:rsid w:val="00C10227"/>
    <w:rsid w:val="00C11E5B"/>
    <w:rsid w:val="00C130F9"/>
    <w:rsid w:val="00C205F2"/>
    <w:rsid w:val="00C22625"/>
    <w:rsid w:val="00C23A01"/>
    <w:rsid w:val="00C3016D"/>
    <w:rsid w:val="00C37799"/>
    <w:rsid w:val="00C43A5C"/>
    <w:rsid w:val="00C46BD0"/>
    <w:rsid w:val="00C5492C"/>
    <w:rsid w:val="00C560D3"/>
    <w:rsid w:val="00C567A5"/>
    <w:rsid w:val="00C62619"/>
    <w:rsid w:val="00C62EF3"/>
    <w:rsid w:val="00C66BF3"/>
    <w:rsid w:val="00C76388"/>
    <w:rsid w:val="00C80673"/>
    <w:rsid w:val="00C81FEF"/>
    <w:rsid w:val="00C83CEF"/>
    <w:rsid w:val="00C9378E"/>
    <w:rsid w:val="00C93ECC"/>
    <w:rsid w:val="00C97378"/>
    <w:rsid w:val="00CA1420"/>
    <w:rsid w:val="00CA3E6B"/>
    <w:rsid w:val="00CA4CBE"/>
    <w:rsid w:val="00CA5F0B"/>
    <w:rsid w:val="00CA6416"/>
    <w:rsid w:val="00CB23D1"/>
    <w:rsid w:val="00CB7D6D"/>
    <w:rsid w:val="00CC02F3"/>
    <w:rsid w:val="00CC12A2"/>
    <w:rsid w:val="00CD2D71"/>
    <w:rsid w:val="00CD50CA"/>
    <w:rsid w:val="00CD77FE"/>
    <w:rsid w:val="00CE0054"/>
    <w:rsid w:val="00CE27B0"/>
    <w:rsid w:val="00CE3791"/>
    <w:rsid w:val="00CE3A83"/>
    <w:rsid w:val="00CE5698"/>
    <w:rsid w:val="00CF1F88"/>
    <w:rsid w:val="00CF3F35"/>
    <w:rsid w:val="00CF4480"/>
    <w:rsid w:val="00CF49AA"/>
    <w:rsid w:val="00CF7246"/>
    <w:rsid w:val="00D06301"/>
    <w:rsid w:val="00D07663"/>
    <w:rsid w:val="00D1140C"/>
    <w:rsid w:val="00D1528F"/>
    <w:rsid w:val="00D20A17"/>
    <w:rsid w:val="00D24D52"/>
    <w:rsid w:val="00D24F2E"/>
    <w:rsid w:val="00D257B9"/>
    <w:rsid w:val="00D31D2F"/>
    <w:rsid w:val="00D424D3"/>
    <w:rsid w:val="00D424FC"/>
    <w:rsid w:val="00D44020"/>
    <w:rsid w:val="00D453CF"/>
    <w:rsid w:val="00D53E8C"/>
    <w:rsid w:val="00D55D02"/>
    <w:rsid w:val="00D565EC"/>
    <w:rsid w:val="00D6025E"/>
    <w:rsid w:val="00D63272"/>
    <w:rsid w:val="00D65925"/>
    <w:rsid w:val="00D65AA7"/>
    <w:rsid w:val="00D66817"/>
    <w:rsid w:val="00D67910"/>
    <w:rsid w:val="00D80C4F"/>
    <w:rsid w:val="00D82576"/>
    <w:rsid w:val="00D84E23"/>
    <w:rsid w:val="00D874B9"/>
    <w:rsid w:val="00D942BA"/>
    <w:rsid w:val="00D96AEA"/>
    <w:rsid w:val="00DA7BA8"/>
    <w:rsid w:val="00DB0E16"/>
    <w:rsid w:val="00DB34A6"/>
    <w:rsid w:val="00DB4010"/>
    <w:rsid w:val="00DB7CFA"/>
    <w:rsid w:val="00DC250D"/>
    <w:rsid w:val="00DC6757"/>
    <w:rsid w:val="00DD7B80"/>
    <w:rsid w:val="00DE2561"/>
    <w:rsid w:val="00DE5074"/>
    <w:rsid w:val="00DE7CF1"/>
    <w:rsid w:val="00DF163E"/>
    <w:rsid w:val="00DF1FD2"/>
    <w:rsid w:val="00DF3053"/>
    <w:rsid w:val="00DF570C"/>
    <w:rsid w:val="00DF7395"/>
    <w:rsid w:val="00E0318E"/>
    <w:rsid w:val="00E0544A"/>
    <w:rsid w:val="00E05B68"/>
    <w:rsid w:val="00E10C75"/>
    <w:rsid w:val="00E162CE"/>
    <w:rsid w:val="00E16CD2"/>
    <w:rsid w:val="00E20205"/>
    <w:rsid w:val="00E21F73"/>
    <w:rsid w:val="00E245B4"/>
    <w:rsid w:val="00E2647C"/>
    <w:rsid w:val="00E320B6"/>
    <w:rsid w:val="00E32BB9"/>
    <w:rsid w:val="00E338D2"/>
    <w:rsid w:val="00E3500B"/>
    <w:rsid w:val="00E36335"/>
    <w:rsid w:val="00E3649C"/>
    <w:rsid w:val="00E42157"/>
    <w:rsid w:val="00E429F2"/>
    <w:rsid w:val="00E45E97"/>
    <w:rsid w:val="00E57C83"/>
    <w:rsid w:val="00E60680"/>
    <w:rsid w:val="00E63160"/>
    <w:rsid w:val="00E654FD"/>
    <w:rsid w:val="00E6772D"/>
    <w:rsid w:val="00E71A58"/>
    <w:rsid w:val="00E74575"/>
    <w:rsid w:val="00E81D31"/>
    <w:rsid w:val="00E82C6F"/>
    <w:rsid w:val="00E835B2"/>
    <w:rsid w:val="00E85BCA"/>
    <w:rsid w:val="00E864A1"/>
    <w:rsid w:val="00E9310D"/>
    <w:rsid w:val="00E95F60"/>
    <w:rsid w:val="00EA39F0"/>
    <w:rsid w:val="00EA4DD6"/>
    <w:rsid w:val="00EB14AF"/>
    <w:rsid w:val="00EB385C"/>
    <w:rsid w:val="00EB5E8D"/>
    <w:rsid w:val="00EB6B39"/>
    <w:rsid w:val="00EB6DE2"/>
    <w:rsid w:val="00EC30CC"/>
    <w:rsid w:val="00EC3FAD"/>
    <w:rsid w:val="00EC79F1"/>
    <w:rsid w:val="00ED24F8"/>
    <w:rsid w:val="00ED52A7"/>
    <w:rsid w:val="00EE0E8E"/>
    <w:rsid w:val="00EE6EB5"/>
    <w:rsid w:val="00EF5B11"/>
    <w:rsid w:val="00EF6C42"/>
    <w:rsid w:val="00F2103B"/>
    <w:rsid w:val="00F23A20"/>
    <w:rsid w:val="00F27174"/>
    <w:rsid w:val="00F318A9"/>
    <w:rsid w:val="00F3289B"/>
    <w:rsid w:val="00F34369"/>
    <w:rsid w:val="00F37552"/>
    <w:rsid w:val="00F41AA6"/>
    <w:rsid w:val="00F42AEE"/>
    <w:rsid w:val="00F45C7B"/>
    <w:rsid w:val="00F52092"/>
    <w:rsid w:val="00F52EFE"/>
    <w:rsid w:val="00F54256"/>
    <w:rsid w:val="00F6001E"/>
    <w:rsid w:val="00F6172B"/>
    <w:rsid w:val="00F649DD"/>
    <w:rsid w:val="00F65A04"/>
    <w:rsid w:val="00F65E0F"/>
    <w:rsid w:val="00F67C23"/>
    <w:rsid w:val="00F70B2E"/>
    <w:rsid w:val="00F71A00"/>
    <w:rsid w:val="00F71B9D"/>
    <w:rsid w:val="00F731B4"/>
    <w:rsid w:val="00F73BE8"/>
    <w:rsid w:val="00F74459"/>
    <w:rsid w:val="00F745E6"/>
    <w:rsid w:val="00F76A7F"/>
    <w:rsid w:val="00F81C25"/>
    <w:rsid w:val="00F9200E"/>
    <w:rsid w:val="00F95557"/>
    <w:rsid w:val="00F96573"/>
    <w:rsid w:val="00F96B97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F7"/>
    <w:rsid w:val="00FE6A32"/>
    <w:rsid w:val="00FF251D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9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68DBA-6B9F-4C5E-BB77-E3C60607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Yu Yang A</cp:lastModifiedBy>
  <cp:revision>3</cp:revision>
  <cp:lastPrinted>2014-08-07T12:35:00Z</cp:lastPrinted>
  <dcterms:created xsi:type="dcterms:W3CDTF">2015-04-10T12:44:00Z</dcterms:created>
  <dcterms:modified xsi:type="dcterms:W3CDTF">2015-04-10T12:45:00Z</dcterms:modified>
</cp:coreProperties>
</file>