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40" w:rsidRPr="00E70914" w:rsidRDefault="007E4D40" w:rsidP="007E4D40">
      <w:pPr>
        <w:tabs>
          <w:tab w:val="right" w:pos="9072"/>
        </w:tabs>
        <w:jc w:val="both"/>
        <w:rPr>
          <w:rFonts w:ascii="Arial" w:eastAsia="MS Mincho" w:hAnsi="Arial"/>
          <w:b/>
        </w:rPr>
      </w:pPr>
      <w:bookmarkStart w:id="0" w:name="OLE_LINK1"/>
      <w:bookmarkStart w:id="1" w:name="_GoBack"/>
      <w:bookmarkEnd w:id="1"/>
      <w:r>
        <w:rPr>
          <w:rFonts w:ascii="Arial" w:eastAsia="MS Mincho" w:hAnsi="Arial"/>
          <w:b/>
          <w:bCs/>
        </w:rPr>
        <w:t>3GPP TSG RAN WG1 Meeting #</w:t>
      </w:r>
      <w:r w:rsidR="00025356">
        <w:rPr>
          <w:rFonts w:ascii="Arial" w:eastAsia="MS Mincho" w:hAnsi="Arial"/>
          <w:b/>
          <w:bCs/>
        </w:rPr>
        <w:t>77</w:t>
      </w:r>
      <w:r>
        <w:rPr>
          <w:rFonts w:ascii="Arial" w:eastAsia="MS Mincho" w:hAnsi="Arial"/>
          <w:b/>
          <w:bCs/>
        </w:rPr>
        <w:t>,</w:t>
      </w:r>
      <w:r>
        <w:rPr>
          <w:rFonts w:ascii="Arial" w:eastAsia="MS Mincho" w:hAnsi="Arial"/>
          <w:b/>
          <w:bCs/>
        </w:rPr>
        <w:tab/>
        <w:t>R1-</w:t>
      </w:r>
      <w:r w:rsidR="00F036E3" w:rsidRPr="00F036E3">
        <w:rPr>
          <w:rFonts w:ascii="Arial" w:eastAsia="MS Mincho" w:hAnsi="Arial"/>
          <w:b/>
          <w:bCs/>
        </w:rPr>
        <w:t>14</w:t>
      </w:r>
      <w:r w:rsidR="00F036E3">
        <w:rPr>
          <w:rFonts w:ascii="Arial" w:eastAsia="MS Mincho" w:hAnsi="Arial"/>
          <w:b/>
          <w:bCs/>
        </w:rPr>
        <w:t>2379</w:t>
      </w:r>
    </w:p>
    <w:p w:rsidR="007E4D40" w:rsidRPr="00E70914" w:rsidRDefault="00025356" w:rsidP="007E4D40">
      <w:pPr>
        <w:tabs>
          <w:tab w:val="center" w:pos="4536"/>
          <w:tab w:val="right" w:pos="9072"/>
        </w:tabs>
        <w:jc w:val="both"/>
        <w:rPr>
          <w:rFonts w:ascii="Arial" w:eastAsia="MS Mincho" w:hAnsi="Arial"/>
          <w:b/>
        </w:rPr>
      </w:pPr>
      <w:r>
        <w:rPr>
          <w:rFonts w:ascii="Arial" w:eastAsia="MS Mincho" w:hAnsi="Arial"/>
          <w:b/>
        </w:rPr>
        <w:t>Seoul</w:t>
      </w:r>
      <w:r w:rsidRPr="00E70914">
        <w:rPr>
          <w:rFonts w:ascii="Arial" w:eastAsia="MS Mincho" w:hAnsi="Arial"/>
          <w:b/>
        </w:rPr>
        <w:t xml:space="preserve">, </w:t>
      </w:r>
      <w:r>
        <w:rPr>
          <w:rFonts w:ascii="Arial" w:eastAsia="MS Mincho" w:hAnsi="Arial"/>
          <w:b/>
        </w:rPr>
        <w:t>Korea</w:t>
      </w:r>
      <w:r w:rsidRPr="00E70914">
        <w:rPr>
          <w:rFonts w:ascii="Arial" w:eastAsia="MS Mincho" w:hAnsi="Arial"/>
          <w:b/>
        </w:rPr>
        <w:t xml:space="preserve">, </w:t>
      </w:r>
      <w:r>
        <w:rPr>
          <w:rFonts w:ascii="Arial" w:eastAsia="MS Mincho" w:hAnsi="Arial"/>
          <w:b/>
        </w:rPr>
        <w:t>19</w:t>
      </w:r>
      <w:r w:rsidRPr="00A00936">
        <w:rPr>
          <w:rFonts w:ascii="Arial" w:eastAsia="MS Mincho" w:hAnsi="Arial"/>
          <w:b/>
          <w:vertAlign w:val="superscript"/>
        </w:rPr>
        <w:t>th</w:t>
      </w:r>
      <w:r>
        <w:rPr>
          <w:rFonts w:ascii="Arial" w:eastAsia="MS Mincho" w:hAnsi="Arial"/>
          <w:b/>
        </w:rPr>
        <w:t xml:space="preserve"> </w:t>
      </w:r>
      <w:r w:rsidRPr="00E70914">
        <w:rPr>
          <w:rFonts w:ascii="Arial" w:eastAsia="MS Mincho" w:hAnsi="Arial"/>
          <w:b/>
        </w:rPr>
        <w:t>–</w:t>
      </w:r>
      <w:r>
        <w:rPr>
          <w:rFonts w:ascii="Arial" w:eastAsia="MS Mincho" w:hAnsi="Arial"/>
          <w:b/>
        </w:rPr>
        <w:t xml:space="preserve"> 23</w:t>
      </w:r>
      <w:r w:rsidRPr="00A00936">
        <w:rPr>
          <w:rFonts w:ascii="Arial" w:eastAsia="MS Mincho" w:hAnsi="Arial"/>
          <w:b/>
          <w:vertAlign w:val="superscript"/>
        </w:rPr>
        <w:t>rd</w:t>
      </w:r>
      <w:r>
        <w:rPr>
          <w:rFonts w:ascii="Arial" w:eastAsia="MS Mincho" w:hAnsi="Arial"/>
          <w:b/>
        </w:rPr>
        <w:t xml:space="preserve"> May</w:t>
      </w:r>
      <w:r w:rsidRPr="00E70914">
        <w:rPr>
          <w:rFonts w:ascii="Arial" w:eastAsia="MS Mincho" w:hAnsi="Arial"/>
          <w:b/>
        </w:rPr>
        <w:t xml:space="preserve"> 201</w:t>
      </w:r>
      <w:r>
        <w:rPr>
          <w:rFonts w:ascii="Arial" w:eastAsia="MS Mincho" w:hAnsi="Arial"/>
          <w:b/>
        </w:rPr>
        <w:t>4</w:t>
      </w:r>
    </w:p>
    <w:p w:rsidR="007E4D40" w:rsidRPr="00E70914" w:rsidRDefault="007E4D4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7E4D40">
      <w:pPr>
        <w:pStyle w:val="Header"/>
        <w:tabs>
          <w:tab w:val="clear" w:pos="4536"/>
          <w:tab w:val="left" w:pos="1800"/>
        </w:tabs>
        <w:jc w:val="both"/>
      </w:pPr>
      <w:r w:rsidRPr="00E70914">
        <w:t>Title:</w:t>
      </w:r>
      <w:r w:rsidRPr="00E70914">
        <w:tab/>
      </w:r>
      <w:r>
        <w:t xml:space="preserve">On 256QAM </w:t>
      </w:r>
      <w:r w:rsidR="004D3CD9">
        <w:t>configuration</w:t>
      </w:r>
    </w:p>
    <w:p w:rsidR="007E4D40" w:rsidRPr="00E70914" w:rsidRDefault="007E4D40" w:rsidP="007E4D40">
      <w:pPr>
        <w:pStyle w:val="Header"/>
        <w:tabs>
          <w:tab w:val="left" w:pos="1800"/>
        </w:tabs>
        <w:jc w:val="both"/>
      </w:pPr>
      <w:r w:rsidRPr="00E70914">
        <w:t>Agenda Item:</w:t>
      </w:r>
      <w:r w:rsidRPr="00E70914">
        <w:tab/>
      </w:r>
      <w:r w:rsidR="00CC1C57">
        <w:t>6.2.3.1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4D3CD9" w:rsidRDefault="007E4D40" w:rsidP="002443A0">
      <w:pPr>
        <w:pStyle w:val="BodyText"/>
        <w:jc w:val="both"/>
      </w:pPr>
      <w:r>
        <w:t>Small</w:t>
      </w:r>
      <w:r w:rsidR="002443A0" w:rsidRPr="00E255F3">
        <w:t xml:space="preserve"> cell enhancements –</w:t>
      </w:r>
      <w:r w:rsidR="002443A0">
        <w:t xml:space="preserve"> </w:t>
      </w:r>
      <w:r>
        <w:t xml:space="preserve">physical layer aspects is under discussion in RAN1 including the introduction of DL </w:t>
      </w:r>
      <w:r w:rsidR="004D3CD9">
        <w:t>256QAM in Rel-12</w:t>
      </w:r>
      <w:r w:rsidR="002443A0">
        <w:t>.</w:t>
      </w:r>
      <w:r w:rsidR="004D3CD9">
        <w:t xml:space="preserve"> At the previous RAN1 meeting, the following conclusion was made:</w:t>
      </w:r>
    </w:p>
    <w:p w:rsidR="004D3CD9" w:rsidRPr="00E90442" w:rsidRDefault="004D3CD9" w:rsidP="004D3CD9">
      <w:pPr>
        <w:rPr>
          <w:rFonts w:eastAsia="MS Mincho"/>
          <w:iCs/>
          <w:szCs w:val="20"/>
          <w:lang w:eastAsia="ja-JP"/>
        </w:rPr>
      </w:pPr>
      <w:r w:rsidRPr="00E90442">
        <w:rPr>
          <w:rFonts w:eastAsia="MS Mincho"/>
          <w:iCs/>
          <w:szCs w:val="20"/>
          <w:highlight w:val="green"/>
          <w:lang w:eastAsia="ja-JP"/>
        </w:rPr>
        <w:t>Conclusion</w:t>
      </w:r>
      <w:r w:rsidRPr="00E90442">
        <w:rPr>
          <w:rFonts w:eastAsia="MS Mincho"/>
          <w:iCs/>
          <w:szCs w:val="20"/>
          <w:lang w:eastAsia="ja-JP"/>
        </w:rPr>
        <w:t>:</w:t>
      </w:r>
    </w:p>
    <w:p w:rsidR="004D3CD9" w:rsidRPr="00E90442" w:rsidRDefault="004D3CD9" w:rsidP="004D3CD9">
      <w:pPr>
        <w:numPr>
          <w:ilvl w:val="0"/>
          <w:numId w:val="8"/>
        </w:numPr>
        <w:rPr>
          <w:szCs w:val="20"/>
        </w:rPr>
      </w:pPr>
      <w:r w:rsidRPr="00E90442">
        <w:rPr>
          <w:szCs w:val="20"/>
        </w:rPr>
        <w:t>In TM10, decide in RAN1#77 between the following alternatives:</w:t>
      </w:r>
    </w:p>
    <w:p w:rsidR="004D3CD9" w:rsidRPr="00E90442" w:rsidRDefault="004D3CD9" w:rsidP="004D3CD9">
      <w:pPr>
        <w:numPr>
          <w:ilvl w:val="1"/>
          <w:numId w:val="8"/>
        </w:numPr>
        <w:rPr>
          <w:szCs w:val="20"/>
        </w:rPr>
      </w:pPr>
      <w:r w:rsidRPr="00E90442">
        <w:rPr>
          <w:szCs w:val="20"/>
        </w:rPr>
        <w:t>Alt 1: CQI table can be CSI process dependent and MCS table can be PQI dependent</w:t>
      </w:r>
    </w:p>
    <w:p w:rsidR="004D3CD9" w:rsidRPr="00E90442" w:rsidRDefault="004D3CD9" w:rsidP="004D3CD9">
      <w:pPr>
        <w:numPr>
          <w:ilvl w:val="1"/>
          <w:numId w:val="8"/>
        </w:numPr>
        <w:rPr>
          <w:szCs w:val="20"/>
        </w:rPr>
      </w:pPr>
      <w:r w:rsidRPr="00E90442">
        <w:rPr>
          <w:szCs w:val="20"/>
        </w:rPr>
        <w:t>Alt 2: CQI table is common for all CSI processes and MCS table is common for all PQI sets</w:t>
      </w:r>
    </w:p>
    <w:p w:rsidR="004D3CD9" w:rsidRPr="00E90442" w:rsidRDefault="004D3CD9" w:rsidP="004D3CD9">
      <w:pPr>
        <w:numPr>
          <w:ilvl w:val="1"/>
          <w:numId w:val="8"/>
        </w:numPr>
        <w:rPr>
          <w:szCs w:val="20"/>
        </w:rPr>
      </w:pPr>
      <w:r w:rsidRPr="00E90442">
        <w:rPr>
          <w:szCs w:val="20"/>
        </w:rPr>
        <w:t>Alt 3: CQI table can be CSI process dependent and MCS table is common for all PQI states</w:t>
      </w:r>
    </w:p>
    <w:p w:rsidR="004D3CD9" w:rsidRPr="00E90442" w:rsidRDefault="004D3CD9" w:rsidP="004D3CD9">
      <w:pPr>
        <w:numPr>
          <w:ilvl w:val="0"/>
          <w:numId w:val="8"/>
        </w:numPr>
        <w:rPr>
          <w:rFonts w:eastAsia="MS Mincho"/>
          <w:iCs/>
          <w:szCs w:val="20"/>
          <w:lang w:eastAsia="ja-JP"/>
        </w:rPr>
      </w:pPr>
      <w:r w:rsidRPr="00E90442">
        <w:rPr>
          <w:rFonts w:eastAsia="MS Mincho"/>
          <w:iCs/>
          <w:szCs w:val="20"/>
          <w:lang w:eastAsia="ja-JP"/>
        </w:rPr>
        <w:t xml:space="preserve">FFS, </w:t>
      </w:r>
      <w:r w:rsidRPr="00E90442">
        <w:rPr>
          <w:szCs w:val="20"/>
        </w:rPr>
        <w:t>decide in RAN1#77 between the following two alternatives</w:t>
      </w:r>
      <w:r w:rsidRPr="00E90442">
        <w:rPr>
          <w:rFonts w:eastAsia="MS Mincho"/>
          <w:iCs/>
          <w:szCs w:val="20"/>
          <w:lang w:eastAsia="ja-JP"/>
        </w:rPr>
        <w:t xml:space="preserve"> </w:t>
      </w:r>
    </w:p>
    <w:p w:rsidR="004D3CD9" w:rsidRPr="00E90442" w:rsidRDefault="004D3CD9" w:rsidP="004D3CD9">
      <w:pPr>
        <w:numPr>
          <w:ilvl w:val="1"/>
          <w:numId w:val="8"/>
        </w:numPr>
        <w:rPr>
          <w:rFonts w:eastAsia="MS Mincho"/>
          <w:iCs/>
          <w:szCs w:val="20"/>
          <w:lang w:eastAsia="ja-JP"/>
        </w:rPr>
      </w:pPr>
      <w:r w:rsidRPr="00E90442">
        <w:rPr>
          <w:rFonts w:eastAsia="MS Mincho"/>
          <w:iCs/>
          <w:szCs w:val="20"/>
          <w:lang w:eastAsia="ja-JP"/>
        </w:rPr>
        <w:t>Alt 1: the u</w:t>
      </w:r>
      <w:r w:rsidRPr="00E90442">
        <w:rPr>
          <w:rFonts w:eastAsia="MS Mincho" w:hint="eastAsia"/>
          <w:iCs/>
          <w:szCs w:val="20"/>
          <w:lang w:eastAsia="ja-JP"/>
        </w:rPr>
        <w:t xml:space="preserve">se of 256QAM CQI table can be configured for each measurement subframe set </w:t>
      </w:r>
    </w:p>
    <w:p w:rsidR="004D3CD9" w:rsidRPr="00E90442" w:rsidRDefault="004D3CD9" w:rsidP="004D3CD9">
      <w:pPr>
        <w:numPr>
          <w:ilvl w:val="1"/>
          <w:numId w:val="8"/>
        </w:numPr>
        <w:rPr>
          <w:rFonts w:eastAsia="MS Mincho"/>
          <w:iCs/>
          <w:szCs w:val="20"/>
          <w:lang w:eastAsia="ja-JP"/>
        </w:rPr>
      </w:pPr>
      <w:r w:rsidRPr="00E90442">
        <w:rPr>
          <w:rFonts w:eastAsia="MS Mincho"/>
          <w:iCs/>
          <w:szCs w:val="20"/>
          <w:lang w:eastAsia="ja-JP"/>
        </w:rPr>
        <w:t>Alt 2: the u</w:t>
      </w:r>
      <w:r w:rsidRPr="00E90442">
        <w:rPr>
          <w:rFonts w:eastAsia="MS Mincho" w:hint="eastAsia"/>
          <w:iCs/>
          <w:szCs w:val="20"/>
          <w:lang w:eastAsia="ja-JP"/>
        </w:rPr>
        <w:t>se of 256QAM CQI table can be configured</w:t>
      </w:r>
      <w:r w:rsidRPr="00E90442">
        <w:rPr>
          <w:rFonts w:eastAsia="MS Mincho"/>
          <w:iCs/>
          <w:szCs w:val="20"/>
          <w:lang w:eastAsia="ja-JP"/>
        </w:rPr>
        <w:t xml:space="preserve"> is common for all measurement subframe sets</w:t>
      </w:r>
    </w:p>
    <w:p w:rsidR="004D3CD9" w:rsidRDefault="004D3CD9" w:rsidP="002443A0">
      <w:pPr>
        <w:pStyle w:val="BodyText"/>
        <w:jc w:val="both"/>
      </w:pPr>
    </w:p>
    <w:p w:rsidR="002443A0" w:rsidRPr="00E70914" w:rsidRDefault="002443A0" w:rsidP="002443A0">
      <w:pPr>
        <w:pStyle w:val="BodyText"/>
        <w:jc w:val="both"/>
      </w:pPr>
      <w:r>
        <w:t xml:space="preserve">In this contribution, we provide </w:t>
      </w:r>
      <w:r w:rsidR="004D3CD9">
        <w:t>our view</w:t>
      </w:r>
      <w:r>
        <w:t xml:space="preserve"> on 256QAM UE </w:t>
      </w:r>
      <w:r w:rsidR="004D3CD9">
        <w:t xml:space="preserve">configuration for these </w:t>
      </w:r>
      <w:proofErr w:type="spellStart"/>
      <w:r w:rsidR="004D3CD9">
        <w:t>CoMP</w:t>
      </w:r>
      <w:proofErr w:type="spellEnd"/>
      <w:r w:rsidR="004D3CD9">
        <w:t xml:space="preserve"> and </w:t>
      </w:r>
      <w:proofErr w:type="spellStart"/>
      <w:r w:rsidR="00302943">
        <w:t>eIMTA</w:t>
      </w:r>
      <w:proofErr w:type="spellEnd"/>
      <w:r w:rsidR="00302943">
        <w:t xml:space="preserve">, </w:t>
      </w:r>
      <w:proofErr w:type="spellStart"/>
      <w:r w:rsidR="004D3CD9">
        <w:t>feICIC</w:t>
      </w:r>
      <w:proofErr w:type="spellEnd"/>
      <w:r w:rsidR="004D3CD9">
        <w:t xml:space="preserve"> related features</w:t>
      </w:r>
      <w:r w:rsidRPr="00E255F3">
        <w:t>.</w:t>
      </w:r>
    </w:p>
    <w:p w:rsidR="00FB62BB" w:rsidRPr="00854A04" w:rsidRDefault="002443A0" w:rsidP="004D3CD9">
      <w:pPr>
        <w:pStyle w:val="Heading1"/>
        <w:jc w:val="both"/>
      </w:pPr>
      <w:bookmarkStart w:id="3" w:name="_Ref346118000"/>
      <w:r w:rsidRPr="00E70914">
        <w:t>Di</w:t>
      </w:r>
      <w:bookmarkEnd w:id="3"/>
      <w:r w:rsidR="004D3CD9">
        <w:t>scussion</w:t>
      </w:r>
    </w:p>
    <w:p w:rsidR="004D3CD9" w:rsidRDefault="004D3CD9" w:rsidP="00FB62BB">
      <w:pPr>
        <w:pStyle w:val="BodyText"/>
        <w:jc w:val="both"/>
        <w:rPr>
          <w:rFonts w:eastAsia="Malgun Gothic"/>
          <w:kern w:val="2"/>
          <w:lang w:eastAsia="ko-KR"/>
        </w:rPr>
      </w:pPr>
      <w:r>
        <w:rPr>
          <w:rFonts w:eastAsia="Malgun Gothic"/>
          <w:kern w:val="2"/>
          <w:lang w:eastAsia="ko-KR"/>
        </w:rPr>
        <w:t>As seen in the three alternatives above for TM10, an open issue is whether t</w:t>
      </w:r>
      <w:r w:rsidR="00FB62BB" w:rsidRPr="00854A04">
        <w:rPr>
          <w:rFonts w:eastAsia="Malgun Gothic"/>
          <w:kern w:val="2"/>
          <w:lang w:eastAsia="ko-KR"/>
        </w:rPr>
        <w:t>o</w:t>
      </w:r>
      <w:r>
        <w:rPr>
          <w:rFonts w:eastAsia="Malgun Gothic"/>
          <w:kern w:val="2"/>
          <w:lang w:eastAsia="ko-KR"/>
        </w:rPr>
        <w:t xml:space="preserve"> include the possibility to</w:t>
      </w:r>
      <w:r w:rsidR="00FB62BB" w:rsidRPr="00854A04">
        <w:rPr>
          <w:rFonts w:eastAsia="Malgun Gothic"/>
          <w:kern w:val="2"/>
          <w:lang w:eastAsia="ko-KR"/>
        </w:rPr>
        <w:t xml:space="preserve"> configure CQI/MCS table </w:t>
      </w:r>
      <w:r>
        <w:rPr>
          <w:rFonts w:eastAsia="Malgun Gothic"/>
          <w:kern w:val="2"/>
          <w:lang w:eastAsia="ko-KR"/>
        </w:rPr>
        <w:t>per CSI process and/or PQI state. The argued benefi</w:t>
      </w:r>
      <w:r w:rsidR="002360A5">
        <w:rPr>
          <w:rFonts w:eastAsia="Malgun Gothic"/>
          <w:kern w:val="2"/>
          <w:lang w:eastAsia="ko-KR"/>
        </w:rPr>
        <w:t xml:space="preserve">t of allowing this would be increased performance in a network where coordinated multipoint transmissions are used involving </w:t>
      </w:r>
      <w:proofErr w:type="spellStart"/>
      <w:r w:rsidR="002360A5">
        <w:rPr>
          <w:rFonts w:eastAsia="Malgun Gothic"/>
          <w:kern w:val="2"/>
          <w:lang w:eastAsia="ko-KR"/>
        </w:rPr>
        <w:t>eNB</w:t>
      </w:r>
      <w:proofErr w:type="spellEnd"/>
      <w:r w:rsidR="002360A5">
        <w:rPr>
          <w:rFonts w:eastAsia="Malgun Gothic"/>
          <w:kern w:val="2"/>
          <w:lang w:eastAsia="ko-KR"/>
        </w:rPr>
        <w:t xml:space="preserve"> with different 256QAM capability</w:t>
      </w:r>
      <w:r w:rsidR="00302943">
        <w:rPr>
          <w:rFonts w:eastAsia="Malgun Gothic"/>
          <w:kern w:val="2"/>
          <w:lang w:eastAsia="ko-KR"/>
        </w:rPr>
        <w:t xml:space="preserve"> and where the SINR of different processes are significantly different</w:t>
      </w:r>
      <w:r w:rsidR="002360A5">
        <w:rPr>
          <w:rFonts w:eastAsia="Malgun Gothic"/>
          <w:kern w:val="2"/>
          <w:lang w:eastAsia="ko-KR"/>
        </w:rPr>
        <w:t xml:space="preserve">.  </w:t>
      </w:r>
    </w:p>
    <w:p w:rsidR="00874446" w:rsidRDefault="002360A5" w:rsidP="00FB62BB">
      <w:pPr>
        <w:pStyle w:val="BodyText"/>
        <w:jc w:val="both"/>
        <w:rPr>
          <w:rFonts w:eastAsia="Malgun Gothic"/>
          <w:kern w:val="2"/>
          <w:lang w:eastAsia="ko-KR"/>
        </w:rPr>
      </w:pPr>
      <w:r>
        <w:rPr>
          <w:rFonts w:eastAsia="Malgun Gothic"/>
          <w:kern w:val="2"/>
          <w:lang w:eastAsia="ko-KR"/>
        </w:rPr>
        <w:t xml:space="preserve">The </w:t>
      </w:r>
      <w:r w:rsidR="00874446">
        <w:rPr>
          <w:rFonts w:eastAsia="Malgun Gothic"/>
          <w:kern w:val="2"/>
          <w:lang w:eastAsia="ko-KR"/>
        </w:rPr>
        <w:t>baseline</w:t>
      </w:r>
      <w:r>
        <w:rPr>
          <w:rFonts w:eastAsia="Malgun Gothic"/>
          <w:kern w:val="2"/>
          <w:lang w:eastAsia="ko-KR"/>
        </w:rPr>
        <w:t xml:space="preserve"> is to adopt </w:t>
      </w:r>
      <w:r w:rsidRPr="002360A5">
        <w:rPr>
          <w:rFonts w:eastAsia="Malgun Gothic"/>
          <w:i/>
          <w:kern w:val="2"/>
          <w:lang w:eastAsia="ko-KR"/>
        </w:rPr>
        <w:t>Alt.2:</w:t>
      </w:r>
      <w:r>
        <w:rPr>
          <w:rFonts w:eastAsia="Malgun Gothic"/>
          <w:kern w:val="2"/>
          <w:lang w:eastAsia="ko-KR"/>
        </w:rPr>
        <w:t xml:space="preserve"> </w:t>
      </w:r>
      <w:r w:rsidRPr="002360A5">
        <w:rPr>
          <w:rFonts w:eastAsia="Malgun Gothic"/>
          <w:i/>
          <w:kern w:val="2"/>
          <w:lang w:eastAsia="ko-KR"/>
        </w:rPr>
        <w:t>Using a common CQI table for all CSI processes and a common MCS table for all PQI states</w:t>
      </w:r>
      <w:r>
        <w:rPr>
          <w:rFonts w:eastAsia="Malgun Gothic"/>
          <w:kern w:val="2"/>
          <w:lang w:eastAsia="ko-KR"/>
        </w:rPr>
        <w:t xml:space="preserve">. The question is then how much performance </w:t>
      </w:r>
      <w:r w:rsidR="00302943">
        <w:rPr>
          <w:rFonts w:eastAsia="Malgun Gothic"/>
          <w:kern w:val="2"/>
          <w:lang w:eastAsia="ko-KR"/>
        </w:rPr>
        <w:t xml:space="preserve">gain can be achieved </w:t>
      </w:r>
      <w:r w:rsidR="00874446">
        <w:rPr>
          <w:rFonts w:eastAsia="Malgun Gothic"/>
          <w:kern w:val="2"/>
          <w:lang w:eastAsia="ko-KR"/>
        </w:rPr>
        <w:t xml:space="preserve">with the other alternatives where </w:t>
      </w:r>
      <w:r w:rsidR="00A94F5E">
        <w:rPr>
          <w:rFonts w:eastAsia="Malgun Gothic"/>
          <w:kern w:val="2"/>
          <w:lang w:eastAsia="ko-KR"/>
        </w:rPr>
        <w:t xml:space="preserve">CQI </w:t>
      </w:r>
      <w:r w:rsidR="00874446">
        <w:rPr>
          <w:rFonts w:eastAsia="Malgun Gothic"/>
          <w:kern w:val="2"/>
          <w:lang w:eastAsia="ko-KR"/>
        </w:rPr>
        <w:t xml:space="preserve">table is independent per CSI process. Specifically, how much is performance changed if the new </w:t>
      </w:r>
      <w:r w:rsidR="00A94F5E">
        <w:rPr>
          <w:rFonts w:eastAsia="Malgun Gothic"/>
          <w:kern w:val="2"/>
          <w:lang w:eastAsia="ko-KR"/>
        </w:rPr>
        <w:t xml:space="preserve">CQI </w:t>
      </w:r>
      <w:r w:rsidR="00874446">
        <w:rPr>
          <w:rFonts w:eastAsia="Malgun Gothic"/>
          <w:kern w:val="2"/>
          <w:lang w:eastAsia="ko-KR"/>
        </w:rPr>
        <w:t>table is used even for UEs in poor radio conditions, where the new table has sparser sampling of the SINR range</w:t>
      </w:r>
      <w:r w:rsidR="0049363B">
        <w:rPr>
          <w:rFonts w:eastAsia="Malgun Gothic"/>
          <w:kern w:val="2"/>
          <w:lang w:eastAsia="ko-KR"/>
        </w:rPr>
        <w:t xml:space="preserve"> in the QPSK </w:t>
      </w:r>
      <w:proofErr w:type="gramStart"/>
      <w:r w:rsidR="0049363B">
        <w:rPr>
          <w:rFonts w:eastAsia="Malgun Gothic"/>
          <w:kern w:val="2"/>
          <w:lang w:eastAsia="ko-KR"/>
        </w:rPr>
        <w:t>region</w:t>
      </w:r>
      <w:r w:rsidR="00874446">
        <w:rPr>
          <w:rFonts w:eastAsia="Malgun Gothic"/>
          <w:kern w:val="2"/>
          <w:lang w:eastAsia="ko-KR"/>
        </w:rPr>
        <w:t>.</w:t>
      </w:r>
      <w:proofErr w:type="gramEnd"/>
      <w:r w:rsidR="00874446">
        <w:rPr>
          <w:rFonts w:eastAsia="Malgun Gothic"/>
          <w:kern w:val="2"/>
          <w:lang w:eastAsia="ko-KR"/>
        </w:rPr>
        <w:t xml:space="preserve"> </w:t>
      </w:r>
      <w:r w:rsidR="00302943">
        <w:rPr>
          <w:rFonts w:eastAsia="Malgun Gothic"/>
          <w:kern w:val="2"/>
          <w:lang w:eastAsia="ko-KR"/>
        </w:rPr>
        <w:t xml:space="preserve"> </w:t>
      </w:r>
    </w:p>
    <w:p w:rsidR="00C57D36" w:rsidRDefault="002360A5" w:rsidP="00FB62BB">
      <w:pPr>
        <w:pStyle w:val="BodyText"/>
        <w:jc w:val="both"/>
        <w:rPr>
          <w:rFonts w:eastAsia="Malgun Gothic"/>
          <w:kern w:val="2"/>
          <w:lang w:eastAsia="ko-KR"/>
        </w:rPr>
      </w:pPr>
      <w:r>
        <w:rPr>
          <w:rFonts w:eastAsia="Malgun Gothic"/>
          <w:kern w:val="2"/>
          <w:lang w:eastAsia="ko-KR"/>
        </w:rPr>
        <w:t xml:space="preserve">To investigate this, </w:t>
      </w:r>
      <w:r w:rsidR="00302943">
        <w:rPr>
          <w:rFonts w:eastAsia="Malgun Gothic"/>
          <w:kern w:val="2"/>
          <w:lang w:eastAsia="ko-KR"/>
        </w:rPr>
        <w:t xml:space="preserve">a system level simulation was made comparing the legacy </w:t>
      </w:r>
      <w:r w:rsidR="00A94F5E">
        <w:rPr>
          <w:rFonts w:eastAsia="Malgun Gothic"/>
          <w:kern w:val="2"/>
          <w:lang w:eastAsia="ko-KR"/>
        </w:rPr>
        <w:t xml:space="preserve">CQI </w:t>
      </w:r>
      <w:r w:rsidR="00874446">
        <w:rPr>
          <w:rFonts w:eastAsia="Malgun Gothic"/>
          <w:kern w:val="2"/>
          <w:lang w:eastAsia="ko-KR"/>
        </w:rPr>
        <w:t>table</w:t>
      </w:r>
      <w:r w:rsidR="00302943">
        <w:rPr>
          <w:rFonts w:eastAsia="Malgun Gothic"/>
          <w:kern w:val="2"/>
          <w:lang w:eastAsia="ko-KR"/>
        </w:rPr>
        <w:t xml:space="preserve"> and the</w:t>
      </w:r>
      <w:r w:rsidR="00874446">
        <w:rPr>
          <w:rFonts w:eastAsia="Malgun Gothic"/>
          <w:kern w:val="2"/>
          <w:lang w:eastAsia="ko-KR"/>
        </w:rPr>
        <w:t xml:space="preserve"> </w:t>
      </w:r>
      <w:r w:rsidR="00B02614">
        <w:rPr>
          <w:rFonts w:eastAsia="Malgun Gothic"/>
          <w:kern w:val="2"/>
          <w:lang w:eastAsia="ko-KR"/>
        </w:rPr>
        <w:t xml:space="preserve">2 options of </w:t>
      </w:r>
      <w:r w:rsidR="00302943">
        <w:rPr>
          <w:rFonts w:eastAsia="Malgun Gothic"/>
          <w:kern w:val="2"/>
          <w:lang w:eastAsia="ko-KR"/>
        </w:rPr>
        <w:t xml:space="preserve">new </w:t>
      </w:r>
      <w:r w:rsidR="00B02614">
        <w:rPr>
          <w:rFonts w:eastAsia="Malgun Gothic"/>
          <w:kern w:val="2"/>
          <w:lang w:eastAsia="ko-KR"/>
        </w:rPr>
        <w:t xml:space="preserve">CQI </w:t>
      </w:r>
      <w:r w:rsidR="00874446">
        <w:rPr>
          <w:rFonts w:eastAsia="Malgun Gothic"/>
          <w:kern w:val="2"/>
          <w:lang w:eastAsia="ko-KR"/>
        </w:rPr>
        <w:t>table</w:t>
      </w:r>
      <w:r w:rsidR="00A85F5D">
        <w:rPr>
          <w:rFonts w:eastAsia="Malgun Gothic"/>
          <w:kern w:val="2"/>
          <w:lang w:eastAsia="ko-KR"/>
        </w:rPr>
        <w:t xml:space="preserve"> based on simulation assumptions in Appendix</w:t>
      </w:r>
      <w:r w:rsidR="00302943">
        <w:rPr>
          <w:rFonts w:eastAsia="Malgun Gothic"/>
          <w:kern w:val="2"/>
          <w:lang w:eastAsia="ko-KR"/>
        </w:rPr>
        <w:t>.</w:t>
      </w:r>
      <w:r w:rsidR="00874446">
        <w:rPr>
          <w:rFonts w:eastAsia="Malgun Gothic"/>
          <w:kern w:val="2"/>
          <w:lang w:eastAsia="ko-KR"/>
        </w:rPr>
        <w:t xml:space="preserve"> </w:t>
      </w:r>
      <w:r w:rsidR="00C57D36">
        <w:rPr>
          <w:rFonts w:eastAsia="Malgun Gothic"/>
          <w:kern w:val="2"/>
          <w:lang w:eastAsia="ko-KR"/>
        </w:rPr>
        <w:t xml:space="preserve">The radio link failures and user throughput were measured. No uplink user data traffic was simulated, only PRACH and some PUSCH transmissions like status reports. </w:t>
      </w:r>
    </w:p>
    <w:p w:rsidR="00C57D36" w:rsidRDefault="00874446" w:rsidP="00FB62BB">
      <w:pPr>
        <w:pStyle w:val="BodyText"/>
        <w:jc w:val="both"/>
        <w:rPr>
          <w:rFonts w:eastAsia="Malgun Gothic"/>
          <w:kern w:val="2"/>
          <w:lang w:eastAsia="ko-KR"/>
        </w:rPr>
      </w:pPr>
      <w:r>
        <w:rPr>
          <w:rFonts w:eastAsia="Malgun Gothic"/>
          <w:kern w:val="2"/>
          <w:lang w:eastAsia="ko-KR"/>
        </w:rPr>
        <w:t>If there would be a difference between the two tables, it would be clearly visible for cell edge UEs.</w:t>
      </w:r>
    </w:p>
    <w:p w:rsidR="00C57D36" w:rsidRDefault="00C57D36">
      <w:pPr>
        <w:spacing w:after="200" w:line="276" w:lineRule="auto"/>
        <w:rPr>
          <w:rFonts w:eastAsia="Malgun Gothic"/>
          <w:kern w:val="2"/>
          <w:lang w:eastAsia="ko-KR"/>
        </w:rPr>
      </w:pPr>
      <w:r>
        <w:rPr>
          <w:rFonts w:eastAsia="Malgun Gothic"/>
          <w:kern w:val="2"/>
          <w:lang w:eastAsia="ko-KR"/>
        </w:rPr>
        <w:br w:type="page"/>
      </w:r>
    </w:p>
    <w:p w:rsidR="00C57D36" w:rsidRPr="00C57D36" w:rsidRDefault="00874446" w:rsidP="0003552A">
      <w:pPr>
        <w:pStyle w:val="BodyText"/>
        <w:jc w:val="both"/>
        <w:rPr>
          <w:rFonts w:eastAsia="Malgun Gothic"/>
          <w:kern w:val="2"/>
          <w:lang w:eastAsia="ko-KR"/>
        </w:rPr>
      </w:pPr>
      <w:r>
        <w:rPr>
          <w:rFonts w:eastAsia="Malgun Gothic"/>
          <w:kern w:val="2"/>
          <w:lang w:eastAsia="ko-KR"/>
        </w:rPr>
        <w:lastRenderedPageBreak/>
        <w:t xml:space="preserve">In </w:t>
      </w:r>
      <w:r>
        <w:rPr>
          <w:rFonts w:eastAsia="Malgun Gothic"/>
          <w:kern w:val="2"/>
          <w:lang w:eastAsia="ko-KR"/>
        </w:rPr>
        <w:fldChar w:fldCharType="begin"/>
      </w:r>
      <w:r>
        <w:rPr>
          <w:rFonts w:eastAsia="Malgun Gothic"/>
          <w:kern w:val="2"/>
          <w:lang w:eastAsia="ko-KR"/>
        </w:rPr>
        <w:instrText xml:space="preserve"> REF _Ref387233345 \h </w:instrText>
      </w:r>
      <w:r>
        <w:rPr>
          <w:rFonts w:eastAsia="Malgun Gothic"/>
          <w:kern w:val="2"/>
          <w:lang w:eastAsia="ko-KR"/>
        </w:rPr>
      </w:r>
      <w:r>
        <w:rPr>
          <w:rFonts w:eastAsia="Malgun Gothic"/>
          <w:kern w:val="2"/>
          <w:lang w:eastAsia="ko-KR"/>
        </w:rPr>
        <w:fldChar w:fldCharType="separate"/>
      </w:r>
      <w:r>
        <w:t xml:space="preserve">Figure </w:t>
      </w:r>
      <w:r>
        <w:rPr>
          <w:noProof/>
        </w:rPr>
        <w:t>1</w:t>
      </w:r>
      <w:r>
        <w:rPr>
          <w:rFonts w:eastAsia="Malgun Gothic"/>
          <w:kern w:val="2"/>
          <w:lang w:eastAsia="ko-KR"/>
        </w:rPr>
        <w:fldChar w:fldCharType="end"/>
      </w:r>
      <w:r>
        <w:rPr>
          <w:rFonts w:eastAsia="Malgun Gothic"/>
          <w:kern w:val="2"/>
          <w:lang w:eastAsia="ko-KR"/>
        </w:rPr>
        <w:t>, the results show that the impact is negligible. Hence, we make this observation:</w:t>
      </w:r>
      <w:r w:rsidR="00302943">
        <w:rPr>
          <w:rFonts w:eastAsia="Malgun Gothic"/>
          <w:kern w:val="2"/>
          <w:lang w:eastAsia="ko-KR"/>
        </w:rPr>
        <w:t xml:space="preserve"> </w:t>
      </w:r>
      <w:r w:rsidR="002360A5">
        <w:rPr>
          <w:rFonts w:eastAsia="Malgun Gothic"/>
          <w:kern w:val="2"/>
          <w:lang w:eastAsia="ko-KR"/>
        </w:rPr>
        <w:t xml:space="preserve">  </w:t>
      </w:r>
    </w:p>
    <w:p w:rsidR="00C87EC0" w:rsidRDefault="00874446" w:rsidP="0003552A">
      <w:pPr>
        <w:pStyle w:val="BodyText"/>
        <w:jc w:val="both"/>
        <w:rPr>
          <w:rFonts w:eastAsia="Malgun Gothic"/>
          <w:kern w:val="2"/>
          <w:lang w:eastAsia="ko-KR"/>
        </w:rPr>
      </w:pPr>
      <w:r w:rsidRPr="00874446">
        <w:rPr>
          <w:rFonts w:eastAsia="Malgun Gothic"/>
          <w:b/>
          <w:i/>
          <w:kern w:val="2"/>
          <w:lang w:eastAsia="ko-KR"/>
        </w:rPr>
        <w:t>Observation:</w:t>
      </w:r>
      <w:r>
        <w:rPr>
          <w:rFonts w:eastAsia="Malgun Gothic"/>
          <w:kern w:val="2"/>
          <w:lang w:eastAsia="ko-KR"/>
        </w:rPr>
        <w:t xml:space="preserve"> </w:t>
      </w:r>
    </w:p>
    <w:p w:rsidR="0003552A" w:rsidRPr="00C57D36" w:rsidRDefault="000F7C1E" w:rsidP="00C57D36">
      <w:pPr>
        <w:pStyle w:val="BodyText"/>
        <w:numPr>
          <w:ilvl w:val="0"/>
          <w:numId w:val="10"/>
        </w:numPr>
        <w:jc w:val="both"/>
        <w:rPr>
          <w:rFonts w:eastAsia="Malgun Gothic"/>
          <w:i/>
          <w:kern w:val="2"/>
          <w:lang w:eastAsia="ko-KR"/>
        </w:rPr>
      </w:pPr>
      <w:r w:rsidRPr="0003552A">
        <w:rPr>
          <w:rFonts w:eastAsia="Malgun Gothic"/>
          <w:i/>
          <w:kern w:val="2"/>
          <w:lang w:eastAsia="ko-KR"/>
        </w:rPr>
        <w:t xml:space="preserve">The new table </w:t>
      </w:r>
      <w:r w:rsidR="00874446" w:rsidRPr="0003552A">
        <w:rPr>
          <w:rFonts w:eastAsia="Malgun Gothic"/>
          <w:i/>
          <w:kern w:val="2"/>
          <w:lang w:eastAsia="ko-KR"/>
        </w:rPr>
        <w:t xml:space="preserve">provides </w:t>
      </w:r>
      <w:r w:rsidR="00FB62BB" w:rsidRPr="0003552A">
        <w:rPr>
          <w:rFonts w:eastAsia="Malgun Gothic"/>
          <w:i/>
          <w:kern w:val="2"/>
          <w:lang w:eastAsia="ko-KR"/>
        </w:rPr>
        <w:t>enoug</w:t>
      </w:r>
      <w:r w:rsidR="00874446" w:rsidRPr="0003552A">
        <w:rPr>
          <w:rFonts w:eastAsia="Malgun Gothic"/>
          <w:i/>
          <w:kern w:val="2"/>
          <w:lang w:eastAsia="ko-KR"/>
        </w:rPr>
        <w:t xml:space="preserve">h robustness for low SNR region </w:t>
      </w:r>
      <w:r w:rsidRPr="0003552A">
        <w:rPr>
          <w:rFonts w:eastAsia="Malgun Gothic"/>
          <w:i/>
          <w:kern w:val="2"/>
          <w:lang w:eastAsia="ko-KR"/>
        </w:rPr>
        <w:t xml:space="preserve">and there is no benefit to adopt different </w:t>
      </w:r>
      <w:r w:rsidR="00A94F5E" w:rsidRPr="0003552A">
        <w:rPr>
          <w:rFonts w:eastAsia="Malgun Gothic"/>
          <w:i/>
          <w:kern w:val="2"/>
          <w:lang w:eastAsia="ko-KR"/>
        </w:rPr>
        <w:t xml:space="preserve">CQI </w:t>
      </w:r>
      <w:r w:rsidRPr="0003552A">
        <w:rPr>
          <w:rFonts w:eastAsia="Malgun Gothic"/>
          <w:i/>
          <w:kern w:val="2"/>
          <w:lang w:eastAsia="ko-KR"/>
        </w:rPr>
        <w:t>tables for different CSI processes</w:t>
      </w:r>
      <w:r w:rsidR="00874446" w:rsidRPr="0003552A">
        <w:rPr>
          <w:rFonts w:eastAsia="Malgun Gothic"/>
          <w:i/>
          <w:kern w:val="2"/>
          <w:lang w:eastAsia="ko-KR"/>
        </w:rPr>
        <w:t xml:space="preserve"> </w:t>
      </w:r>
      <w:r w:rsidR="00FB62BB" w:rsidRPr="0003552A">
        <w:rPr>
          <w:rFonts w:eastAsia="Malgun Gothic"/>
          <w:i/>
          <w:kern w:val="2"/>
          <w:lang w:eastAsia="ko-KR"/>
        </w:rPr>
        <w:t xml:space="preserve"> </w:t>
      </w:r>
    </w:p>
    <w:p w:rsidR="00874446" w:rsidRDefault="00C96F8C" w:rsidP="0003552A">
      <w:pPr>
        <w:pStyle w:val="BodyText"/>
        <w:keepNext/>
        <w:jc w:val="center"/>
      </w:pPr>
      <w:r>
        <w:rPr>
          <w:noProof/>
        </w:rPr>
        <w:drawing>
          <wp:inline distT="0" distB="0" distL="0" distR="0" wp14:anchorId="55118A45" wp14:editId="1CF26F02">
            <wp:extent cx="5715000" cy="3239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6105"/>
                    <a:stretch/>
                  </pic:blipFill>
                  <pic:spPr bwMode="auto">
                    <a:xfrm>
                      <a:off x="0" y="0"/>
                      <a:ext cx="5715000" cy="3239630"/>
                    </a:xfrm>
                    <a:prstGeom prst="rect">
                      <a:avLst/>
                    </a:prstGeom>
                    <a:noFill/>
                    <a:ln>
                      <a:noFill/>
                    </a:ln>
                    <a:extLst>
                      <a:ext uri="{53640926-AAD7-44D8-BBD7-CCE9431645EC}">
                        <a14:shadowObscured xmlns:a14="http://schemas.microsoft.com/office/drawing/2010/main"/>
                      </a:ext>
                    </a:extLst>
                  </pic:spPr>
                </pic:pic>
              </a:graphicData>
            </a:graphic>
          </wp:inline>
        </w:drawing>
      </w:r>
    </w:p>
    <w:p w:rsidR="00C96F8C" w:rsidRDefault="00C96F8C" w:rsidP="0003552A">
      <w:pPr>
        <w:pStyle w:val="BodyText"/>
        <w:keepNext/>
        <w:numPr>
          <w:ilvl w:val="0"/>
          <w:numId w:val="12"/>
        </w:numPr>
        <w:jc w:val="center"/>
      </w:pPr>
      <w:r>
        <w:t xml:space="preserve">Number of radio link failures </w:t>
      </w:r>
      <w:r w:rsidR="0003552A">
        <w:t xml:space="preserve">per UE per hour (left figure) </w:t>
      </w:r>
      <w:r>
        <w:t xml:space="preserve">and downlink </w:t>
      </w:r>
      <w:r w:rsidR="0003552A">
        <w:t xml:space="preserve">user </w:t>
      </w:r>
      <w:r>
        <w:t>throughput</w:t>
      </w:r>
      <w:r w:rsidR="0003552A">
        <w:t xml:space="preserve"> (bps)</w:t>
      </w:r>
      <w:r>
        <w:t xml:space="preserve"> </w:t>
      </w:r>
      <w:r w:rsidR="0003552A">
        <w:t>(right figure) at the</w:t>
      </w:r>
      <w:r>
        <w:t xml:space="preserve"> different cell loads</w:t>
      </w:r>
      <w:r w:rsidR="0003552A">
        <w:t xml:space="preserve"> shown in figure (b)</w:t>
      </w:r>
    </w:p>
    <w:p w:rsidR="00C96F8C" w:rsidRDefault="00C96F8C" w:rsidP="0003552A">
      <w:pPr>
        <w:pStyle w:val="BodyText"/>
        <w:keepNext/>
        <w:jc w:val="center"/>
      </w:pPr>
      <w:r>
        <w:rPr>
          <w:noProof/>
        </w:rPr>
        <w:drawing>
          <wp:inline distT="0" distB="0" distL="0" distR="0" wp14:anchorId="4CA84E0D" wp14:editId="6FC72016">
            <wp:extent cx="4695825" cy="283497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9653" cy="2837290"/>
                    </a:xfrm>
                    <a:prstGeom prst="rect">
                      <a:avLst/>
                    </a:prstGeom>
                    <a:noFill/>
                    <a:ln>
                      <a:noFill/>
                    </a:ln>
                  </pic:spPr>
                </pic:pic>
              </a:graphicData>
            </a:graphic>
          </wp:inline>
        </w:drawing>
      </w:r>
    </w:p>
    <w:p w:rsidR="00C96F8C" w:rsidRDefault="00C96F8C" w:rsidP="0003552A">
      <w:pPr>
        <w:pStyle w:val="BodyText"/>
        <w:keepNext/>
        <w:numPr>
          <w:ilvl w:val="0"/>
          <w:numId w:val="12"/>
        </w:numPr>
        <w:jc w:val="center"/>
      </w:pPr>
      <w:r>
        <w:t>Resource utilization in macro and pico layers for different cell loads</w:t>
      </w:r>
    </w:p>
    <w:p w:rsidR="00302943" w:rsidRDefault="00874446" w:rsidP="00874446">
      <w:pPr>
        <w:pStyle w:val="Caption"/>
        <w:jc w:val="center"/>
        <w:rPr>
          <w:rFonts w:eastAsia="Malgun Gothic"/>
          <w:kern w:val="2"/>
          <w:lang w:eastAsia="ko-KR"/>
        </w:rPr>
      </w:pPr>
      <w:bookmarkStart w:id="4" w:name="_Ref387233345"/>
      <w:r>
        <w:t xml:space="preserve">Figure </w:t>
      </w:r>
      <w:fldSimple w:instr=" SEQ Figure \* ARABIC ">
        <w:r>
          <w:rPr>
            <w:noProof/>
          </w:rPr>
          <w:t>1</w:t>
        </w:r>
      </w:fldSimple>
      <w:bookmarkEnd w:id="4"/>
      <w:r>
        <w:t xml:space="preserve"> </w:t>
      </w:r>
      <w:r w:rsidR="0003552A">
        <w:t>Performance c</w:t>
      </w:r>
      <w:r>
        <w:t xml:space="preserve">omparison of </w:t>
      </w:r>
      <w:r w:rsidR="0003552A">
        <w:t xml:space="preserve">the </w:t>
      </w:r>
      <w:r w:rsidR="00B02614">
        <w:t xml:space="preserve">legacy </w:t>
      </w:r>
      <w:r>
        <w:t xml:space="preserve">and </w:t>
      </w:r>
      <w:r w:rsidR="0003552A">
        <w:t xml:space="preserve">the </w:t>
      </w:r>
      <w:r w:rsidR="00B02614">
        <w:t xml:space="preserve">new </w:t>
      </w:r>
      <w:r w:rsidR="00A94F5E">
        <w:t xml:space="preserve">CQI </w:t>
      </w:r>
      <w:r>
        <w:t>table</w:t>
      </w:r>
      <w:r w:rsidR="0003552A">
        <w:t>s</w:t>
      </w:r>
      <w:r w:rsidR="00B02614">
        <w:t xml:space="preserve"> (opt1: remove CQI #1,3,5; opt2: remove CQI #2,4,6)</w:t>
      </w:r>
    </w:p>
    <w:p w:rsidR="00302943" w:rsidRDefault="00302943" w:rsidP="00FB62BB">
      <w:pPr>
        <w:pStyle w:val="BodyText"/>
        <w:jc w:val="both"/>
        <w:rPr>
          <w:rFonts w:eastAsia="Malgun Gothic"/>
          <w:kern w:val="2"/>
          <w:lang w:eastAsia="ko-KR"/>
        </w:rPr>
      </w:pPr>
    </w:p>
    <w:p w:rsidR="00F75ED8" w:rsidRDefault="00FB62BB" w:rsidP="00FB62BB">
      <w:pPr>
        <w:pStyle w:val="BodyText"/>
        <w:jc w:val="both"/>
      </w:pPr>
      <w:r>
        <w:rPr>
          <w:rFonts w:eastAsia="Malgun Gothic"/>
          <w:kern w:val="2"/>
          <w:lang w:eastAsia="ko-KR"/>
        </w:rPr>
        <w:lastRenderedPageBreak/>
        <w:t xml:space="preserve">Moreover, </w:t>
      </w:r>
      <w:r>
        <w:t>it is expected that 256QAM will only be used when the UE is located in very favorable radio conditions, for example, when the UE is served by a close-by pico eNB with few other interfering radio signals in the frequency band.</w:t>
      </w:r>
    </w:p>
    <w:p w:rsidR="000F7C1E" w:rsidRDefault="00FB62BB" w:rsidP="00FB62BB">
      <w:pPr>
        <w:pStyle w:val="BodyText"/>
        <w:jc w:val="both"/>
      </w:pPr>
      <w:r>
        <w:t xml:space="preserve">For the CoMP beneficial scenarios, it is very unlikely that 256QAM </w:t>
      </w:r>
      <w:r w:rsidR="000F7C1E">
        <w:t>will ever b</w:t>
      </w:r>
      <w:r w:rsidR="0049363B">
        <w:t>e</w:t>
      </w:r>
      <w:r w:rsidR="000F7C1E">
        <w:t xml:space="preserve"> useful since the UE will anyway not experience such high SINR due to PDSCH and CRS interference from the other transmission points in the coordination cluster. </w:t>
      </w:r>
    </w:p>
    <w:p w:rsidR="00FB62BB" w:rsidRDefault="00FB62BB" w:rsidP="00FB62BB">
      <w:pPr>
        <w:pStyle w:val="BodyText"/>
        <w:jc w:val="both"/>
        <w:rPr>
          <w:rFonts w:eastAsia="Malgun Gothic"/>
          <w:kern w:val="2"/>
          <w:lang w:eastAsia="ko-KR"/>
        </w:rPr>
      </w:pPr>
      <w:r>
        <w:t xml:space="preserve">Therefore, </w:t>
      </w:r>
      <w:r w:rsidR="00F75ED8">
        <w:t>introducing PQI state dependent MCS table is not justified since 256QAM is not useful in</w:t>
      </w:r>
      <w:r w:rsidR="000B69A8">
        <w:t xml:space="preserve"> the interference limited</w:t>
      </w:r>
      <w:r w:rsidR="00F75ED8">
        <w:t xml:space="preserve"> CoMP scenarios</w:t>
      </w:r>
      <w:r>
        <w:t xml:space="preserve">. </w:t>
      </w:r>
    </w:p>
    <w:p w:rsidR="00FB62BB" w:rsidRPr="0081748F" w:rsidRDefault="00F75ED8" w:rsidP="00FB62BB">
      <w:pPr>
        <w:pStyle w:val="BodyText"/>
        <w:jc w:val="both"/>
        <w:rPr>
          <w:b/>
          <w:i/>
        </w:rPr>
      </w:pPr>
      <w:r>
        <w:rPr>
          <w:b/>
          <w:i/>
        </w:rPr>
        <w:t>Proposal</w:t>
      </w:r>
    </w:p>
    <w:p w:rsidR="00F75ED8" w:rsidRPr="00F75ED8" w:rsidRDefault="00F75ED8" w:rsidP="00F75ED8">
      <w:pPr>
        <w:numPr>
          <w:ilvl w:val="0"/>
          <w:numId w:val="8"/>
        </w:numPr>
        <w:rPr>
          <w:i/>
          <w:szCs w:val="20"/>
        </w:rPr>
      </w:pPr>
      <w:r w:rsidRPr="00F75ED8">
        <w:rPr>
          <w:i/>
        </w:rPr>
        <w:t xml:space="preserve">For TM10, adopt Alt.2: </w:t>
      </w:r>
      <w:r w:rsidRPr="00F75ED8">
        <w:rPr>
          <w:i/>
          <w:szCs w:val="20"/>
        </w:rPr>
        <w:t>CQI table is common for all CSI processes and MCS table is common for all PQI sets</w:t>
      </w:r>
    </w:p>
    <w:p w:rsidR="00FB62BB" w:rsidRDefault="00FB62BB" w:rsidP="00F75ED8">
      <w:pPr>
        <w:pStyle w:val="BodyText"/>
        <w:ind w:left="720"/>
        <w:jc w:val="both"/>
        <w:rPr>
          <w:i/>
        </w:rPr>
      </w:pPr>
    </w:p>
    <w:p w:rsidR="005A4A49" w:rsidRPr="00AB041C" w:rsidRDefault="00AB041C" w:rsidP="00AB041C">
      <w:pPr>
        <w:pStyle w:val="BodyText"/>
        <w:jc w:val="both"/>
      </w:pPr>
      <w:r w:rsidRPr="00AB041C">
        <w:t>For the subframe set discussion</w:t>
      </w:r>
      <w:r>
        <w:t>, the</w:t>
      </w:r>
      <w:r w:rsidR="005A4A49">
        <w:t xml:space="preserve"> remaining</w:t>
      </w:r>
      <w:r>
        <w:t xml:space="preserve"> </w:t>
      </w:r>
      <w:r w:rsidR="005A4A49">
        <w:t>open issue</w:t>
      </w:r>
      <w:r>
        <w:t xml:space="preserve"> is whether the </w:t>
      </w:r>
      <w:r w:rsidR="007A7E7E">
        <w:t xml:space="preserve">CQI </w:t>
      </w:r>
      <w:r>
        <w:t xml:space="preserve">table could be different for the two sets. Again, the benefit would be to adapt to a scenario where the CQI of the two subframes are significantly different and where one of the subframe sets would make use of 256QAM. Since our simulation results show that the new </w:t>
      </w:r>
      <w:r w:rsidR="009F12D4">
        <w:t xml:space="preserve">CQI </w:t>
      </w:r>
      <w:r>
        <w:t>table is robust also in the lower CQI range, there is no</w:t>
      </w:r>
      <w:r w:rsidR="00A840EF">
        <w:t xml:space="preserve"> benefit</w:t>
      </w:r>
      <w:r>
        <w:t xml:space="preserve"> to use the legacy table in the subframes with bad SINR if the new table is used in subframes with </w:t>
      </w:r>
      <w:r w:rsidR="00A840EF">
        <w:t>good</w:t>
      </w:r>
      <w:r>
        <w:t xml:space="preserve"> SINR</w:t>
      </w:r>
      <w:r w:rsidR="005A4A49">
        <w:t xml:space="preserve"> (which contribute to the most of the UE throughput)</w:t>
      </w:r>
      <w:r>
        <w:t xml:space="preserve">. </w:t>
      </w:r>
      <w:r w:rsidR="00A840EF">
        <w:t xml:space="preserve">The same table can </w:t>
      </w:r>
      <w:r w:rsidR="003C4C52">
        <w:t xml:space="preserve">thus </w:t>
      </w:r>
      <w:r w:rsidR="00A840EF">
        <w:t>be used for both subframe sets without loss of performance</w:t>
      </w:r>
      <w:r w:rsidR="003C4C52">
        <w:t xml:space="preserve"> in both eICIC and eIMTA use cases</w:t>
      </w:r>
      <w:r w:rsidR="00A840EF">
        <w:t xml:space="preserve">. </w:t>
      </w:r>
    </w:p>
    <w:p w:rsidR="00AB041C" w:rsidRPr="0081748F" w:rsidRDefault="00AB041C" w:rsidP="00AB041C">
      <w:pPr>
        <w:pStyle w:val="BodyText"/>
        <w:jc w:val="both"/>
        <w:rPr>
          <w:b/>
          <w:i/>
        </w:rPr>
      </w:pPr>
      <w:r>
        <w:rPr>
          <w:b/>
          <w:i/>
        </w:rPr>
        <w:t>Proposal</w:t>
      </w:r>
    </w:p>
    <w:p w:rsidR="00AB041C" w:rsidRPr="00AB041C" w:rsidRDefault="00AB041C" w:rsidP="00AB041C">
      <w:pPr>
        <w:numPr>
          <w:ilvl w:val="0"/>
          <w:numId w:val="8"/>
        </w:numPr>
        <w:rPr>
          <w:i/>
          <w:szCs w:val="20"/>
        </w:rPr>
      </w:pPr>
      <w:r>
        <w:rPr>
          <w:i/>
        </w:rPr>
        <w:t>For subframe sets</w:t>
      </w:r>
      <w:r w:rsidRPr="00F75ED8">
        <w:rPr>
          <w:i/>
        </w:rPr>
        <w:t xml:space="preserve">, adopt Alt.2: </w:t>
      </w:r>
      <w:r w:rsidRPr="00AB041C">
        <w:rPr>
          <w:rFonts w:eastAsia="MS Mincho"/>
          <w:i/>
          <w:iCs/>
          <w:szCs w:val="20"/>
          <w:lang w:eastAsia="ja-JP"/>
        </w:rPr>
        <w:t>the u</w:t>
      </w:r>
      <w:r w:rsidRPr="00AB041C">
        <w:rPr>
          <w:rFonts w:eastAsia="MS Mincho" w:hint="eastAsia"/>
          <w:i/>
          <w:iCs/>
          <w:szCs w:val="20"/>
          <w:lang w:eastAsia="ja-JP"/>
        </w:rPr>
        <w:t xml:space="preserve">se of 256QAM CQI table </w:t>
      </w:r>
      <w:r w:rsidRPr="008D6152">
        <w:rPr>
          <w:rFonts w:eastAsia="MS Mincho" w:hint="eastAsia"/>
          <w:i/>
          <w:iCs/>
          <w:strike/>
          <w:szCs w:val="20"/>
          <w:lang w:eastAsia="ja-JP"/>
        </w:rPr>
        <w:t>can be configured</w:t>
      </w:r>
      <w:r w:rsidRPr="00AB041C">
        <w:rPr>
          <w:rFonts w:eastAsia="MS Mincho"/>
          <w:i/>
          <w:iCs/>
          <w:szCs w:val="20"/>
          <w:lang w:eastAsia="ja-JP"/>
        </w:rPr>
        <w:t xml:space="preserve"> is common for all measurement subframe sets</w:t>
      </w:r>
    </w:p>
    <w:p w:rsidR="002443A0" w:rsidRPr="00D9260C" w:rsidRDefault="002443A0" w:rsidP="00F75ED8">
      <w:pPr>
        <w:pStyle w:val="StatementBody"/>
        <w:numPr>
          <w:ilvl w:val="0"/>
          <w:numId w:val="0"/>
        </w:numPr>
        <w:ind w:left="720"/>
        <w:jc w:val="both"/>
        <w:rPr>
          <w:i/>
          <w:lang w:eastAsia="en-US"/>
        </w:rPr>
      </w:pPr>
    </w:p>
    <w:p w:rsidR="002443A0" w:rsidRPr="00E70914" w:rsidRDefault="002443A0" w:rsidP="002443A0">
      <w:pPr>
        <w:pStyle w:val="Heading1"/>
        <w:jc w:val="both"/>
      </w:pPr>
      <w:r w:rsidRPr="00E70914">
        <w:t>Conclusions</w:t>
      </w:r>
    </w:p>
    <w:p w:rsidR="002443A0" w:rsidRPr="00E70914" w:rsidRDefault="008D6152" w:rsidP="002443A0">
      <w:pPr>
        <w:pStyle w:val="BodyText"/>
        <w:jc w:val="both"/>
      </w:pPr>
      <w:r>
        <w:t xml:space="preserve">In this contribution, </w:t>
      </w:r>
      <w:r w:rsidR="002443A0">
        <w:t xml:space="preserve">we made below observations and proposals </w:t>
      </w:r>
    </w:p>
    <w:p w:rsidR="008D6152" w:rsidRDefault="008D6152" w:rsidP="008D6152">
      <w:pPr>
        <w:pStyle w:val="BodyText"/>
        <w:jc w:val="both"/>
        <w:rPr>
          <w:rFonts w:eastAsia="Malgun Gothic"/>
          <w:kern w:val="2"/>
          <w:lang w:eastAsia="ko-KR"/>
        </w:rPr>
      </w:pPr>
      <w:r w:rsidRPr="00874446">
        <w:rPr>
          <w:rFonts w:eastAsia="Malgun Gothic"/>
          <w:b/>
          <w:i/>
          <w:kern w:val="2"/>
          <w:lang w:eastAsia="ko-KR"/>
        </w:rPr>
        <w:t>Observation:</w:t>
      </w:r>
      <w:r>
        <w:rPr>
          <w:rFonts w:eastAsia="Malgun Gothic"/>
          <w:kern w:val="2"/>
          <w:lang w:eastAsia="ko-KR"/>
        </w:rPr>
        <w:t xml:space="preserve"> </w:t>
      </w:r>
    </w:p>
    <w:p w:rsidR="008D6152" w:rsidRPr="008D6152" w:rsidRDefault="008D6152" w:rsidP="008D6152">
      <w:pPr>
        <w:pStyle w:val="BodyText"/>
        <w:numPr>
          <w:ilvl w:val="0"/>
          <w:numId w:val="8"/>
        </w:numPr>
        <w:jc w:val="both"/>
        <w:rPr>
          <w:rFonts w:eastAsia="Malgun Gothic"/>
          <w:i/>
          <w:kern w:val="2"/>
          <w:lang w:eastAsia="ko-KR"/>
        </w:rPr>
      </w:pPr>
      <w:r w:rsidRPr="008D6152">
        <w:rPr>
          <w:rFonts w:eastAsia="Malgun Gothic"/>
          <w:i/>
          <w:kern w:val="2"/>
          <w:lang w:eastAsia="ko-KR"/>
        </w:rPr>
        <w:t xml:space="preserve">The new table provides enough robustness for low SNR region and there is no benefit to adopt different </w:t>
      </w:r>
      <w:r w:rsidR="007252A7">
        <w:rPr>
          <w:rFonts w:eastAsia="Malgun Gothic"/>
          <w:i/>
          <w:kern w:val="2"/>
          <w:lang w:eastAsia="ko-KR"/>
        </w:rPr>
        <w:t>CQI</w:t>
      </w:r>
      <w:r w:rsidR="007252A7" w:rsidRPr="008D6152">
        <w:rPr>
          <w:rFonts w:eastAsia="Malgun Gothic"/>
          <w:i/>
          <w:kern w:val="2"/>
          <w:lang w:eastAsia="ko-KR"/>
        </w:rPr>
        <w:t xml:space="preserve"> </w:t>
      </w:r>
      <w:r w:rsidRPr="008D6152">
        <w:rPr>
          <w:rFonts w:eastAsia="Malgun Gothic"/>
          <w:i/>
          <w:kern w:val="2"/>
          <w:lang w:eastAsia="ko-KR"/>
        </w:rPr>
        <w:t xml:space="preserve">tables for different CSI processes  </w:t>
      </w:r>
    </w:p>
    <w:p w:rsidR="008D6152" w:rsidRDefault="008D6152" w:rsidP="008D6152">
      <w:pPr>
        <w:rPr>
          <w:i/>
          <w:szCs w:val="20"/>
        </w:rPr>
      </w:pPr>
    </w:p>
    <w:p w:rsidR="008D6152" w:rsidRPr="008D6152" w:rsidRDefault="008D6152" w:rsidP="008D6152">
      <w:pPr>
        <w:rPr>
          <w:b/>
          <w:i/>
          <w:szCs w:val="20"/>
        </w:rPr>
      </w:pPr>
      <w:r w:rsidRPr="008D6152">
        <w:rPr>
          <w:b/>
          <w:i/>
          <w:szCs w:val="20"/>
        </w:rPr>
        <w:t>Proposal</w:t>
      </w:r>
      <w:r>
        <w:rPr>
          <w:b/>
          <w:i/>
          <w:szCs w:val="20"/>
        </w:rPr>
        <w:t>:</w:t>
      </w:r>
    </w:p>
    <w:p w:rsidR="008D6152" w:rsidRPr="008D6152" w:rsidRDefault="008D6152" w:rsidP="008D6152">
      <w:pPr>
        <w:rPr>
          <w:i/>
          <w:szCs w:val="20"/>
        </w:rPr>
      </w:pPr>
    </w:p>
    <w:p w:rsidR="008D6152" w:rsidRPr="00F75ED8" w:rsidRDefault="008D6152" w:rsidP="008D6152">
      <w:pPr>
        <w:numPr>
          <w:ilvl w:val="0"/>
          <w:numId w:val="8"/>
        </w:numPr>
        <w:rPr>
          <w:i/>
          <w:szCs w:val="20"/>
        </w:rPr>
      </w:pPr>
      <w:r w:rsidRPr="00F75ED8">
        <w:rPr>
          <w:i/>
        </w:rPr>
        <w:t xml:space="preserve">For TM10, adopt Alt.2: </w:t>
      </w:r>
      <w:r w:rsidRPr="00F75ED8">
        <w:rPr>
          <w:i/>
          <w:szCs w:val="20"/>
        </w:rPr>
        <w:t>CQI table is common for all CSI processes and MCS table is common for all PQI sets</w:t>
      </w:r>
    </w:p>
    <w:p w:rsidR="008D6152" w:rsidRPr="00AB041C" w:rsidRDefault="008D6152" w:rsidP="008D6152">
      <w:pPr>
        <w:numPr>
          <w:ilvl w:val="0"/>
          <w:numId w:val="8"/>
        </w:numPr>
        <w:rPr>
          <w:i/>
          <w:szCs w:val="20"/>
        </w:rPr>
      </w:pPr>
      <w:r>
        <w:rPr>
          <w:i/>
        </w:rPr>
        <w:t>For subframe sets</w:t>
      </w:r>
      <w:r w:rsidRPr="00F75ED8">
        <w:rPr>
          <w:i/>
        </w:rPr>
        <w:t xml:space="preserve">, adopt Alt.2: </w:t>
      </w:r>
      <w:r w:rsidRPr="00AB041C">
        <w:rPr>
          <w:rFonts w:eastAsia="MS Mincho"/>
          <w:i/>
          <w:iCs/>
          <w:szCs w:val="20"/>
          <w:lang w:eastAsia="ja-JP"/>
        </w:rPr>
        <w:t>the u</w:t>
      </w:r>
      <w:r w:rsidRPr="00AB041C">
        <w:rPr>
          <w:rFonts w:eastAsia="MS Mincho" w:hint="eastAsia"/>
          <w:i/>
          <w:iCs/>
          <w:szCs w:val="20"/>
          <w:lang w:eastAsia="ja-JP"/>
        </w:rPr>
        <w:t xml:space="preserve">se of 256QAM CQI table </w:t>
      </w:r>
      <w:r w:rsidRPr="008D6152">
        <w:rPr>
          <w:rFonts w:eastAsia="MS Mincho" w:hint="eastAsia"/>
          <w:i/>
          <w:iCs/>
          <w:strike/>
          <w:szCs w:val="20"/>
          <w:lang w:eastAsia="ja-JP"/>
        </w:rPr>
        <w:t>can be configured</w:t>
      </w:r>
      <w:r w:rsidRPr="00AB041C">
        <w:rPr>
          <w:rFonts w:eastAsia="MS Mincho"/>
          <w:i/>
          <w:iCs/>
          <w:szCs w:val="20"/>
          <w:lang w:eastAsia="ja-JP"/>
        </w:rPr>
        <w:t xml:space="preserve"> is common for all measurement subframe sets</w:t>
      </w:r>
    </w:p>
    <w:p w:rsidR="00C57D36" w:rsidRDefault="00C57D36">
      <w:pPr>
        <w:spacing w:after="200" w:line="276" w:lineRule="auto"/>
      </w:pPr>
      <w:r>
        <w:br w:type="page"/>
      </w:r>
    </w:p>
    <w:p w:rsidR="002443A0" w:rsidRDefault="002443A0" w:rsidP="002443A0">
      <w:pPr>
        <w:pStyle w:val="StatementBody"/>
        <w:numPr>
          <w:ilvl w:val="0"/>
          <w:numId w:val="0"/>
        </w:numPr>
        <w:ind w:left="720"/>
        <w:rPr>
          <w:lang w:eastAsia="en-US"/>
        </w:rPr>
      </w:pPr>
    </w:p>
    <w:p w:rsidR="000D38B1" w:rsidRDefault="000D38B1" w:rsidP="0003552A">
      <w:pPr>
        <w:pStyle w:val="Heading1"/>
        <w:numPr>
          <w:ilvl w:val="0"/>
          <w:numId w:val="0"/>
        </w:numPr>
        <w:ind w:left="567" w:hanging="567"/>
        <w:jc w:val="both"/>
      </w:pPr>
      <w:r>
        <w:t xml:space="preserve">Appendix </w:t>
      </w:r>
    </w:p>
    <w:p w:rsidR="000D38B1" w:rsidRDefault="000D38B1" w:rsidP="0003552A">
      <w:pPr>
        <w:pStyle w:val="Caption"/>
        <w:jc w:val="center"/>
      </w:pPr>
      <w:r>
        <w:t xml:space="preserve">Table </w:t>
      </w:r>
      <w:fldSimple w:instr=" SEQ Table \* ARABIC ">
        <w:r>
          <w:rPr>
            <w:noProof/>
          </w:rPr>
          <w:t>1</w:t>
        </w:r>
      </w:fldSimple>
      <w:r>
        <w:t xml:space="preserve"> System level simulation assumptions</w:t>
      </w:r>
    </w:p>
    <w:p w:rsidR="000D38B1" w:rsidRDefault="000D38B1" w:rsidP="0003552A">
      <w:pPr>
        <w:jc w:val="center"/>
      </w:pPr>
    </w:p>
    <w:tbl>
      <w:tblPr>
        <w:tblStyle w:val="TableGrid"/>
        <w:tblW w:w="0" w:type="auto"/>
        <w:tblLook w:val="04A0" w:firstRow="1" w:lastRow="0" w:firstColumn="1" w:lastColumn="0" w:noHBand="0" w:noVBand="1"/>
      </w:tblPr>
      <w:tblGrid>
        <w:gridCol w:w="3618"/>
        <w:gridCol w:w="5958"/>
      </w:tblGrid>
      <w:tr w:rsidR="000D38B1" w:rsidTr="0003552A">
        <w:tc>
          <w:tcPr>
            <w:tcW w:w="3618" w:type="dxa"/>
          </w:tcPr>
          <w:p w:rsidR="000D38B1" w:rsidRPr="0003552A" w:rsidRDefault="000D38B1" w:rsidP="0003552A">
            <w:pPr>
              <w:jc w:val="center"/>
              <w:rPr>
                <w:b/>
              </w:rPr>
            </w:pPr>
            <w:r w:rsidRPr="0003552A">
              <w:rPr>
                <w:b/>
              </w:rPr>
              <w:t>Parameters</w:t>
            </w:r>
          </w:p>
        </w:tc>
        <w:tc>
          <w:tcPr>
            <w:tcW w:w="5958" w:type="dxa"/>
          </w:tcPr>
          <w:p w:rsidR="000D38B1" w:rsidRPr="0003552A" w:rsidRDefault="000D38B1" w:rsidP="0003552A">
            <w:pPr>
              <w:jc w:val="center"/>
              <w:rPr>
                <w:b/>
              </w:rPr>
            </w:pPr>
            <w:r w:rsidRPr="0003552A">
              <w:rPr>
                <w:b/>
              </w:rPr>
              <w:t>Assumptions</w:t>
            </w:r>
          </w:p>
        </w:tc>
      </w:tr>
      <w:tr w:rsidR="000D38B1" w:rsidTr="0003552A">
        <w:tc>
          <w:tcPr>
            <w:tcW w:w="3618" w:type="dxa"/>
          </w:tcPr>
          <w:p w:rsidR="000D38B1" w:rsidRDefault="000D38B1" w:rsidP="0003552A">
            <w:pPr>
              <w:jc w:val="center"/>
            </w:pPr>
            <w:r>
              <w:t>Scenario</w:t>
            </w:r>
          </w:p>
        </w:tc>
        <w:tc>
          <w:tcPr>
            <w:tcW w:w="5958" w:type="dxa"/>
          </w:tcPr>
          <w:p w:rsidR="000D38B1" w:rsidRDefault="000F3A8B" w:rsidP="0003552A">
            <w:pPr>
              <w:jc w:val="center"/>
            </w:pPr>
            <w:r>
              <w:t xml:space="preserve">SCE </w:t>
            </w:r>
            <w:r w:rsidR="000D38B1">
              <w:t>2a sparse</w:t>
            </w:r>
          </w:p>
        </w:tc>
      </w:tr>
      <w:tr w:rsidR="00EE1AB2" w:rsidTr="0003552A">
        <w:tc>
          <w:tcPr>
            <w:tcW w:w="3618" w:type="dxa"/>
          </w:tcPr>
          <w:p w:rsidR="00EE1AB2" w:rsidRDefault="00EE1AB2" w:rsidP="0003552A">
            <w:pPr>
              <w:jc w:val="center"/>
            </w:pPr>
            <w:r>
              <w:t>UE speed</w:t>
            </w:r>
          </w:p>
        </w:tc>
        <w:tc>
          <w:tcPr>
            <w:tcW w:w="5958" w:type="dxa"/>
          </w:tcPr>
          <w:p w:rsidR="00EE1AB2" w:rsidRDefault="00EE1AB2" w:rsidP="0003552A">
            <w:pPr>
              <w:jc w:val="center"/>
            </w:pPr>
            <w:r>
              <w:t>3 km/h</w:t>
            </w:r>
          </w:p>
        </w:tc>
      </w:tr>
      <w:tr w:rsidR="00EE1AB2" w:rsidTr="0003552A">
        <w:tc>
          <w:tcPr>
            <w:tcW w:w="3618" w:type="dxa"/>
          </w:tcPr>
          <w:p w:rsidR="00EE1AB2" w:rsidRDefault="00EE1AB2" w:rsidP="0003552A">
            <w:pPr>
              <w:jc w:val="center"/>
            </w:pPr>
            <w:r>
              <w:t>Macro power</w:t>
            </w:r>
          </w:p>
        </w:tc>
        <w:tc>
          <w:tcPr>
            <w:tcW w:w="5958" w:type="dxa"/>
          </w:tcPr>
          <w:p w:rsidR="00EE1AB2" w:rsidRDefault="00EE1AB2" w:rsidP="0003552A">
            <w:pPr>
              <w:jc w:val="center"/>
            </w:pPr>
            <w:r>
              <w:t>40 Watt</w:t>
            </w:r>
          </w:p>
        </w:tc>
      </w:tr>
      <w:tr w:rsidR="00EE1AB2" w:rsidTr="0003552A">
        <w:tc>
          <w:tcPr>
            <w:tcW w:w="3618" w:type="dxa"/>
          </w:tcPr>
          <w:p w:rsidR="00EE1AB2" w:rsidRDefault="00EE1AB2" w:rsidP="0003552A">
            <w:pPr>
              <w:jc w:val="center"/>
            </w:pPr>
            <w:r>
              <w:t>Pico power</w:t>
            </w:r>
          </w:p>
        </w:tc>
        <w:tc>
          <w:tcPr>
            <w:tcW w:w="5958" w:type="dxa"/>
          </w:tcPr>
          <w:p w:rsidR="00EE1AB2" w:rsidRDefault="00EE1AB2" w:rsidP="0003552A">
            <w:pPr>
              <w:jc w:val="center"/>
            </w:pPr>
            <w:r>
              <w:t>1 Watt</w:t>
            </w:r>
          </w:p>
        </w:tc>
      </w:tr>
      <w:tr w:rsidR="000D38B1" w:rsidTr="0003552A">
        <w:tc>
          <w:tcPr>
            <w:tcW w:w="3618" w:type="dxa"/>
          </w:tcPr>
          <w:p w:rsidR="000D38B1" w:rsidRDefault="000D38B1" w:rsidP="0003552A">
            <w:pPr>
              <w:jc w:val="center"/>
            </w:pPr>
            <w:r>
              <w:t>Number of macro sites</w:t>
            </w:r>
          </w:p>
        </w:tc>
        <w:tc>
          <w:tcPr>
            <w:tcW w:w="5958" w:type="dxa"/>
          </w:tcPr>
          <w:p w:rsidR="000D38B1" w:rsidRDefault="000D38B1" w:rsidP="0003552A">
            <w:pPr>
              <w:jc w:val="center"/>
            </w:pPr>
            <w:r>
              <w:t>7</w:t>
            </w:r>
          </w:p>
        </w:tc>
      </w:tr>
      <w:tr w:rsidR="000D38B1" w:rsidTr="0003552A">
        <w:tc>
          <w:tcPr>
            <w:tcW w:w="3618" w:type="dxa"/>
          </w:tcPr>
          <w:p w:rsidR="000D38B1" w:rsidRDefault="000D38B1" w:rsidP="0003552A">
            <w:pPr>
              <w:jc w:val="center"/>
            </w:pPr>
            <w:r>
              <w:t>Number of cluster per macro</w:t>
            </w:r>
          </w:p>
        </w:tc>
        <w:tc>
          <w:tcPr>
            <w:tcW w:w="5958" w:type="dxa"/>
          </w:tcPr>
          <w:p w:rsidR="000D38B1" w:rsidRDefault="000D38B1" w:rsidP="0003552A">
            <w:pPr>
              <w:jc w:val="center"/>
            </w:pPr>
            <w:r>
              <w:t>1</w:t>
            </w:r>
          </w:p>
        </w:tc>
      </w:tr>
      <w:tr w:rsidR="000D38B1" w:rsidTr="0003552A">
        <w:tc>
          <w:tcPr>
            <w:tcW w:w="3618" w:type="dxa"/>
          </w:tcPr>
          <w:p w:rsidR="000D38B1" w:rsidRDefault="000D38B1" w:rsidP="0003552A">
            <w:pPr>
              <w:jc w:val="center"/>
            </w:pPr>
            <w:r>
              <w:t>Number of picos per cluster</w:t>
            </w:r>
          </w:p>
        </w:tc>
        <w:tc>
          <w:tcPr>
            <w:tcW w:w="5958" w:type="dxa"/>
          </w:tcPr>
          <w:p w:rsidR="000D38B1" w:rsidRDefault="000D38B1" w:rsidP="0003552A">
            <w:pPr>
              <w:jc w:val="center"/>
            </w:pPr>
            <w:r>
              <w:t>4</w:t>
            </w:r>
          </w:p>
        </w:tc>
      </w:tr>
      <w:tr w:rsidR="00EE1AB2" w:rsidTr="0003552A">
        <w:tc>
          <w:tcPr>
            <w:tcW w:w="3618" w:type="dxa"/>
          </w:tcPr>
          <w:p w:rsidR="00EE1AB2" w:rsidRDefault="00EE1AB2" w:rsidP="0003552A">
            <w:pPr>
              <w:jc w:val="center"/>
            </w:pPr>
            <w:r>
              <w:t>Antenna setup</w:t>
            </w:r>
          </w:p>
        </w:tc>
        <w:tc>
          <w:tcPr>
            <w:tcW w:w="5958" w:type="dxa"/>
          </w:tcPr>
          <w:p w:rsidR="00EE1AB2" w:rsidRDefault="00EE1AB2" w:rsidP="0003552A">
            <w:pPr>
              <w:jc w:val="center"/>
            </w:pPr>
            <w:r>
              <w:t>2x2</w:t>
            </w:r>
          </w:p>
        </w:tc>
      </w:tr>
      <w:tr w:rsidR="00EE1AB2" w:rsidTr="0003552A">
        <w:tc>
          <w:tcPr>
            <w:tcW w:w="3618" w:type="dxa"/>
          </w:tcPr>
          <w:p w:rsidR="00EE1AB2" w:rsidRDefault="00EE1AB2" w:rsidP="0003552A">
            <w:pPr>
              <w:jc w:val="center"/>
            </w:pPr>
            <w:r>
              <w:t>Scheduler</w:t>
            </w:r>
          </w:p>
        </w:tc>
        <w:tc>
          <w:tcPr>
            <w:tcW w:w="5958" w:type="dxa"/>
          </w:tcPr>
          <w:p w:rsidR="00EE1AB2" w:rsidRDefault="00EE1AB2" w:rsidP="0003552A">
            <w:pPr>
              <w:jc w:val="center"/>
            </w:pPr>
            <w:r>
              <w:t>PF</w:t>
            </w:r>
          </w:p>
        </w:tc>
      </w:tr>
      <w:tr w:rsidR="00EE1AB2" w:rsidTr="0003552A">
        <w:tc>
          <w:tcPr>
            <w:tcW w:w="3618" w:type="dxa"/>
          </w:tcPr>
          <w:p w:rsidR="00EE1AB2" w:rsidRDefault="00EE1AB2" w:rsidP="0003552A">
            <w:pPr>
              <w:jc w:val="center"/>
            </w:pPr>
            <w:r>
              <w:t>Max HARQ retransmissions</w:t>
            </w:r>
          </w:p>
        </w:tc>
        <w:tc>
          <w:tcPr>
            <w:tcW w:w="5958" w:type="dxa"/>
          </w:tcPr>
          <w:p w:rsidR="00EE1AB2" w:rsidRDefault="00EE1AB2" w:rsidP="0003552A">
            <w:pPr>
              <w:jc w:val="center"/>
            </w:pPr>
            <w:r>
              <w:t>5</w:t>
            </w:r>
          </w:p>
        </w:tc>
      </w:tr>
      <w:tr w:rsidR="00A85F5D" w:rsidTr="0003552A">
        <w:tc>
          <w:tcPr>
            <w:tcW w:w="3618" w:type="dxa"/>
          </w:tcPr>
          <w:p w:rsidR="00A85F5D" w:rsidRDefault="00A85F5D" w:rsidP="000D38B1">
            <w:pPr>
              <w:jc w:val="center"/>
            </w:pPr>
            <w:r>
              <w:t>UE dropping</w:t>
            </w:r>
          </w:p>
        </w:tc>
        <w:tc>
          <w:tcPr>
            <w:tcW w:w="5958" w:type="dxa"/>
          </w:tcPr>
          <w:p w:rsidR="00A85F5D" w:rsidRDefault="00A85F5D" w:rsidP="000D38B1">
            <w:pPr>
              <w:jc w:val="center"/>
            </w:pPr>
            <w:r>
              <w:t>2/3 dropped within the cluster, 1/3 dropped throughout the macro geographical area; 20% outdoor 80% indoor</w:t>
            </w:r>
          </w:p>
        </w:tc>
      </w:tr>
      <w:tr w:rsidR="000D38B1" w:rsidTr="0003552A">
        <w:tc>
          <w:tcPr>
            <w:tcW w:w="3618" w:type="dxa"/>
          </w:tcPr>
          <w:p w:rsidR="000D38B1" w:rsidRDefault="000D38B1" w:rsidP="0003552A">
            <w:pPr>
              <w:jc w:val="center"/>
            </w:pPr>
            <w:r>
              <w:t>Traffic model</w:t>
            </w:r>
          </w:p>
        </w:tc>
        <w:tc>
          <w:tcPr>
            <w:tcW w:w="5958" w:type="dxa"/>
          </w:tcPr>
          <w:p w:rsidR="000D38B1" w:rsidRDefault="000D38B1" w:rsidP="0003552A">
            <w:pPr>
              <w:jc w:val="center"/>
            </w:pPr>
            <w:r>
              <w:t>FTP Model 1 as in TR 36.814</w:t>
            </w:r>
            <w:r w:rsidR="00B11121">
              <w:t xml:space="preserve"> with three different intensities</w:t>
            </w:r>
          </w:p>
        </w:tc>
      </w:tr>
      <w:tr w:rsidR="000D38B1" w:rsidTr="0003552A">
        <w:tc>
          <w:tcPr>
            <w:tcW w:w="3618" w:type="dxa"/>
          </w:tcPr>
          <w:p w:rsidR="000D38B1" w:rsidRDefault="00C96F8C" w:rsidP="0003552A">
            <w:pPr>
              <w:jc w:val="center"/>
            </w:pPr>
            <w:r>
              <w:t>Radio link monitoring</w:t>
            </w:r>
            <w:r w:rsidR="00C57D36">
              <w:t xml:space="preserve"> parameters according to TS 36.213, TS 36.331</w:t>
            </w:r>
          </w:p>
        </w:tc>
        <w:tc>
          <w:tcPr>
            <w:tcW w:w="5958" w:type="dxa"/>
          </w:tcPr>
          <w:p w:rsidR="000D38B1" w:rsidRDefault="00C96F8C" w:rsidP="0003552A">
            <w:pPr>
              <w:jc w:val="center"/>
            </w:pPr>
            <w:r>
              <w:t>Q out = -8, Qin = -5, N310 = 20</w:t>
            </w:r>
            <w:r w:rsidR="00EE1AB2">
              <w:t xml:space="preserve"> times</w:t>
            </w:r>
            <w:r>
              <w:t>, T310 = 2</w:t>
            </w:r>
            <w:r w:rsidR="00EE1AB2">
              <w:t xml:space="preserve"> seconds</w:t>
            </w:r>
          </w:p>
        </w:tc>
      </w:tr>
      <w:tr w:rsidR="00C96F8C" w:rsidTr="0003552A">
        <w:tc>
          <w:tcPr>
            <w:tcW w:w="3618" w:type="dxa"/>
          </w:tcPr>
          <w:p w:rsidR="00C96F8C" w:rsidRDefault="00C57D36">
            <w:pPr>
              <w:jc w:val="center"/>
            </w:pPr>
            <w:r>
              <w:t xml:space="preserve">Max number of RLC retransmission attempts </w:t>
            </w:r>
            <w:r w:rsidR="00C96F8C">
              <w:t>(both DRB and SRB)</w:t>
            </w:r>
            <w:r>
              <w:t xml:space="preserve"> before RLC failure</w:t>
            </w:r>
          </w:p>
        </w:tc>
        <w:tc>
          <w:tcPr>
            <w:tcW w:w="5958" w:type="dxa"/>
          </w:tcPr>
          <w:p w:rsidR="00C96F8C" w:rsidRDefault="00C96F8C">
            <w:pPr>
              <w:jc w:val="center"/>
            </w:pPr>
            <w:r>
              <w:t>8</w:t>
            </w:r>
          </w:p>
        </w:tc>
      </w:tr>
      <w:tr w:rsidR="00C96F8C" w:rsidTr="005652CA">
        <w:trPr>
          <w:trHeight w:val="353"/>
        </w:trPr>
        <w:tc>
          <w:tcPr>
            <w:tcW w:w="3618" w:type="dxa"/>
          </w:tcPr>
          <w:p w:rsidR="00C96F8C" w:rsidRDefault="00C96F8C">
            <w:pPr>
              <w:jc w:val="center"/>
            </w:pPr>
            <w:r>
              <w:t>Max</w:t>
            </w:r>
            <w:r w:rsidR="005652CA">
              <w:t xml:space="preserve">imum No </w:t>
            </w:r>
            <w:r w:rsidR="00C57D36">
              <w:t xml:space="preserve">RACH </w:t>
            </w:r>
            <w:r>
              <w:t>Attempt</w:t>
            </w:r>
            <w:r w:rsidR="005652CA">
              <w:t>s</w:t>
            </w:r>
            <w:r w:rsidR="00C57D36">
              <w:t xml:space="preserve"> before RLC failure</w:t>
            </w:r>
          </w:p>
        </w:tc>
        <w:tc>
          <w:tcPr>
            <w:tcW w:w="5958" w:type="dxa"/>
          </w:tcPr>
          <w:p w:rsidR="00C96F8C" w:rsidRDefault="00C96F8C">
            <w:pPr>
              <w:jc w:val="center"/>
            </w:pPr>
            <w:r>
              <w:t>5</w:t>
            </w:r>
          </w:p>
        </w:tc>
      </w:tr>
      <w:tr w:rsidR="00C96F8C" w:rsidTr="00C96F8C">
        <w:tc>
          <w:tcPr>
            <w:tcW w:w="3618" w:type="dxa"/>
          </w:tcPr>
          <w:p w:rsidR="00C96F8C" w:rsidRDefault="00C96F8C">
            <w:pPr>
              <w:jc w:val="center"/>
            </w:pPr>
            <w:r>
              <w:t xml:space="preserve">Handover A1 events </w:t>
            </w:r>
            <w:r w:rsidR="00E76EB3">
              <w:t>settings</w:t>
            </w:r>
          </w:p>
        </w:tc>
        <w:tc>
          <w:tcPr>
            <w:tcW w:w="5958" w:type="dxa"/>
          </w:tcPr>
          <w:p w:rsidR="00C96F8C" w:rsidRDefault="00E76EB3">
            <w:pPr>
              <w:jc w:val="center"/>
            </w:pPr>
            <w:r>
              <w:t xml:space="preserve">Threshold1/Hysteresis: </w:t>
            </w:r>
            <w:r w:rsidR="00C96F8C">
              <w:t>-105</w:t>
            </w:r>
            <w:r w:rsidR="00044F09">
              <w:t>dBm</w:t>
            </w:r>
            <w:r w:rsidR="00C96F8C">
              <w:t>/1</w:t>
            </w:r>
            <w:r w:rsidR="00044F09">
              <w:t>dB</w:t>
            </w:r>
          </w:p>
          <w:p w:rsidR="00E76EB3" w:rsidRDefault="00E76EB3" w:rsidP="007869FB">
            <w:pPr>
              <w:jc w:val="center"/>
            </w:pPr>
            <w:r>
              <w:t>TimeToTrigger: 320ms</w:t>
            </w:r>
          </w:p>
        </w:tc>
      </w:tr>
      <w:tr w:rsidR="00C96F8C" w:rsidTr="00C96F8C">
        <w:tc>
          <w:tcPr>
            <w:tcW w:w="3618" w:type="dxa"/>
          </w:tcPr>
          <w:p w:rsidR="00C96F8C" w:rsidRDefault="00C96F8C">
            <w:pPr>
              <w:jc w:val="center"/>
            </w:pPr>
            <w:r>
              <w:t xml:space="preserve">Handover A2 events </w:t>
            </w:r>
            <w:r w:rsidR="00E76EB3">
              <w:t>settings</w:t>
            </w:r>
          </w:p>
        </w:tc>
        <w:tc>
          <w:tcPr>
            <w:tcW w:w="5958" w:type="dxa"/>
          </w:tcPr>
          <w:p w:rsidR="00C96F8C" w:rsidRDefault="00E76EB3">
            <w:pPr>
              <w:jc w:val="center"/>
            </w:pPr>
            <w:r>
              <w:t xml:space="preserve">Threshold1/Hysteresis : </w:t>
            </w:r>
            <w:r w:rsidR="00C96F8C">
              <w:t>-105</w:t>
            </w:r>
            <w:r w:rsidR="00044F09">
              <w:t>dBm</w:t>
            </w:r>
            <w:r w:rsidR="00C96F8C">
              <w:t>/1</w:t>
            </w:r>
            <w:r w:rsidR="00044F09">
              <w:t>dB</w:t>
            </w:r>
          </w:p>
          <w:p w:rsidR="00E76EB3" w:rsidRDefault="00E76EB3">
            <w:pPr>
              <w:jc w:val="center"/>
            </w:pPr>
            <w:r>
              <w:t>TimeToTrigger: 320ms</w:t>
            </w:r>
          </w:p>
        </w:tc>
      </w:tr>
      <w:tr w:rsidR="00C96F8C" w:rsidTr="00C96F8C">
        <w:tc>
          <w:tcPr>
            <w:tcW w:w="3618" w:type="dxa"/>
          </w:tcPr>
          <w:p w:rsidR="00C96F8C" w:rsidRDefault="00C96F8C">
            <w:pPr>
              <w:jc w:val="center"/>
            </w:pPr>
            <w:r>
              <w:t xml:space="preserve">Handover A5 events </w:t>
            </w:r>
            <w:r w:rsidR="00E76EB3">
              <w:t>settings</w:t>
            </w:r>
          </w:p>
        </w:tc>
        <w:tc>
          <w:tcPr>
            <w:tcW w:w="5958" w:type="dxa"/>
          </w:tcPr>
          <w:p w:rsidR="00C96F8C" w:rsidRDefault="00E76EB3">
            <w:pPr>
              <w:jc w:val="center"/>
            </w:pPr>
            <w:r>
              <w:t xml:space="preserve">Threshold1/Hysteresis: </w:t>
            </w:r>
            <w:r w:rsidR="00C96F8C">
              <w:t>-108</w:t>
            </w:r>
            <w:r w:rsidR="00044F09">
              <w:t>dBm</w:t>
            </w:r>
            <w:r w:rsidR="00C96F8C">
              <w:t>/1</w:t>
            </w:r>
            <w:r w:rsidR="00044F09">
              <w:t>dB</w:t>
            </w:r>
          </w:p>
          <w:p w:rsidR="00E76EB3" w:rsidRDefault="00E76EB3">
            <w:pPr>
              <w:jc w:val="center"/>
            </w:pPr>
            <w:r>
              <w:t>Threshold2/Hysteresis: -105</w:t>
            </w:r>
            <w:r w:rsidR="00044F09">
              <w:t>dBm</w:t>
            </w:r>
            <w:r>
              <w:t>/1</w:t>
            </w:r>
            <w:r w:rsidR="00044F09">
              <w:t>dB</w:t>
            </w:r>
          </w:p>
          <w:p w:rsidR="00E76EB3" w:rsidRDefault="00E76EB3">
            <w:pPr>
              <w:jc w:val="center"/>
            </w:pPr>
            <w:r>
              <w:t>TimeToTrigger: 320ms</w:t>
            </w:r>
          </w:p>
        </w:tc>
      </w:tr>
      <w:tr w:rsidR="00C96F8C" w:rsidTr="00C96F8C">
        <w:tc>
          <w:tcPr>
            <w:tcW w:w="3618" w:type="dxa"/>
          </w:tcPr>
          <w:p w:rsidR="00C96F8C" w:rsidRDefault="00C96F8C">
            <w:pPr>
              <w:jc w:val="center"/>
            </w:pPr>
            <w:r>
              <w:t xml:space="preserve">Handover A3 events </w:t>
            </w:r>
            <w:r w:rsidR="00E76EB3">
              <w:t>settings</w:t>
            </w:r>
          </w:p>
        </w:tc>
        <w:tc>
          <w:tcPr>
            <w:tcW w:w="5958" w:type="dxa"/>
          </w:tcPr>
          <w:p w:rsidR="00C96F8C" w:rsidRDefault="00E76EB3">
            <w:pPr>
              <w:jc w:val="center"/>
            </w:pPr>
            <w:r>
              <w:t xml:space="preserve">Threshold1/Hysteresis: </w:t>
            </w:r>
            <w:r w:rsidR="00C96F8C">
              <w:t>1</w:t>
            </w:r>
            <w:r w:rsidR="00044F09">
              <w:t>dB</w:t>
            </w:r>
            <w:r w:rsidR="00C96F8C">
              <w:t>/1</w:t>
            </w:r>
            <w:r w:rsidR="00044F09">
              <w:t>dB</w:t>
            </w:r>
          </w:p>
          <w:p w:rsidR="00E76EB3" w:rsidRDefault="00E76EB3">
            <w:pPr>
              <w:jc w:val="center"/>
            </w:pPr>
            <w:r>
              <w:t>TimeToTrigger: 320ms</w:t>
            </w:r>
          </w:p>
        </w:tc>
      </w:tr>
    </w:tbl>
    <w:p w:rsidR="000D38B1" w:rsidRDefault="000D38B1" w:rsidP="0003552A"/>
    <w:p w:rsidR="00C96F8C" w:rsidRPr="000D38B1" w:rsidRDefault="00C96F8C" w:rsidP="0003552A"/>
    <w:sectPr w:rsidR="00C96F8C" w:rsidRPr="000D38B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21D" w:rsidRDefault="002C021D" w:rsidP="00955AF5">
      <w:r>
        <w:separator/>
      </w:r>
    </w:p>
  </w:endnote>
  <w:endnote w:type="continuationSeparator" w:id="0">
    <w:p w:rsidR="002C021D" w:rsidRDefault="002C021D" w:rsidP="0095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AF5" w:rsidRDefault="00955A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AF5" w:rsidRDefault="00955AF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AF5" w:rsidRDefault="00955A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21D" w:rsidRDefault="002C021D" w:rsidP="00955AF5">
      <w:r>
        <w:separator/>
      </w:r>
    </w:p>
  </w:footnote>
  <w:footnote w:type="continuationSeparator" w:id="0">
    <w:p w:rsidR="002C021D" w:rsidRDefault="002C021D" w:rsidP="00955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AF5" w:rsidRDefault="00955A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AF5" w:rsidRDefault="00955A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AF5" w:rsidRDefault="00955A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9E783D"/>
    <w:multiLevelType w:val="hybridMultilevel"/>
    <w:tmpl w:val="B8D08962"/>
    <w:lvl w:ilvl="0" w:tplc="78F6E7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F0132E"/>
    <w:multiLevelType w:val="hybridMultilevel"/>
    <w:tmpl w:val="005C3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1E3EAE"/>
    <w:multiLevelType w:val="hybridMultilevel"/>
    <w:tmpl w:val="0306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6E32CF"/>
    <w:multiLevelType w:val="hybridMultilevel"/>
    <w:tmpl w:val="FE161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B5767F"/>
    <w:multiLevelType w:val="hybridMultilevel"/>
    <w:tmpl w:val="C4E2B7EE"/>
    <w:lvl w:ilvl="0" w:tplc="B49A11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8"/>
  </w:num>
  <w:num w:numId="2">
    <w:abstractNumId w:val="9"/>
  </w:num>
  <w:num w:numId="3">
    <w:abstractNumId w:val="0"/>
  </w:num>
  <w:num w:numId="4">
    <w:abstractNumId w:val="2"/>
  </w:num>
  <w:num w:numId="5">
    <w:abstractNumId w:val="5"/>
  </w:num>
  <w:num w:numId="6">
    <w:abstractNumId w:val="8"/>
  </w:num>
  <w:num w:numId="7">
    <w:abstractNumId w:val="4"/>
  </w:num>
  <w:num w:numId="8">
    <w:abstractNumId w:val="6"/>
  </w:num>
  <w:num w:numId="9">
    <w:abstractNumId w:val="8"/>
  </w:num>
  <w:num w:numId="10">
    <w:abstractNumId w:val="3"/>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25356"/>
    <w:rsid w:val="0003552A"/>
    <w:rsid w:val="00044F09"/>
    <w:rsid w:val="000B69A8"/>
    <w:rsid w:val="000D38B1"/>
    <w:rsid w:val="000F3A8B"/>
    <w:rsid w:val="000F7C1E"/>
    <w:rsid w:val="00105115"/>
    <w:rsid w:val="00142D34"/>
    <w:rsid w:val="0015732F"/>
    <w:rsid w:val="001A1FD1"/>
    <w:rsid w:val="002360A5"/>
    <w:rsid w:val="002443A0"/>
    <w:rsid w:val="002C021D"/>
    <w:rsid w:val="002D4655"/>
    <w:rsid w:val="00302943"/>
    <w:rsid w:val="00345559"/>
    <w:rsid w:val="003C4C52"/>
    <w:rsid w:val="003E5BDE"/>
    <w:rsid w:val="003F5792"/>
    <w:rsid w:val="00432BFA"/>
    <w:rsid w:val="004603AF"/>
    <w:rsid w:val="004858E4"/>
    <w:rsid w:val="0049363B"/>
    <w:rsid w:val="004D3CD9"/>
    <w:rsid w:val="005652CA"/>
    <w:rsid w:val="005A4A49"/>
    <w:rsid w:val="005D4F86"/>
    <w:rsid w:val="007252A7"/>
    <w:rsid w:val="00756750"/>
    <w:rsid w:val="007869FB"/>
    <w:rsid w:val="007A19DD"/>
    <w:rsid w:val="007A7E7E"/>
    <w:rsid w:val="007E4D40"/>
    <w:rsid w:val="007F344D"/>
    <w:rsid w:val="008056E3"/>
    <w:rsid w:val="0081098A"/>
    <w:rsid w:val="00874446"/>
    <w:rsid w:val="008D6152"/>
    <w:rsid w:val="00955AF5"/>
    <w:rsid w:val="009B3249"/>
    <w:rsid w:val="009F12D4"/>
    <w:rsid w:val="00A830F1"/>
    <w:rsid w:val="00A840EF"/>
    <w:rsid w:val="00A85F5D"/>
    <w:rsid w:val="00A94F5E"/>
    <w:rsid w:val="00AB041C"/>
    <w:rsid w:val="00B02614"/>
    <w:rsid w:val="00B11121"/>
    <w:rsid w:val="00B11970"/>
    <w:rsid w:val="00B1343D"/>
    <w:rsid w:val="00B33466"/>
    <w:rsid w:val="00B55301"/>
    <w:rsid w:val="00B62296"/>
    <w:rsid w:val="00B661E1"/>
    <w:rsid w:val="00B813B5"/>
    <w:rsid w:val="00BD18B9"/>
    <w:rsid w:val="00C57D36"/>
    <w:rsid w:val="00C87EC0"/>
    <w:rsid w:val="00C96F8C"/>
    <w:rsid w:val="00CC1C57"/>
    <w:rsid w:val="00D9260C"/>
    <w:rsid w:val="00DD763E"/>
    <w:rsid w:val="00E52DA4"/>
    <w:rsid w:val="00E76EB3"/>
    <w:rsid w:val="00EE1AB2"/>
    <w:rsid w:val="00F036E3"/>
    <w:rsid w:val="00F255C2"/>
    <w:rsid w:val="00F6593F"/>
    <w:rsid w:val="00F75ED8"/>
    <w:rsid w:val="00FB6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43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43A0"/>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jc w:val="both"/>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0D38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55AF5"/>
    <w:pPr>
      <w:tabs>
        <w:tab w:val="center" w:pos="4680"/>
        <w:tab w:val="right" w:pos="9360"/>
      </w:tabs>
    </w:pPr>
  </w:style>
  <w:style w:type="character" w:customStyle="1" w:styleId="FooterChar">
    <w:name w:val="Footer Char"/>
    <w:basedOn w:val="DefaultParagraphFont"/>
    <w:link w:val="Footer"/>
    <w:uiPriority w:val="99"/>
    <w:rsid w:val="00955AF5"/>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43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43A0"/>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jc w:val="both"/>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0D38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55AF5"/>
    <w:pPr>
      <w:tabs>
        <w:tab w:val="center" w:pos="4680"/>
        <w:tab w:val="right" w:pos="9360"/>
      </w:tabs>
    </w:pPr>
  </w:style>
  <w:style w:type="character" w:customStyle="1" w:styleId="FooterChar">
    <w:name w:val="Footer Char"/>
    <w:basedOn w:val="DefaultParagraphFont"/>
    <w:link w:val="Footer"/>
    <w:uiPriority w:val="99"/>
    <w:rsid w:val="00955AF5"/>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62F28-5706-445A-94D3-1F2B18CC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934</Words>
  <Characters>5328</Characters>
  <Application>Microsoft Office Word</Application>
  <DocSecurity>0</DocSecurity>
  <Lines>44</Lines>
  <Paragraphs>12</Paragraphs>
  <ScaleCrop>false</ScaleCrop>
  <Company/>
  <LinksUpToDate>false</LinksUpToDate>
  <CharactersWithSpaces>6250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2014-05-09T14:11:00Z</dcterms:created>
  <dcterms:modified xsi:type="dcterms:W3CDTF">2014-05-09T14:11:00Z</dcterms:modified>
</cp:coreProperties>
</file>