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3B" w:rsidRPr="00D86887" w:rsidRDefault="00F6723B" w:rsidP="00F6723B">
      <w:pPr>
        <w:pStyle w:val="Title"/>
        <w:pBdr>
          <w:top w:val="single" w:sz="12" w:space="5" w:color="auto"/>
          <w:bottom w:val="single" w:sz="12" w:space="7" w:color="auto"/>
        </w:pBdr>
        <w:tabs>
          <w:tab w:val="clear" w:pos="3780"/>
          <w:tab w:val="right" w:pos="9360"/>
        </w:tabs>
        <w:spacing w:before="0" w:after="0" w:line="240" w:lineRule="exact"/>
      </w:pPr>
      <w:r w:rsidRPr="0008070A">
        <w:rPr>
          <w:lang w:eastAsia="zh-CN"/>
        </w:rPr>
        <w:t>3GPP TSG RAN WG</w:t>
      </w:r>
      <w:r w:rsidR="00BE2471">
        <w:rPr>
          <w:lang w:eastAsia="zh-CN"/>
        </w:rPr>
        <w:t>1</w:t>
      </w:r>
      <w:r w:rsidRPr="0008070A">
        <w:rPr>
          <w:lang w:eastAsia="zh-CN"/>
        </w:rPr>
        <w:t xml:space="preserve"> Meeting #</w:t>
      </w:r>
      <w:r w:rsidR="00BE2471">
        <w:rPr>
          <w:lang w:eastAsia="zh-CN"/>
        </w:rPr>
        <w:t>66</w:t>
      </w:r>
      <w:r w:rsidRPr="0008070A">
        <w:rPr>
          <w:lang w:eastAsia="zh-CN"/>
        </w:rPr>
        <w:t xml:space="preserve">                                                         </w:t>
      </w:r>
      <w:r>
        <w:rPr>
          <w:lang w:eastAsia="zh-CN"/>
        </w:rPr>
        <w:tab/>
      </w:r>
      <w:r w:rsidR="00BE2471">
        <w:t>R1</w:t>
      </w:r>
      <w:r>
        <w:t>-</w:t>
      </w:r>
      <w:r w:rsidR="00896D92">
        <w:t>11</w:t>
      </w:r>
      <w:r w:rsidR="00BE73B2">
        <w:t>2368</w:t>
      </w:r>
    </w:p>
    <w:p w:rsidR="00F6723B" w:rsidRPr="006F77CB" w:rsidRDefault="00BE2471" w:rsidP="00F6723B">
      <w:pPr>
        <w:pStyle w:val="Title"/>
        <w:pBdr>
          <w:top w:val="single" w:sz="12" w:space="5" w:color="auto"/>
          <w:bottom w:val="single" w:sz="12" w:space="7" w:color="auto"/>
        </w:pBdr>
        <w:tabs>
          <w:tab w:val="clear" w:pos="3780"/>
        </w:tabs>
        <w:spacing w:after="0" w:line="240" w:lineRule="exact"/>
        <w:rPr>
          <w:lang w:val="en-US" w:eastAsia="zh-CN"/>
        </w:rPr>
      </w:pPr>
      <w:r>
        <w:rPr>
          <w:lang w:val="en-US" w:eastAsia="zh-CN"/>
        </w:rPr>
        <w:t>Athens</w:t>
      </w:r>
      <w:r w:rsidR="00F6723B" w:rsidRPr="00554353">
        <w:rPr>
          <w:lang w:val="en-US" w:eastAsia="zh-CN"/>
        </w:rPr>
        <w:t xml:space="preserve">, </w:t>
      </w:r>
      <w:r>
        <w:rPr>
          <w:lang w:val="en-US" w:eastAsia="zh-CN"/>
        </w:rPr>
        <w:t>Greece</w:t>
      </w:r>
      <w:r w:rsidR="00F6723B">
        <w:rPr>
          <w:lang w:val="en-US" w:eastAsia="zh-CN"/>
        </w:rPr>
        <w:t>,</w:t>
      </w:r>
      <w:r w:rsidR="00F6723B" w:rsidRPr="00554353">
        <w:rPr>
          <w:lang w:val="en-US" w:eastAsia="zh-CN"/>
        </w:rPr>
        <w:t xml:space="preserve"> </w:t>
      </w:r>
      <w:r>
        <w:rPr>
          <w:lang w:val="en-US" w:eastAsia="zh-CN"/>
        </w:rPr>
        <w:t>Aug. 22 – 26</w:t>
      </w:r>
      <w:r w:rsidR="00F6723B">
        <w:rPr>
          <w:lang w:val="en-US" w:eastAsia="zh-CN"/>
        </w:rPr>
        <w:t>, 2011</w:t>
      </w:r>
    </w:p>
    <w:p w:rsidR="00F6723B" w:rsidRPr="006F77CB" w:rsidRDefault="00F6723B" w:rsidP="00F6723B">
      <w:pPr>
        <w:pStyle w:val="Title"/>
        <w:pBdr>
          <w:top w:val="single" w:sz="12" w:space="5" w:color="auto"/>
          <w:bottom w:val="single" w:sz="12" w:space="7" w:color="auto"/>
        </w:pBdr>
        <w:tabs>
          <w:tab w:val="clear" w:pos="3780"/>
        </w:tabs>
        <w:spacing w:after="0" w:line="240" w:lineRule="exact"/>
        <w:rPr>
          <w:lang w:val="en-US"/>
        </w:rPr>
      </w:pP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007CE2">
        <w:t>PCFICH Detection</w:t>
      </w:r>
      <w:r w:rsidR="00D36557">
        <w:t xml:space="preserve"> </w:t>
      </w:r>
      <w:r w:rsidR="009111A2">
        <w:t>i</w:t>
      </w:r>
      <w:r w:rsidR="00D36557">
        <w:t>n a</w:t>
      </w:r>
      <w:r w:rsidR="00BE2471">
        <w:t>n eICIC Enabled</w:t>
      </w:r>
      <w:r w:rsidR="00D36557">
        <w:t xml:space="preserve"> Heterogeneous Network</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Pr="0008070A">
        <w:rPr>
          <w:lang w:eastAsia="zh-CN"/>
        </w:rPr>
        <w:t>Research In Motion UK Limited</w:t>
      </w:r>
    </w:p>
    <w:p w:rsidR="00F6723B" w:rsidRPr="0008070A" w:rsidRDefault="00896D92"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BE73B2">
        <w:t>6.3.1</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08070A">
        <w:t xml:space="preserve">Document for: </w:t>
      </w:r>
      <w:r w:rsidRPr="0008070A">
        <w:tab/>
        <w:t xml:space="preserve">Discussion </w:t>
      </w:r>
    </w:p>
    <w:p w:rsidR="00F6723B" w:rsidRDefault="00F6723B" w:rsidP="00F6723B">
      <w:pPr>
        <w:pStyle w:val="Heading1"/>
        <w:keepLines w:val="0"/>
        <w:pBdr>
          <w:top w:val="none" w:sz="0" w:space="0" w:color="auto"/>
        </w:pBdr>
        <w:tabs>
          <w:tab w:val="clear" w:pos="432"/>
          <w:tab w:val="num" w:pos="360"/>
        </w:tabs>
        <w:spacing w:before="120" w:after="60" w:line="240" w:lineRule="atLeast"/>
        <w:ind w:left="0" w:right="-360" w:firstLine="0"/>
        <w:jc w:val="both"/>
      </w:pPr>
      <w:r w:rsidRPr="006A12EA">
        <w:t xml:space="preserve">Introduction </w:t>
      </w:r>
    </w:p>
    <w:p w:rsidR="00CF0954" w:rsidRDefault="00BB4C22" w:rsidP="00EF27C3">
      <w:pPr>
        <w:jc w:val="both"/>
      </w:pPr>
      <w:r>
        <w:rPr>
          <w:lang w:eastAsia="ja-JP"/>
        </w:rPr>
        <w:t>It wa</w:t>
      </w:r>
      <w:r w:rsidR="0099130D">
        <w:rPr>
          <w:lang w:eastAsia="ja-JP"/>
        </w:rPr>
        <w:t>s agreed in RAN plenary #51 that further enhanced non-CA based ICIC for LTE will be studied for Rel-11 as a work item [1]</w:t>
      </w:r>
      <w:r w:rsidR="00EF27C3">
        <w:t xml:space="preserve">. </w:t>
      </w:r>
      <w:r w:rsidR="00E14F7A">
        <w:t xml:space="preserve">Specifically, one </w:t>
      </w:r>
      <w:r w:rsidR="0099130D">
        <w:t xml:space="preserve">objective </w:t>
      </w:r>
      <w:r w:rsidR="00E14F7A">
        <w:t>of</w:t>
      </w:r>
      <w:r w:rsidR="0099130D">
        <w:t xml:space="preserve"> this WI is to </w:t>
      </w:r>
      <w:r>
        <w:t>address the</w:t>
      </w:r>
      <w:r w:rsidR="0099130D">
        <w:t xml:space="preserve"> </w:t>
      </w:r>
      <w:r>
        <w:t>impact of legacy transmissions in almost blank subframe</w:t>
      </w:r>
      <w:r w:rsidR="00E14F7A">
        <w:t>s (ABS) on control/data channel</w:t>
      </w:r>
      <w:r w:rsidR="0099130D">
        <w:t xml:space="preserve">. </w:t>
      </w:r>
      <w:r w:rsidR="00115AE1">
        <w:t>In a heterogeneous network a UE may communicate with a weak cell, for exa</w:t>
      </w:r>
      <w:r w:rsidR="0071655D">
        <w:t>mple a pic</w:t>
      </w:r>
      <w:r w:rsidR="005F477F">
        <w:t>o UE in the range expansion</w:t>
      </w:r>
      <w:r w:rsidR="00115AE1">
        <w:t xml:space="preserve"> area or a non-member UE in the coverage area of a CSG. Although the aggressor cell blanks the transmission or reduces the transmit power as much as possible during ABSs, CRS has to be transmitted </w:t>
      </w:r>
      <w:r w:rsidR="00115AE1">
        <w:rPr>
          <w:lang w:eastAsia="ja-JP"/>
        </w:rPr>
        <w:t xml:space="preserve">to avoid </w:t>
      </w:r>
      <w:r w:rsidR="00E14F7A">
        <w:rPr>
          <w:lang w:eastAsia="ja-JP"/>
        </w:rPr>
        <w:t xml:space="preserve">the </w:t>
      </w:r>
      <w:r w:rsidR="00115AE1">
        <w:rPr>
          <w:lang w:eastAsia="ja-JP"/>
        </w:rPr>
        <w:t>impact of channel estimation and RRM/RLM/CQI measurement on legacy UEs</w:t>
      </w:r>
      <w:r w:rsidR="00115AE1">
        <w:t xml:space="preserve">. During the Rel-10 eICIC discussion, a number of contributions </w:t>
      </w:r>
      <w:r w:rsidR="00567DB7">
        <w:fldChar w:fldCharType="begin"/>
      </w:r>
      <w:r w:rsidR="00115AE1">
        <w:instrText xml:space="preserve"> REF _Ref299112073 \n \h </w:instrText>
      </w:r>
      <w:r w:rsidR="00567DB7">
        <w:fldChar w:fldCharType="separate"/>
      </w:r>
      <w:r w:rsidR="00E14F7A">
        <w:t>[2]</w:t>
      </w:r>
      <w:r w:rsidR="00567DB7">
        <w:fldChar w:fldCharType="end"/>
      </w:r>
      <w:r w:rsidR="00115AE1">
        <w:t>-</w:t>
      </w:r>
      <w:r w:rsidR="00567DB7">
        <w:fldChar w:fldCharType="begin"/>
      </w:r>
      <w:r w:rsidR="00115AE1">
        <w:instrText xml:space="preserve"> REF _Ref292976618 \n \h </w:instrText>
      </w:r>
      <w:r w:rsidR="00567DB7">
        <w:fldChar w:fldCharType="separate"/>
      </w:r>
      <w:r w:rsidR="00E14F7A">
        <w:t>[7]</w:t>
      </w:r>
      <w:r w:rsidR="00567DB7">
        <w:fldChar w:fldCharType="end"/>
      </w:r>
      <w:r w:rsidR="00115AE1">
        <w:t xml:space="preserve"> have shown that the CRS transmission from the aggressor cell co</w:t>
      </w:r>
      <w:r w:rsidR="00E14F7A">
        <w:t xml:space="preserve">uld degrade the </w:t>
      </w:r>
      <w:r w:rsidR="00B5583F">
        <w:t>demodulation performance of all the control/data channels</w:t>
      </w:r>
      <w:r w:rsidR="00115AE1">
        <w:t xml:space="preserve"> at the </w:t>
      </w:r>
      <w:r w:rsidR="00B5583F">
        <w:t xml:space="preserve">victim </w:t>
      </w:r>
      <w:r w:rsidR="0071655D">
        <w:t>UE</w:t>
      </w:r>
      <w:r w:rsidR="00115AE1">
        <w:t>, including PCFICH, PHICH, PDCCH, and PDSCH.</w:t>
      </w:r>
      <w:r w:rsidR="00651D55">
        <w:t xml:space="preserve"> The degradation on PHICH/PDCCH/</w:t>
      </w:r>
      <w:r w:rsidR="0071655D">
        <w:t>PDSCH could be small as these channels can be transmitted over multiple OFDM symbols and beyond the CRS-po</w:t>
      </w:r>
      <w:r w:rsidR="00B5583F">
        <w:t>lluted OFDM symbols. However</w:t>
      </w:r>
      <w:r w:rsidR="0071655D">
        <w:t xml:space="preserve"> severe degradation</w:t>
      </w:r>
      <w:r w:rsidR="00651D55">
        <w:t xml:space="preserve"> was observed for</w:t>
      </w:r>
      <w:r w:rsidR="0071655D">
        <w:t xml:space="preserve"> PCFICH detection </w:t>
      </w:r>
      <w:r w:rsidR="00567DB7">
        <w:fldChar w:fldCharType="begin"/>
      </w:r>
      <w:r w:rsidR="0071655D">
        <w:instrText xml:space="preserve"> REF _Ref299112073 \n \h </w:instrText>
      </w:r>
      <w:r w:rsidR="00567DB7">
        <w:fldChar w:fldCharType="separate"/>
      </w:r>
      <w:r w:rsidR="00E14F7A">
        <w:t>[2]</w:t>
      </w:r>
      <w:r w:rsidR="00567DB7">
        <w:fldChar w:fldCharType="end"/>
      </w:r>
      <w:r w:rsidR="0071655D">
        <w:t xml:space="preserve"> as PCFICH is transmitted in the first OFDM symbol only and experiences significant interference from CRS. </w:t>
      </w:r>
      <w:r w:rsidR="003C7184">
        <w:t xml:space="preserve">In this paper, we </w:t>
      </w:r>
      <w:r w:rsidR="00B5583F">
        <w:t>discuss</w:t>
      </w:r>
      <w:r w:rsidR="00651D55">
        <w:t xml:space="preserve"> potential approaches that allow a</w:t>
      </w:r>
      <w:r w:rsidR="00B5583F">
        <w:t xml:space="preserve"> victim UE (a pico UE in the </w:t>
      </w:r>
      <w:r w:rsidR="005F477F">
        <w:t xml:space="preserve">range expansion </w:t>
      </w:r>
      <w:r w:rsidR="00B5583F">
        <w:t xml:space="preserve">area or a non-member UE in the coverage area of a CSG) </w:t>
      </w:r>
      <w:r w:rsidR="00651D55">
        <w:t>to</w:t>
      </w:r>
      <w:r w:rsidR="00B5583F">
        <w:t xml:space="preserve"> </w:t>
      </w:r>
      <w:r w:rsidR="00651D55">
        <w:t xml:space="preserve">reliably </w:t>
      </w:r>
      <w:r w:rsidR="00B5583F">
        <w:t xml:space="preserve">obtain the </w:t>
      </w:r>
      <w:r w:rsidR="00651D55">
        <w:t>victim</w:t>
      </w:r>
      <w:r w:rsidR="00B5583F">
        <w:t xml:space="preserve"> cell’s control region size</w:t>
      </w:r>
      <w:r w:rsidR="0071655D">
        <w:t>.</w:t>
      </w:r>
    </w:p>
    <w:p w:rsidR="00CF0950" w:rsidRDefault="00CF0954" w:rsidP="00CF0950">
      <w:pPr>
        <w:pStyle w:val="Heading1"/>
        <w:keepLines w:val="0"/>
        <w:pBdr>
          <w:top w:val="none" w:sz="0" w:space="0" w:color="auto"/>
        </w:pBdr>
        <w:tabs>
          <w:tab w:val="clear" w:pos="432"/>
          <w:tab w:val="num" w:pos="360"/>
        </w:tabs>
        <w:spacing w:before="120" w:after="60" w:line="240" w:lineRule="atLeast"/>
        <w:ind w:left="0" w:right="-360" w:firstLine="0"/>
        <w:jc w:val="both"/>
      </w:pPr>
      <w:r>
        <w:t>Discussion</w:t>
      </w:r>
    </w:p>
    <w:p w:rsidR="0014078A" w:rsidRDefault="00CF0950">
      <w:pPr>
        <w:pStyle w:val="Heading1"/>
        <w:keepLines w:val="0"/>
        <w:numPr>
          <w:ilvl w:val="0"/>
          <w:numId w:val="0"/>
        </w:numPr>
        <w:pBdr>
          <w:top w:val="none" w:sz="0" w:space="0" w:color="auto"/>
        </w:pBdr>
        <w:spacing w:before="120" w:after="60" w:line="240" w:lineRule="atLeast"/>
        <w:ind w:right="-360"/>
        <w:jc w:val="both"/>
        <w:rPr>
          <w:rFonts w:ascii="Times New Roman" w:hAnsi="Times New Roman" w:cs="Times New Roman"/>
          <w:sz w:val="20"/>
          <w:szCs w:val="20"/>
        </w:rPr>
      </w:pPr>
      <w:r>
        <w:rPr>
          <w:rFonts w:ascii="Times New Roman" w:hAnsi="Times New Roman" w:cs="Times New Roman"/>
          <w:sz w:val="20"/>
          <w:szCs w:val="20"/>
        </w:rPr>
        <w:t>To resolve the PCFICH reliability issue, t</w:t>
      </w:r>
      <w:r w:rsidRPr="00CF0950">
        <w:rPr>
          <w:rFonts w:ascii="Times New Roman" w:hAnsi="Times New Roman" w:cs="Times New Roman"/>
          <w:sz w:val="20"/>
          <w:szCs w:val="20"/>
        </w:rPr>
        <w:t xml:space="preserve">here are </w:t>
      </w:r>
      <w:r>
        <w:rPr>
          <w:rFonts w:ascii="Times New Roman" w:hAnsi="Times New Roman" w:cs="Times New Roman"/>
          <w:sz w:val="20"/>
          <w:szCs w:val="20"/>
        </w:rPr>
        <w:t xml:space="preserve">two </w:t>
      </w:r>
      <w:r w:rsidR="00813F99">
        <w:rPr>
          <w:rFonts w:ascii="Times New Roman" w:hAnsi="Times New Roman" w:cs="Times New Roman"/>
          <w:sz w:val="20"/>
          <w:szCs w:val="20"/>
        </w:rPr>
        <w:t xml:space="preserve">different types of </w:t>
      </w:r>
      <w:r>
        <w:rPr>
          <w:rFonts w:ascii="Times New Roman" w:hAnsi="Times New Roman" w:cs="Times New Roman"/>
          <w:sz w:val="20"/>
          <w:szCs w:val="20"/>
        </w:rPr>
        <w:t>solutions</w:t>
      </w:r>
      <w:r w:rsidR="00813F99">
        <w:rPr>
          <w:rFonts w:ascii="Times New Roman" w:hAnsi="Times New Roman" w:cs="Times New Roman"/>
          <w:sz w:val="20"/>
          <w:szCs w:val="20"/>
        </w:rPr>
        <w:t>.</w:t>
      </w:r>
      <w:r>
        <w:rPr>
          <w:rFonts w:ascii="Times New Roman" w:hAnsi="Times New Roman" w:cs="Times New Roman"/>
          <w:sz w:val="20"/>
          <w:szCs w:val="20"/>
        </w:rPr>
        <w:t xml:space="preserve"> </w:t>
      </w:r>
      <w:r w:rsidR="00813F99">
        <w:rPr>
          <w:rFonts w:ascii="Times New Roman" w:hAnsi="Times New Roman" w:cs="Times New Roman"/>
          <w:sz w:val="20"/>
          <w:szCs w:val="20"/>
        </w:rPr>
        <w:t>O</w:t>
      </w:r>
      <w:r>
        <w:rPr>
          <w:rFonts w:ascii="Times New Roman" w:hAnsi="Times New Roman" w:cs="Times New Roman"/>
          <w:sz w:val="20"/>
          <w:szCs w:val="20"/>
        </w:rPr>
        <w:t xml:space="preserve">ne </w:t>
      </w:r>
      <w:r w:rsidR="00925A93">
        <w:rPr>
          <w:rFonts w:ascii="Times New Roman" w:hAnsi="Times New Roman" w:cs="Times New Roman"/>
          <w:sz w:val="20"/>
          <w:szCs w:val="20"/>
        </w:rPr>
        <w:t xml:space="preserve">is focused on the improved receiver mechanism with network aided information to mitigate the dominant interference and the other </w:t>
      </w:r>
      <w:r>
        <w:rPr>
          <w:rFonts w:ascii="Times New Roman" w:hAnsi="Times New Roman" w:cs="Times New Roman"/>
          <w:sz w:val="20"/>
          <w:szCs w:val="20"/>
        </w:rPr>
        <w:t>is focused on the secondary notification mechanism rather than the PCFICH. We discuss both solutions in the following</w:t>
      </w:r>
      <w:r w:rsidR="00B11D06">
        <w:rPr>
          <w:rFonts w:ascii="Times New Roman" w:hAnsi="Times New Roman" w:cs="Times New Roman"/>
          <w:sz w:val="20"/>
          <w:szCs w:val="20"/>
        </w:rPr>
        <w:t xml:space="preserve"> sections</w:t>
      </w:r>
      <w:r>
        <w:rPr>
          <w:rFonts w:ascii="Times New Roman" w:hAnsi="Times New Roman" w:cs="Times New Roman"/>
          <w:sz w:val="20"/>
          <w:szCs w:val="20"/>
        </w:rPr>
        <w:t xml:space="preserve">. </w:t>
      </w:r>
    </w:p>
    <w:p w:rsidR="00925A93" w:rsidRDefault="00925A93" w:rsidP="00925A93">
      <w:pPr>
        <w:pStyle w:val="Heading2"/>
        <w:numPr>
          <w:ilvl w:val="0"/>
          <w:numId w:val="0"/>
        </w:numPr>
      </w:pPr>
      <w:r>
        <w:t xml:space="preserve">2.1 Improve PCFICH detection with network aided information   </w:t>
      </w:r>
    </w:p>
    <w:p w:rsidR="00925A93" w:rsidRDefault="00925A93" w:rsidP="00925A93">
      <w:pPr>
        <w:rPr>
          <w:rFonts w:eastAsiaTheme="minorEastAsia"/>
        </w:rPr>
      </w:pPr>
      <w:r>
        <w:t xml:space="preserve">For a UE attached to a victim cell, the PCFICH symbols transmitted by the victim cell are corrupted by the CRS symbols transmitted by the aggressor cell. </w:t>
      </w:r>
      <w:r>
        <w:rPr>
          <w:rFonts w:eastAsiaTheme="minorEastAsia"/>
        </w:rPr>
        <w:t xml:space="preserve">As shown </w:t>
      </w:r>
      <w:r>
        <w:t xml:space="preserve">in </w:t>
      </w:r>
      <w:r w:rsidR="00567DB7">
        <w:fldChar w:fldCharType="begin"/>
      </w:r>
      <w:r>
        <w:instrText xml:space="preserve"> REF _Ref296979458 \h </w:instrText>
      </w:r>
      <w:r w:rsidR="00567DB7">
        <w:fldChar w:fldCharType="separate"/>
      </w:r>
      <w:r>
        <w:t xml:space="preserve">Figure </w:t>
      </w:r>
      <w:r>
        <w:rPr>
          <w:noProof/>
        </w:rPr>
        <w:t>1</w:t>
      </w:r>
      <w:r w:rsidR="00567DB7">
        <w:fldChar w:fldCharType="end"/>
      </w:r>
      <w:r>
        <w:rPr>
          <w:rFonts w:eastAsiaTheme="minorEastAsia"/>
        </w:rPr>
        <w:t xml:space="preserve">, assuming </w:t>
      </w:r>
      <w:r>
        <w:t xml:space="preserve">that </w:t>
      </w:r>
      <w:r>
        <w:rPr>
          <w:rFonts w:eastAsiaTheme="minorEastAsia"/>
        </w:rPr>
        <w:t xml:space="preserve">the CRSs from the macro and pico don’t collide, half of the PCFICH symbols are corrupted by the macro’s CRS if the macro cell is configured with more than one CRS port. </w:t>
      </w:r>
    </w:p>
    <w:p w:rsidR="00406D7C" w:rsidRDefault="00406D7C" w:rsidP="00925A93">
      <w:pPr>
        <w:rPr>
          <w:rFonts w:eastAsiaTheme="minorEastAsia"/>
        </w:rPr>
      </w:pPr>
      <w:r>
        <w:t xml:space="preserve">To improve the PCFICH detection at the victim UE, it has been suggested to discard the strongly interfered resource elements (RE) and use only the REs with no interference or low interference for decoding </w:t>
      </w:r>
      <w:r w:rsidR="00567DB7">
        <w:fldChar w:fldCharType="begin"/>
      </w:r>
      <w:r>
        <w:instrText xml:space="preserve"> REF _Ref294507544 \n \h </w:instrText>
      </w:r>
      <w:r w:rsidR="00567DB7">
        <w:fldChar w:fldCharType="separate"/>
      </w:r>
      <w:r>
        <w:t>[4]</w:t>
      </w:r>
      <w:r w:rsidR="00567DB7">
        <w:fldChar w:fldCharType="end"/>
      </w:r>
      <w:r>
        <w:t>. It makes sense that the UE discards the corrupted REs when the CRS interference from the aggressor cell is very strong and that the UE takes all the REs into decoding when the CRS interference is low. However, when the CRS interference is intermediate strong, it may be beneficial to partially take the corrupted REs into decoding. Therefore, to further improve the detection performance, we may use the following</w:t>
      </w:r>
      <w:r>
        <w:rPr>
          <w:lang w:val="en-CA"/>
        </w:rPr>
        <w:t xml:space="preserve"> </w:t>
      </w:r>
      <w:r>
        <w:t>enhanced PCFICH decoder which adaptively combines the corrupted and non-corrupted REs based on their respective reliabilities. The enhanced decoder weights the corrupted REs less as the interference level increases.</w:t>
      </w:r>
    </w:p>
    <w:p w:rsidR="000A055B" w:rsidRDefault="000A055B" w:rsidP="00925A93">
      <w:pPr>
        <w:rPr>
          <w:rFonts w:eastAsiaTheme="minorEastAsia"/>
        </w:rPr>
      </w:pPr>
    </w:p>
    <w:p w:rsidR="000A055B" w:rsidRDefault="000A055B" w:rsidP="00925A93">
      <w:pPr>
        <w:rPr>
          <w:rFonts w:eastAsiaTheme="minorEastAsia"/>
        </w:rPr>
      </w:pPr>
    </w:p>
    <w:p w:rsidR="00925A93" w:rsidRDefault="00FC459C" w:rsidP="00925A93">
      <w:pPr>
        <w:jc w:val="center"/>
      </w:pPr>
      <w:r>
        <w:object w:dxaOrig="8028" w:dyaOrig="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67pt" o:ole="">
            <v:imagedata r:id="rId8" o:title=""/>
          </v:shape>
          <o:OLEObject Type="Embed" ProgID="Word.Picture.8" ShapeID="_x0000_i1025" DrawAspect="Content" ObjectID="_1374867073" r:id="rId9"/>
        </w:object>
      </w:r>
    </w:p>
    <w:p w:rsidR="00C31035" w:rsidRDefault="00925A93" w:rsidP="000A055B">
      <w:pPr>
        <w:pStyle w:val="Caption"/>
        <w:jc w:val="center"/>
      </w:pPr>
      <w:bookmarkStart w:id="0" w:name="_Ref296979458"/>
      <w:r>
        <w:t xml:space="preserve">Figure </w:t>
      </w:r>
      <w:r w:rsidR="00567DB7">
        <w:fldChar w:fldCharType="begin"/>
      </w:r>
      <w:r>
        <w:instrText xml:space="preserve"> SEQ Figure \* ARABIC </w:instrText>
      </w:r>
      <w:r w:rsidR="00567DB7">
        <w:fldChar w:fldCharType="separate"/>
      </w:r>
      <w:r>
        <w:rPr>
          <w:noProof/>
        </w:rPr>
        <w:t>1</w:t>
      </w:r>
      <w:r w:rsidR="00567DB7">
        <w:fldChar w:fldCharType="end"/>
      </w:r>
      <w:bookmarkEnd w:id="0"/>
      <w:r>
        <w:t xml:space="preserve"> CRS transmitted from the Macro cell interfering with PCFICH transmitted by Pico cell</w:t>
      </w:r>
    </w:p>
    <w:p w:rsidR="000A055B" w:rsidRPr="000A055B" w:rsidRDefault="000A055B" w:rsidP="000A055B">
      <w:pPr>
        <w:rPr>
          <w:lang w:eastAsia="en-GB"/>
        </w:rPr>
      </w:pPr>
    </w:p>
    <w:p w:rsidR="00C31035" w:rsidRDefault="00925A93" w:rsidP="00C31035">
      <w:r>
        <w:rPr>
          <w:rFonts w:eastAsiaTheme="minorEastAsia"/>
        </w:rPr>
        <w:t xml:space="preserve">As shown </w:t>
      </w:r>
      <w:r>
        <w:t xml:space="preserve">in </w:t>
      </w:r>
      <w:r w:rsidR="00567DB7">
        <w:fldChar w:fldCharType="begin"/>
      </w:r>
      <w:r>
        <w:instrText xml:space="preserve"> REF _Ref296979458 \h </w:instrText>
      </w:r>
      <w:r w:rsidR="00567DB7">
        <w:fldChar w:fldCharType="separate"/>
      </w:r>
      <w:r>
        <w:t xml:space="preserve">Figure </w:t>
      </w:r>
      <w:r>
        <w:rPr>
          <w:noProof/>
        </w:rPr>
        <w:t>1</w:t>
      </w:r>
      <w:r w:rsidR="00567DB7">
        <w:fldChar w:fldCharType="end"/>
      </w:r>
      <w:r>
        <w:t>, the CRS corrupts either even or odd PCFICH symbols</w:t>
      </w:r>
      <w:r w:rsidRPr="005434CA">
        <w:t xml:space="preserve"> </w:t>
      </w:r>
      <w:r>
        <w:t xml:space="preserve">if the aggressor cell is configured with more than one CRS port. </w:t>
      </w:r>
      <w:r w:rsidR="00C31035">
        <w:t xml:space="preserve">To detect the CFI value, the UE calculates the following metric </w:t>
      </w:r>
      <m:oMath>
        <m:r>
          <w:rPr>
            <w:rFonts w:ascii="Cambria Math" w:hAnsi="Cambria Math"/>
          </w:rPr>
          <m:t>M3</m:t>
        </m:r>
      </m:oMath>
      <w:r w:rsidR="00C31035">
        <w:t xml:space="preserve"> for each possible CFI value </w:t>
      </w:r>
      <m:oMath>
        <m:r>
          <w:rPr>
            <w:rFonts w:ascii="Cambria Math" w:hAnsi="Cambria Math"/>
          </w:rPr>
          <m:t>i=0,1,2</m:t>
        </m:r>
      </m:oMath>
      <w:r w:rsidR="00C31035">
        <w:t xml:space="preserve"> and chooses the CFI value which gives the lowest</w:t>
      </w:r>
      <m:oMath>
        <m:r>
          <w:rPr>
            <w:rFonts w:ascii="Cambria Math" w:hAnsi="Cambria Math"/>
          </w:rPr>
          <m:t xml:space="preserve"> M3</m:t>
        </m:r>
      </m:oMath>
      <w:r w:rsidR="00C31035">
        <w:t>.</w:t>
      </w:r>
    </w:p>
    <w:p w:rsidR="00C31035" w:rsidRDefault="00C31035" w:rsidP="00C31035">
      <w:pPr>
        <w:rPr>
          <w:lang w:val="en-CA"/>
        </w:rPr>
      </w:pPr>
      <m:oMathPara>
        <m:oMath>
          <m:r>
            <w:rPr>
              <w:rFonts w:ascii="Cambria Math" w:hAnsi="Cambria Math"/>
              <w:sz w:val="22"/>
              <w:szCs w:val="22"/>
              <w:lang w:val="en-CA"/>
            </w:rPr>
            <m:t>M3(i)=</m:t>
          </m:r>
          <m:sSub>
            <m:sSubPr>
              <m:ctrlPr>
                <w:rPr>
                  <w:rFonts w:ascii="Cambria Math" w:hAnsi="Cambria Math"/>
                  <w:i/>
                  <w:sz w:val="22"/>
                  <w:szCs w:val="22"/>
                  <w:lang w:val="en-CA"/>
                </w:rPr>
              </m:ctrlPr>
            </m:sSubPr>
            <m:e>
              <m:r>
                <w:rPr>
                  <w:rFonts w:ascii="Cambria Math" w:hAnsi="Cambria Math"/>
                  <w:sz w:val="22"/>
                  <w:szCs w:val="22"/>
                  <w:lang w:val="en-CA"/>
                </w:rPr>
                <m:t>β</m:t>
              </m:r>
            </m:e>
            <m:sub>
              <m:r>
                <w:rPr>
                  <w:rFonts w:ascii="Cambria Math" w:hAnsi="Cambria Math"/>
                  <w:sz w:val="22"/>
                  <w:szCs w:val="22"/>
                  <w:lang w:val="en-CA"/>
                </w:rPr>
                <m:t>1</m:t>
              </m:r>
            </m:sub>
          </m:sSub>
          <m:r>
            <w:rPr>
              <w:rFonts w:ascii="Cambria Math" w:hAnsi="Cambria Math"/>
              <w:sz w:val="22"/>
              <w:szCs w:val="22"/>
              <w:lang w:val="en-CA"/>
            </w:rPr>
            <m:t>M1</m:t>
          </m:r>
          <m:d>
            <m:dPr>
              <m:ctrlPr>
                <w:rPr>
                  <w:rFonts w:ascii="Cambria Math" w:hAnsi="Cambria Math"/>
                  <w:i/>
                  <w:sz w:val="22"/>
                  <w:szCs w:val="22"/>
                  <w:lang w:val="en-CA"/>
                </w:rPr>
              </m:ctrlPr>
            </m:dPr>
            <m:e>
              <m:r>
                <w:rPr>
                  <w:rFonts w:ascii="Cambria Math" w:hAnsi="Cambria Math"/>
                  <w:sz w:val="22"/>
                  <w:szCs w:val="22"/>
                  <w:lang w:val="en-CA"/>
                </w:rPr>
                <m:t>i</m:t>
              </m:r>
            </m:e>
          </m:d>
          <m:r>
            <w:rPr>
              <w:rFonts w:ascii="Cambria Math" w:hAnsi="Cambria Math"/>
              <w:sz w:val="22"/>
              <w:szCs w:val="22"/>
              <w:lang w:val="en-CA"/>
            </w:rPr>
            <m:t>+</m:t>
          </m:r>
          <m:sSub>
            <m:sSubPr>
              <m:ctrlPr>
                <w:rPr>
                  <w:rFonts w:ascii="Cambria Math" w:hAnsi="Cambria Math"/>
                  <w:i/>
                  <w:sz w:val="22"/>
                  <w:szCs w:val="22"/>
                  <w:lang w:val="en-CA"/>
                </w:rPr>
              </m:ctrlPr>
            </m:sSubPr>
            <m:e>
              <m:r>
                <w:rPr>
                  <w:rFonts w:ascii="Cambria Math" w:hAnsi="Cambria Math"/>
                  <w:sz w:val="22"/>
                  <w:szCs w:val="22"/>
                  <w:lang w:val="en-CA"/>
                </w:rPr>
                <m:t>β</m:t>
              </m:r>
            </m:e>
            <m:sub>
              <m:r>
                <w:rPr>
                  <w:rFonts w:ascii="Cambria Math" w:hAnsi="Cambria Math"/>
                  <w:sz w:val="22"/>
                  <w:szCs w:val="22"/>
                  <w:lang w:val="en-CA"/>
                </w:rPr>
                <m:t>2</m:t>
              </m:r>
            </m:sub>
          </m:sSub>
          <m:r>
            <w:rPr>
              <w:rFonts w:ascii="Cambria Math" w:hAnsi="Cambria Math"/>
              <w:sz w:val="22"/>
              <w:szCs w:val="22"/>
              <w:lang w:val="en-CA"/>
            </w:rPr>
            <m:t>M2</m:t>
          </m:r>
          <m:d>
            <m:dPr>
              <m:ctrlPr>
                <w:rPr>
                  <w:rFonts w:ascii="Cambria Math" w:hAnsi="Cambria Math"/>
                  <w:i/>
                  <w:sz w:val="22"/>
                  <w:szCs w:val="22"/>
                  <w:lang w:val="en-CA"/>
                </w:rPr>
              </m:ctrlPr>
            </m:dPr>
            <m:e>
              <m:r>
                <w:rPr>
                  <w:rFonts w:ascii="Cambria Math" w:hAnsi="Cambria Math"/>
                  <w:sz w:val="22"/>
                  <w:szCs w:val="22"/>
                  <w:lang w:val="en-CA"/>
                </w:rPr>
                <m:t>i</m:t>
              </m:r>
            </m:e>
          </m:d>
        </m:oMath>
      </m:oMathPara>
    </w:p>
    <w:p w:rsidR="00C31035" w:rsidRDefault="00C31035" w:rsidP="00C31035">
      <w:pPr>
        <w:jc w:val="center"/>
        <w:rPr>
          <w:lang w:val="en-US"/>
        </w:rPr>
      </w:pPr>
      <m:oMath>
        <m:r>
          <w:rPr>
            <w:rFonts w:ascii="Cambria Math" w:eastAsiaTheme="minorEastAsia" w:hAnsi="Cambria Math"/>
          </w:rPr>
          <m:t>M1</m:t>
        </m:r>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nary>
          <m:naryPr>
            <m:chr m:val="∑"/>
            <m:limLoc m:val="undOvr"/>
            <m:ctrlPr>
              <w:rPr>
                <w:rFonts w:ascii="Cambria Math" w:eastAsiaTheme="minorEastAsia" w:hAnsi="Cambria Math"/>
                <w:i/>
                <w:lang w:val="en-US"/>
              </w:rPr>
            </m:ctrlPr>
          </m:naryPr>
          <m:sub>
            <m:r>
              <w:rPr>
                <w:rFonts w:ascii="Cambria Math" w:eastAsiaTheme="minorEastAsia" w:hAnsi="Cambria Math"/>
              </w:rPr>
              <m:t>k=0</m:t>
            </m:r>
          </m:sub>
          <m:sup>
            <m:r>
              <w:rPr>
                <w:rFonts w:ascii="Cambria Math" w:eastAsiaTheme="minorEastAsia" w:hAnsi="Cambria Math"/>
              </w:rPr>
              <m:t>7</m:t>
            </m:r>
          </m:sup>
          <m:e>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rPr>
                          <m:t>r</m:t>
                        </m:r>
                        <m:ctrlPr>
                          <w:rPr>
                            <w:rFonts w:ascii="Cambria Math" w:eastAsiaTheme="minorEastAsia" w:hAnsi="Cambria Math"/>
                            <w:i/>
                          </w:rPr>
                        </m:ctrlPr>
                      </m:e>
                      <m:sub>
                        <m:r>
                          <w:rPr>
                            <w:rFonts w:ascii="Cambria Math" w:eastAsiaTheme="minorEastAsia" w:hAnsi="Cambria Math"/>
                          </w:rPr>
                          <m:t>2k</m:t>
                        </m:r>
                        <m:ctrlPr>
                          <w:rPr>
                            <w:rFonts w:ascii="Cambria Math" w:eastAsiaTheme="minorEastAsia" w:hAnsi="Cambria Math"/>
                            <w:i/>
                          </w:rPr>
                        </m:ctrlPr>
                      </m:sub>
                    </m:sSub>
                    <m:r>
                      <w:rPr>
                        <w:rFonts w:ascii="Cambria Math" w:eastAsiaTheme="minorEastAsia" w:hAnsi="Cambria Math"/>
                      </w:rPr>
                      <m:t>-</m:t>
                    </m:r>
                    <m:sSubSup>
                      <m:sSubSupPr>
                        <m:ctrlPr>
                          <w:rPr>
                            <w:rFonts w:ascii="Cambria Math" w:eastAsiaTheme="minorEastAsia" w:hAnsi="Cambria Math"/>
                            <w:i/>
                            <w:lang w:val="en-US"/>
                          </w:rPr>
                        </m:ctrlPr>
                      </m:sSubSupPr>
                      <m:e>
                        <m:acc>
                          <m:accPr>
                            <m:ctrlPr>
                              <w:rPr>
                                <w:rFonts w:ascii="Cambria Math" w:eastAsiaTheme="minorEastAsia" w:hAnsi="Cambria Math"/>
                                <w:i/>
                              </w:rPr>
                            </m:ctrlPr>
                          </m:accPr>
                          <m:e>
                            <m:r>
                              <w:rPr>
                                <w:rFonts w:ascii="Cambria Math" w:eastAsiaTheme="minorEastAsia" w:hAnsi="Cambria Math"/>
                              </w:rPr>
                              <m:t>c</m:t>
                            </m:r>
                          </m:e>
                        </m:acc>
                        <m:ctrlPr>
                          <w:rPr>
                            <w:rFonts w:ascii="Cambria Math" w:eastAsiaTheme="minorEastAsia" w:hAnsi="Cambria Math"/>
                            <w:i/>
                          </w:rPr>
                        </m:ctrlPr>
                      </m:e>
                      <m:sub>
                        <m:r>
                          <w:rPr>
                            <w:rFonts w:ascii="Cambria Math" w:eastAsiaTheme="minorEastAsia" w:hAnsi="Cambria Math"/>
                          </w:rPr>
                          <m:t>2k</m:t>
                        </m:r>
                        <m:ctrlPr>
                          <w:rPr>
                            <w:rFonts w:ascii="Cambria Math" w:eastAsiaTheme="minorEastAsia" w:hAnsi="Cambria Math"/>
                            <w:i/>
                          </w:rPr>
                        </m:ctrlPr>
                      </m:sub>
                      <m:sup>
                        <m:r>
                          <w:rPr>
                            <w:rFonts w:ascii="Cambria Math" w:eastAsiaTheme="minorEastAsia" w:hAnsi="Cambria Math"/>
                          </w:rPr>
                          <m:t>p</m:t>
                        </m:r>
                        <m:ctrlPr>
                          <w:rPr>
                            <w:rFonts w:ascii="Cambria Math" w:eastAsiaTheme="minorEastAsia" w:hAnsi="Cambria Math"/>
                            <w:i/>
                          </w:rPr>
                        </m:ctrlPr>
                      </m:sup>
                    </m:sSubSup>
                    <m:sSub>
                      <m:sSubPr>
                        <m:ctrlPr>
                          <w:rPr>
                            <w:rFonts w:ascii="Cambria Math" w:eastAsiaTheme="minorEastAsia" w:hAnsi="Cambria Math"/>
                            <w:i/>
                            <w:lang w:val="en-US"/>
                          </w:rPr>
                        </m:ctrlPr>
                      </m:sSubPr>
                      <m:e>
                        <m:r>
                          <w:rPr>
                            <w:rFonts w:ascii="Cambria Math" w:eastAsiaTheme="minorEastAsia" w:hAnsi="Cambria Math"/>
                          </w:rPr>
                          <m:t>s</m:t>
                        </m:r>
                        <m:ctrlPr>
                          <w:rPr>
                            <w:rFonts w:ascii="Cambria Math" w:eastAsiaTheme="minorEastAsia" w:hAnsi="Cambria Math"/>
                            <w:i/>
                          </w:rPr>
                        </m:ctrlPr>
                      </m:e>
                      <m:sub>
                        <m:r>
                          <w:rPr>
                            <w:rFonts w:ascii="Cambria Math" w:eastAsiaTheme="minorEastAsia" w:hAnsi="Cambria Math"/>
                          </w:rPr>
                          <m:t>2k</m:t>
                        </m:r>
                        <m:ctrlPr>
                          <w:rPr>
                            <w:rFonts w:ascii="Cambria Math" w:eastAsiaTheme="minorEastAsia" w:hAnsi="Cambria Math"/>
                            <w:i/>
                          </w:rPr>
                        </m:ctrlPr>
                      </m:sub>
                    </m:sSub>
                    <m:d>
                      <m:dPr>
                        <m:ctrlPr>
                          <w:rPr>
                            <w:rFonts w:ascii="Cambria Math" w:eastAsiaTheme="minorEastAsia" w:hAnsi="Cambria Math"/>
                            <w:i/>
                            <w:lang w:val="en-US"/>
                          </w:rPr>
                        </m:ctrlPr>
                      </m:dPr>
                      <m:e>
                        <m:r>
                          <w:rPr>
                            <w:rFonts w:ascii="Cambria Math" w:eastAsiaTheme="minorEastAsia" w:hAnsi="Cambria Math"/>
                          </w:rPr>
                          <m:t>i</m:t>
                        </m:r>
                      </m:e>
                    </m:d>
                  </m:e>
                </m:d>
                <m:ctrlPr>
                  <w:rPr>
                    <w:rFonts w:ascii="Cambria Math" w:eastAsiaTheme="minorEastAsia" w:hAnsi="Cambria Math"/>
                    <w:i/>
                  </w:rPr>
                </m:ctrlPr>
              </m:e>
              <m:sup>
                <m:r>
                  <w:rPr>
                    <w:rFonts w:ascii="Cambria Math" w:eastAsiaTheme="minorEastAsia" w:hAnsi="Cambria Math"/>
                  </w:rPr>
                  <m:t>2</m:t>
                </m:r>
                <m:ctrlPr>
                  <w:rPr>
                    <w:rFonts w:ascii="Cambria Math" w:eastAsiaTheme="minorEastAsia" w:hAnsi="Cambria Math"/>
                    <w:i/>
                  </w:rPr>
                </m:ctrlPr>
              </m:sup>
            </m:sSup>
          </m:e>
        </m:nary>
      </m:oMath>
      <w:r>
        <w:rPr>
          <w:lang w:val="en-US"/>
        </w:rPr>
        <w:t xml:space="preserve">  metric from all the even </w:t>
      </w:r>
      <w:r w:rsidR="005F477F">
        <w:rPr>
          <w:lang w:val="en-US"/>
        </w:rPr>
        <w:t>RE</w:t>
      </w:r>
      <w:r>
        <w:rPr>
          <w:lang w:val="en-US"/>
        </w:rPr>
        <w:t>s</w:t>
      </w:r>
    </w:p>
    <w:p w:rsidR="00C31035" w:rsidRPr="00313D39" w:rsidRDefault="00C31035" w:rsidP="00C31035">
      <w:pPr>
        <w:jc w:val="center"/>
        <w:rPr>
          <w:sz w:val="22"/>
          <w:szCs w:val="22"/>
          <w:lang w:val="en-CA"/>
        </w:rPr>
      </w:pPr>
      <m:oMath>
        <m:r>
          <w:rPr>
            <w:rFonts w:ascii="Cambria Math" w:eastAsiaTheme="minorEastAsia" w:hAnsi="Cambria Math"/>
          </w:rPr>
          <m:t>M2</m:t>
        </m:r>
        <m:d>
          <m:dPr>
            <m:ctrlPr>
              <w:rPr>
                <w:rFonts w:ascii="Cambria Math" w:eastAsiaTheme="minorEastAsia" w:hAnsi="Cambria Math"/>
                <w:i/>
                <w:lang w:val="en-US"/>
              </w:rPr>
            </m:ctrlPr>
          </m:dPr>
          <m:e>
            <m:r>
              <w:rPr>
                <w:rFonts w:ascii="Cambria Math" w:eastAsiaTheme="minorEastAsia" w:hAnsi="Cambria Math"/>
              </w:rPr>
              <m:t>i</m:t>
            </m:r>
          </m:e>
        </m:d>
        <m:r>
          <w:rPr>
            <w:rFonts w:ascii="Cambria Math" w:eastAsiaTheme="minorEastAsia" w:hAnsi="Cambria Math"/>
          </w:rPr>
          <m:t>=</m:t>
        </m:r>
        <m:nary>
          <m:naryPr>
            <m:chr m:val="∑"/>
            <m:limLoc m:val="undOvr"/>
            <m:ctrlPr>
              <w:rPr>
                <w:rFonts w:ascii="Cambria Math" w:eastAsiaTheme="minorEastAsia" w:hAnsi="Cambria Math"/>
                <w:i/>
                <w:lang w:val="en-US"/>
              </w:rPr>
            </m:ctrlPr>
          </m:naryPr>
          <m:sub>
            <m:r>
              <w:rPr>
                <w:rFonts w:ascii="Cambria Math" w:eastAsiaTheme="minorEastAsia" w:hAnsi="Cambria Math"/>
              </w:rPr>
              <m:t>k=0</m:t>
            </m:r>
          </m:sub>
          <m:sup>
            <m:r>
              <w:rPr>
                <w:rFonts w:ascii="Cambria Math" w:eastAsiaTheme="minorEastAsia" w:hAnsi="Cambria Math"/>
              </w:rPr>
              <m:t>7</m:t>
            </m:r>
          </m:sup>
          <m:e>
            <m:sSup>
              <m:sSupPr>
                <m:ctrlPr>
                  <w:rPr>
                    <w:rFonts w:ascii="Cambria Math" w:eastAsiaTheme="minorEastAsia" w:hAnsi="Cambria Math"/>
                    <w:i/>
                    <w:lang w:val="en-US"/>
                  </w:rPr>
                </m:ctrlPr>
              </m:sSupPr>
              <m:e>
                <m:d>
                  <m:dPr>
                    <m:begChr m:val="|"/>
                    <m:endChr m:val="|"/>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rPr>
                          <m:t>r</m:t>
                        </m:r>
                        <m:ctrlPr>
                          <w:rPr>
                            <w:rFonts w:ascii="Cambria Math" w:eastAsiaTheme="minorEastAsia" w:hAnsi="Cambria Math"/>
                            <w:i/>
                          </w:rPr>
                        </m:ctrlPr>
                      </m:e>
                      <m:sub>
                        <m:r>
                          <w:rPr>
                            <w:rFonts w:ascii="Cambria Math" w:eastAsiaTheme="minorEastAsia" w:hAnsi="Cambria Math"/>
                          </w:rPr>
                          <m:t>2k+1</m:t>
                        </m:r>
                        <m:ctrlPr>
                          <w:rPr>
                            <w:rFonts w:ascii="Cambria Math" w:eastAsiaTheme="minorEastAsia" w:hAnsi="Cambria Math"/>
                            <w:i/>
                          </w:rPr>
                        </m:ctrlPr>
                      </m:sub>
                    </m:sSub>
                    <m:r>
                      <w:rPr>
                        <w:rFonts w:ascii="Cambria Math" w:eastAsiaTheme="minorEastAsia" w:hAnsi="Cambria Math"/>
                      </w:rPr>
                      <m:t>-</m:t>
                    </m:r>
                    <m:sSubSup>
                      <m:sSubSupPr>
                        <m:ctrlPr>
                          <w:rPr>
                            <w:rFonts w:ascii="Cambria Math" w:eastAsiaTheme="minorEastAsia" w:hAnsi="Cambria Math"/>
                            <w:i/>
                            <w:lang w:val="en-US"/>
                          </w:rPr>
                        </m:ctrlPr>
                      </m:sSubSupPr>
                      <m:e>
                        <m:acc>
                          <m:accPr>
                            <m:ctrlPr>
                              <w:rPr>
                                <w:rFonts w:ascii="Cambria Math" w:eastAsiaTheme="minorEastAsia" w:hAnsi="Cambria Math"/>
                                <w:i/>
                              </w:rPr>
                            </m:ctrlPr>
                          </m:accPr>
                          <m:e>
                            <m:r>
                              <w:rPr>
                                <w:rFonts w:ascii="Cambria Math" w:eastAsiaTheme="minorEastAsia" w:hAnsi="Cambria Math"/>
                              </w:rPr>
                              <m:t>c</m:t>
                            </m:r>
                          </m:e>
                        </m:acc>
                        <m:ctrlPr>
                          <w:rPr>
                            <w:rFonts w:ascii="Cambria Math" w:eastAsiaTheme="minorEastAsia" w:hAnsi="Cambria Math"/>
                            <w:i/>
                          </w:rPr>
                        </m:ctrlPr>
                      </m:e>
                      <m:sub>
                        <m:r>
                          <w:rPr>
                            <w:rFonts w:ascii="Cambria Math" w:eastAsiaTheme="minorEastAsia" w:hAnsi="Cambria Math"/>
                          </w:rPr>
                          <m:t>2k+1</m:t>
                        </m:r>
                        <m:ctrlPr>
                          <w:rPr>
                            <w:rFonts w:ascii="Cambria Math" w:eastAsiaTheme="minorEastAsia" w:hAnsi="Cambria Math"/>
                            <w:i/>
                          </w:rPr>
                        </m:ctrlPr>
                      </m:sub>
                      <m:sup>
                        <m:r>
                          <w:rPr>
                            <w:rFonts w:ascii="Cambria Math" w:eastAsiaTheme="minorEastAsia" w:hAnsi="Cambria Math"/>
                          </w:rPr>
                          <m:t>p</m:t>
                        </m:r>
                        <m:ctrlPr>
                          <w:rPr>
                            <w:rFonts w:ascii="Cambria Math" w:eastAsiaTheme="minorEastAsia" w:hAnsi="Cambria Math"/>
                            <w:i/>
                          </w:rPr>
                        </m:ctrlPr>
                      </m:sup>
                    </m:sSubSup>
                    <m:sSub>
                      <m:sSubPr>
                        <m:ctrlPr>
                          <w:rPr>
                            <w:rFonts w:ascii="Cambria Math" w:eastAsiaTheme="minorEastAsia" w:hAnsi="Cambria Math"/>
                            <w:i/>
                            <w:lang w:val="en-US"/>
                          </w:rPr>
                        </m:ctrlPr>
                      </m:sSubPr>
                      <m:e>
                        <m:r>
                          <w:rPr>
                            <w:rFonts w:ascii="Cambria Math" w:eastAsiaTheme="minorEastAsia" w:hAnsi="Cambria Math"/>
                          </w:rPr>
                          <m:t>s</m:t>
                        </m:r>
                        <m:ctrlPr>
                          <w:rPr>
                            <w:rFonts w:ascii="Cambria Math" w:eastAsiaTheme="minorEastAsia" w:hAnsi="Cambria Math"/>
                            <w:i/>
                          </w:rPr>
                        </m:ctrlPr>
                      </m:e>
                      <m:sub>
                        <m:r>
                          <w:rPr>
                            <w:rFonts w:ascii="Cambria Math" w:eastAsiaTheme="minorEastAsia" w:hAnsi="Cambria Math"/>
                          </w:rPr>
                          <m:t>2k+1</m:t>
                        </m:r>
                        <m:ctrlPr>
                          <w:rPr>
                            <w:rFonts w:ascii="Cambria Math" w:eastAsiaTheme="minorEastAsia" w:hAnsi="Cambria Math"/>
                            <w:i/>
                          </w:rPr>
                        </m:ctrlPr>
                      </m:sub>
                    </m:sSub>
                    <m:d>
                      <m:dPr>
                        <m:ctrlPr>
                          <w:rPr>
                            <w:rFonts w:ascii="Cambria Math" w:eastAsiaTheme="minorEastAsia" w:hAnsi="Cambria Math"/>
                            <w:i/>
                            <w:lang w:val="en-US"/>
                          </w:rPr>
                        </m:ctrlPr>
                      </m:dPr>
                      <m:e>
                        <m:r>
                          <w:rPr>
                            <w:rFonts w:ascii="Cambria Math" w:eastAsiaTheme="minorEastAsia" w:hAnsi="Cambria Math"/>
                          </w:rPr>
                          <m:t>i</m:t>
                        </m:r>
                      </m:e>
                    </m:d>
                  </m:e>
                </m:d>
                <m:ctrlPr>
                  <w:rPr>
                    <w:rFonts w:ascii="Cambria Math" w:eastAsiaTheme="minorEastAsia" w:hAnsi="Cambria Math"/>
                    <w:i/>
                  </w:rPr>
                </m:ctrlPr>
              </m:e>
              <m:sup>
                <m:r>
                  <w:rPr>
                    <w:rFonts w:ascii="Cambria Math" w:eastAsiaTheme="minorEastAsia" w:hAnsi="Cambria Math"/>
                  </w:rPr>
                  <m:t>2</m:t>
                </m:r>
                <m:ctrlPr>
                  <w:rPr>
                    <w:rFonts w:ascii="Cambria Math" w:eastAsiaTheme="minorEastAsia" w:hAnsi="Cambria Math"/>
                    <w:i/>
                  </w:rPr>
                </m:ctrlPr>
              </m:sup>
            </m:sSup>
          </m:e>
        </m:nary>
      </m:oMath>
      <w:r>
        <w:rPr>
          <w:lang w:val="en-US"/>
        </w:rPr>
        <w:t xml:space="preserve"> metric from all the odd </w:t>
      </w:r>
      <w:r w:rsidR="005F477F">
        <w:rPr>
          <w:lang w:val="en-US"/>
        </w:rPr>
        <w:t>RE</w:t>
      </w:r>
      <w:r>
        <w:rPr>
          <w:lang w:val="en-US"/>
        </w:rPr>
        <w:t>s</w:t>
      </w:r>
    </w:p>
    <w:p w:rsidR="00925A93" w:rsidRDefault="00C31035" w:rsidP="00C31035">
      <w:r>
        <w:rPr>
          <w:lang w:val="en-CA"/>
        </w:rPr>
        <w:t>Here</w:t>
      </w:r>
      <m:oMath>
        <m:sSub>
          <m:sSubPr>
            <m:ctrlPr>
              <w:rPr>
                <w:rFonts w:ascii="Cambria Math" w:hAnsi="Cambria Math"/>
                <w:i/>
              </w:rPr>
            </m:ctrlPr>
          </m:sSubPr>
          <m:e>
            <m:r>
              <w:rPr>
                <w:rFonts w:ascii="Cambria Math" w:hAnsi="Cambria Math"/>
              </w:rPr>
              <m:t xml:space="preserve"> r</m:t>
            </m:r>
          </m:e>
          <m:sub>
            <m:r>
              <w:rPr>
                <w:rFonts w:ascii="Cambria Math" w:hAnsi="Cambria Math"/>
              </w:rPr>
              <m:t>k</m:t>
            </m:r>
          </m:sub>
        </m:sSub>
      </m:oMath>
      <w:r>
        <w:t xml:space="preserve"> is the received signal at </w:t>
      </w:r>
      <m:oMath>
        <m:r>
          <w:rPr>
            <w:rFonts w:ascii="Cambria Math" w:hAnsi="Cambria Math"/>
          </w:rPr>
          <m:t>k</m:t>
        </m:r>
      </m:oMath>
      <w:r>
        <w:t xml:space="preserve">th </w:t>
      </w:r>
      <w:r w:rsidR="005F477F">
        <w:t>RE</w:t>
      </w:r>
      <w:r>
        <w:t xml:space="preserve"> at the UE, </w:t>
      </w:r>
      <m:oMath>
        <m:sSubSup>
          <m:sSubSupPr>
            <m:ctrlPr>
              <w:rPr>
                <w:rFonts w:ascii="Cambria Math" w:eastAsiaTheme="minorEastAsia" w:hAnsi="Cambria Math"/>
                <w:i/>
                <w:lang w:val="en-US"/>
              </w:rPr>
            </m:ctrlPr>
          </m:sSubSupPr>
          <m:e>
            <m:acc>
              <m:accPr>
                <m:ctrlPr>
                  <w:rPr>
                    <w:rFonts w:ascii="Cambria Math" w:eastAsiaTheme="minorEastAsia" w:hAnsi="Cambria Math"/>
                    <w:i/>
                  </w:rPr>
                </m:ctrlPr>
              </m:accPr>
              <m:e>
                <m:r>
                  <w:rPr>
                    <w:rFonts w:ascii="Cambria Math" w:eastAsiaTheme="minorEastAsia" w:hAnsi="Cambria Math"/>
                  </w:rPr>
                  <m:t>c</m:t>
                </m:r>
              </m:e>
            </m:acc>
            <m:ctrlPr>
              <w:rPr>
                <w:rFonts w:ascii="Cambria Math" w:eastAsiaTheme="minorEastAsia" w:hAnsi="Cambria Math"/>
                <w:i/>
              </w:rPr>
            </m:ctrlPr>
          </m:e>
          <m:sub>
            <m:r>
              <w:rPr>
                <w:rFonts w:ascii="Cambria Math" w:eastAsiaTheme="minorEastAsia" w:hAnsi="Cambria Math"/>
              </w:rPr>
              <m:t>k</m:t>
            </m:r>
            <m:ctrlPr>
              <w:rPr>
                <w:rFonts w:ascii="Cambria Math" w:eastAsiaTheme="minorEastAsia" w:hAnsi="Cambria Math"/>
                <w:i/>
              </w:rPr>
            </m:ctrlPr>
          </m:sub>
          <m:sup>
            <m:r>
              <w:rPr>
                <w:rFonts w:ascii="Cambria Math" w:eastAsiaTheme="minorEastAsia" w:hAnsi="Cambria Math"/>
              </w:rPr>
              <m:t>p</m:t>
            </m:r>
            <m:ctrlPr>
              <w:rPr>
                <w:rFonts w:ascii="Cambria Math" w:eastAsiaTheme="minorEastAsia" w:hAnsi="Cambria Math"/>
                <w:i/>
              </w:rPr>
            </m:ctrlPr>
          </m:sup>
        </m:sSubSup>
      </m:oMath>
      <w:r>
        <w:t xml:space="preserve"> is the e</w:t>
      </w:r>
      <w:r w:rsidR="004231AB">
        <w:t>stimated channel weight between the UE and the pico eNB</w:t>
      </w:r>
      <w:r w:rsidR="0023406E">
        <w:t xml:space="preserve"> at </w:t>
      </w:r>
      <m:oMath>
        <m:r>
          <w:rPr>
            <w:rFonts w:ascii="Cambria Math" w:hAnsi="Cambria Math"/>
          </w:rPr>
          <m:t>k</m:t>
        </m:r>
      </m:oMath>
      <w:r w:rsidR="0023406E">
        <w:t>th RE</w:t>
      </w:r>
      <w:r>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represents th</w:t>
      </w:r>
      <w:r w:rsidR="002E3ACA">
        <w:t>e transmitted PCFICH QPSK symbol</w:t>
      </w:r>
      <w:r w:rsidR="0023406E">
        <w:t xml:space="preserve"> at </w:t>
      </w:r>
      <m:oMath>
        <m:r>
          <w:rPr>
            <w:rFonts w:ascii="Cambria Math" w:hAnsi="Cambria Math"/>
          </w:rPr>
          <m:t>k</m:t>
        </m:r>
      </m:oMath>
      <w:r w:rsidR="0023406E">
        <w:t>th RE</w:t>
      </w:r>
      <w:r>
        <w:t xml:space="preserve">. </w:t>
      </w:r>
      <w:r>
        <w:rPr>
          <w:lang w:val="en-CA"/>
        </w:rPr>
        <w:t xml:space="preserve"> </w:t>
      </w:r>
      <m:oMath>
        <m:sSub>
          <m:sSubPr>
            <m:ctrlPr>
              <w:rPr>
                <w:rFonts w:ascii="Cambria Math" w:hAnsi="Cambria Math"/>
                <w:i/>
                <w:lang w:val="en-CA"/>
              </w:rPr>
            </m:ctrlPr>
          </m:sSubPr>
          <m:e>
            <m:r>
              <w:rPr>
                <w:rFonts w:ascii="Cambria Math" w:hAnsi="Cambria Math"/>
                <w:lang w:val="en-CA"/>
              </w:rPr>
              <m:t>β</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β</m:t>
            </m:r>
          </m:e>
          <m:sub>
            <m:r>
              <w:rPr>
                <w:rFonts w:ascii="Cambria Math" w:hAnsi="Cambria Math"/>
                <w:lang w:val="en-CA"/>
              </w:rPr>
              <m:t>2</m:t>
            </m:r>
          </m:sub>
        </m:sSub>
      </m:oMath>
      <w:r>
        <w:rPr>
          <w:lang w:val="en-CA"/>
        </w:rPr>
        <w:t xml:space="preserve"> are the reliability based scaling factors</w:t>
      </w:r>
      <w:r w:rsidR="004231AB">
        <w:rPr>
          <w:lang w:val="en-CA"/>
        </w:rPr>
        <w:t xml:space="preserve"> for M1 and M2 respectively</w:t>
      </w:r>
      <w:r>
        <w:t xml:space="preserve">. With this </w:t>
      </w:r>
      <w:r w:rsidR="005F477F">
        <w:rPr>
          <w:lang w:val="en-CA"/>
        </w:rPr>
        <w:t xml:space="preserve">reliability-based </w:t>
      </w:r>
      <w:r>
        <w:t xml:space="preserve">decoder, the UE does not have to decide whether the interference level is strong enough to discard </w:t>
      </w:r>
      <w:r w:rsidR="000A055B">
        <w:t xml:space="preserve">part </w:t>
      </w:r>
      <w:r>
        <w:t xml:space="preserve">of the </w:t>
      </w:r>
      <w:r w:rsidR="005F477F">
        <w:t>RE</w:t>
      </w:r>
      <w:r>
        <w:t xml:space="preserve">s. </w:t>
      </w:r>
      <w:r w:rsidR="00567DB7">
        <w:fldChar w:fldCharType="begin"/>
      </w:r>
      <w:r w:rsidR="00925A93">
        <w:instrText xml:space="preserve"> REF _Ref294704659 \h </w:instrText>
      </w:r>
      <w:r w:rsidR="00567DB7">
        <w:fldChar w:fldCharType="separate"/>
      </w:r>
      <w:r w:rsidR="00925A93">
        <w:t xml:space="preserve">Figure </w:t>
      </w:r>
      <w:r w:rsidR="00925A93">
        <w:rPr>
          <w:noProof/>
        </w:rPr>
        <w:t>2</w:t>
      </w:r>
      <w:r w:rsidR="00567DB7">
        <w:fldChar w:fldCharType="end"/>
      </w:r>
      <w:r w:rsidR="00925A93">
        <w:t xml:space="preserve">  shows the </w:t>
      </w:r>
      <w:r w:rsidR="006E56DC">
        <w:t xml:space="preserve">PCFICH word error rate (WER) </w:t>
      </w:r>
      <w:r w:rsidR="00925A93">
        <w:t xml:space="preserve">performance of the </w:t>
      </w:r>
      <w:r w:rsidR="00AA3B18">
        <w:rPr>
          <w:lang w:val="en-CA"/>
        </w:rPr>
        <w:t xml:space="preserve">reliability-based </w:t>
      </w:r>
      <w:r w:rsidR="00D914FF">
        <w:rPr>
          <w:lang w:val="en-CA"/>
        </w:rPr>
        <w:t xml:space="preserve">enhanced </w:t>
      </w:r>
      <w:r w:rsidR="00925A93">
        <w:t xml:space="preserve">decoder. In the figure we also include the performance of the following </w:t>
      </w:r>
      <w:r w:rsidR="00CF2598">
        <w:t>receivers</w:t>
      </w:r>
      <w:r w:rsidR="00925A93">
        <w:t>:</w:t>
      </w:r>
    </w:p>
    <w:p w:rsidR="00925A93" w:rsidRDefault="002E3ACA" w:rsidP="00925A93">
      <w:pPr>
        <w:pStyle w:val="ListParagraph"/>
        <w:numPr>
          <w:ilvl w:val="0"/>
          <w:numId w:val="9"/>
        </w:numPr>
        <w:jc w:val="both"/>
      </w:pPr>
      <w:r>
        <w:t>L</w:t>
      </w:r>
      <w:r w:rsidR="0054396E">
        <w:t>egacy</w:t>
      </w:r>
      <w:r w:rsidR="00925A93">
        <w:t xml:space="preserve"> </w:t>
      </w:r>
      <w:r w:rsidR="00344129">
        <w:t xml:space="preserve">UE </w:t>
      </w:r>
      <w:r>
        <w:t>receiver</w:t>
      </w:r>
      <w:r w:rsidR="00925A93">
        <w:t xml:space="preserve">: The UE takes all the </w:t>
      </w:r>
      <w:r w:rsidR="005F477F">
        <w:t>RE</w:t>
      </w:r>
      <w:r w:rsidR="00925A93">
        <w:t xml:space="preserve">s, calculates the metric </w:t>
      </w:r>
      <m:oMath>
        <m:r>
          <w:rPr>
            <w:rFonts w:ascii="Cambria Math" w:hAnsi="Cambria Math"/>
          </w:rPr>
          <m:t>M</m:t>
        </m:r>
        <m:d>
          <m:dPr>
            <m:ctrlPr>
              <w:rPr>
                <w:rFonts w:ascii="Cambria Math" w:hAnsi="Cambria Math"/>
                <w:i/>
              </w:rPr>
            </m:ctrlPr>
          </m:dPr>
          <m:e>
            <m:r>
              <w:rPr>
                <w:rFonts w:ascii="Cambria Math" w:hAnsi="Cambria Math"/>
              </w:rPr>
              <m:t>i</m:t>
            </m:r>
          </m:e>
        </m:d>
        <m:r>
          <w:rPr>
            <w:rFonts w:ascii="Cambria Math" w:hAnsi="Cambria Math"/>
          </w:rPr>
          <m:t>=</m:t>
        </m:r>
        <m:r>
          <w:rPr>
            <w:rFonts w:ascii="Cambria Math" w:eastAsiaTheme="minorEastAsia" w:hAnsi="Cambria Math"/>
          </w:rPr>
          <m:t>M1</m:t>
        </m:r>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+M2(i)</m:t>
        </m:r>
      </m:oMath>
      <w:r w:rsidR="00873EB5">
        <w:t xml:space="preserve">, and </w:t>
      </w:r>
      <w:r w:rsidR="00925A93">
        <w:t xml:space="preserve">chooses the CFI value </w:t>
      </w:r>
      <m:oMath>
        <m:r>
          <w:rPr>
            <w:rFonts w:ascii="Cambria Math" w:hAnsi="Cambria Math"/>
          </w:rPr>
          <m:t>i</m:t>
        </m:r>
      </m:oMath>
      <w:r w:rsidR="005F477F">
        <w:t xml:space="preserve"> </w:t>
      </w:r>
      <w:r w:rsidR="00925A93">
        <w:t>which gives the lowest</w:t>
      </w:r>
      <w:r>
        <w:t xml:space="preserve"> metric</w:t>
      </w:r>
      <w:r w:rsidR="005F477F">
        <w:t xml:space="preserve"> </w:t>
      </w:r>
      <m:oMath>
        <m:r>
          <w:rPr>
            <w:rFonts w:ascii="Cambria Math" w:hAnsi="Cambria Math"/>
          </w:rPr>
          <m:t>M</m:t>
        </m:r>
      </m:oMath>
      <w:r>
        <w:t>.</w:t>
      </w:r>
    </w:p>
    <w:p w:rsidR="00925A93" w:rsidRDefault="000A055B" w:rsidP="00925A93">
      <w:pPr>
        <w:pStyle w:val="ListParagraph"/>
        <w:numPr>
          <w:ilvl w:val="0"/>
          <w:numId w:val="9"/>
        </w:numPr>
        <w:jc w:val="both"/>
      </w:pPr>
      <w:r>
        <w:t>RE</w:t>
      </w:r>
      <w:r w:rsidR="002E3ACA">
        <w:t xml:space="preserve"> puncturing receiver: </w:t>
      </w:r>
      <w:r w:rsidR="00925A93">
        <w:t xml:space="preserve">The </w:t>
      </w:r>
      <w:r w:rsidR="002E3ACA">
        <w:t>UE</w:t>
      </w:r>
      <w:r w:rsidR="00925A93">
        <w:t xml:space="preserve"> discards the</w:t>
      </w:r>
      <w:r w:rsidR="00CF0549">
        <w:t xml:space="preserve"> corrupted</w:t>
      </w:r>
      <w:r w:rsidR="00925A93">
        <w:t xml:space="preserve"> </w:t>
      </w:r>
      <w:r w:rsidR="005F477F">
        <w:t>RE</w:t>
      </w:r>
      <w:r w:rsidR="00925A93">
        <w:t xml:space="preserve">s </w:t>
      </w:r>
      <w:r w:rsidR="00CF0549">
        <w:t>in the decoding</w:t>
      </w:r>
      <w:r w:rsidR="00925A93">
        <w:t>.</w:t>
      </w:r>
      <w:r w:rsidR="00CF0549">
        <w:t xml:space="preserve"> The UE calculates the metrics </w:t>
      </w:r>
      <m:oMath>
        <m:r>
          <w:rPr>
            <w:rFonts w:ascii="Cambria Math" w:hAnsi="Cambria Math"/>
          </w:rPr>
          <m:t>M1</m:t>
        </m:r>
      </m:oMath>
      <w:r w:rsidR="00CF0549">
        <w:t xml:space="preserve"> and </w:t>
      </w:r>
      <m:oMath>
        <m:r>
          <w:rPr>
            <w:rFonts w:ascii="Cambria Math" w:hAnsi="Cambria Math"/>
          </w:rPr>
          <m:t>M2</m:t>
        </m:r>
      </m:oMath>
      <w:r w:rsidR="00CF0549">
        <w:t xml:space="preserve"> and choose</w:t>
      </w:r>
      <w:r>
        <w:t>s</w:t>
      </w:r>
      <w:r w:rsidR="00CF0549">
        <w:t xml:space="preserve"> the CFI value which gives the lowest metric among </w:t>
      </w:r>
      <m:oMath>
        <m:r>
          <w:rPr>
            <w:rFonts w:ascii="Cambria Math" w:hAnsi="Cambria Math"/>
          </w:rPr>
          <m:t>M1</m:t>
        </m:r>
      </m:oMath>
      <w:r w:rsidR="00CF0549">
        <w:t xml:space="preserve"> and </w:t>
      </w:r>
      <m:oMath>
        <m:r>
          <w:rPr>
            <w:rFonts w:ascii="Cambria Math" w:hAnsi="Cambria Math"/>
          </w:rPr>
          <m:t>M2</m:t>
        </m:r>
      </m:oMath>
      <w:r w:rsidR="00CF0549">
        <w:t xml:space="preserve">, i.e., </w:t>
      </w:r>
      <m:oMath>
        <m:r>
          <w:rPr>
            <w:rFonts w:ascii="Cambria Math" w:hAnsi="Cambria Math"/>
          </w:rPr>
          <m:t>i=</m:t>
        </m:r>
        <m:sSub>
          <m:sSubPr>
            <m:ctrlPr>
              <w:rPr>
                <w:rFonts w:ascii="Cambria Math" w:hAnsi="Cambria Math"/>
                <w:i/>
              </w:rPr>
            </m:ctrlPr>
          </m:sSubPr>
          <m:e>
            <m:r>
              <w:rPr>
                <w:rFonts w:ascii="Cambria Math" w:hAnsi="Cambria Math"/>
              </w:rPr>
              <m:t>arg min</m:t>
            </m:r>
          </m:e>
          <m:sub>
            <m:r>
              <w:rPr>
                <w:rFonts w:ascii="Cambria Math" w:hAnsi="Cambria Math"/>
              </w:rPr>
              <m:t>i</m:t>
            </m:r>
          </m:sub>
        </m:sSub>
        <m:d>
          <m:dPr>
            <m:begChr m:val="{"/>
            <m:endChr m:val="}"/>
            <m:ctrlPr>
              <w:rPr>
                <w:rFonts w:ascii="Cambria Math" w:eastAsiaTheme="minorEastAsia" w:hAnsi="Cambria Math"/>
                <w:i/>
              </w:rPr>
            </m:ctrlPr>
          </m:dPr>
          <m:e>
            <m:r>
              <w:rPr>
                <w:rFonts w:ascii="Cambria Math" w:eastAsiaTheme="minorEastAsia" w:hAnsi="Cambria Math"/>
              </w:rPr>
              <m:t>M1</m:t>
            </m:r>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 M2(i)</m:t>
            </m:r>
          </m:e>
        </m:d>
      </m:oMath>
      <w:r w:rsidR="003D6730">
        <w:t>.</w:t>
      </w:r>
    </w:p>
    <w:p w:rsidR="00043136" w:rsidRDefault="00925A93" w:rsidP="00C036D7">
      <w:r>
        <w:t>The PCFICH detection performance without any</w:t>
      </w:r>
      <w:r w:rsidR="000A055B">
        <w:t xml:space="preserve"> CRS</w:t>
      </w:r>
      <w:r>
        <w:t xml:space="preserve"> interference is also shown in the figure. From the figure, it is obvious</w:t>
      </w:r>
      <w:r w:rsidR="004231AB">
        <w:t xml:space="preserve"> that the </w:t>
      </w:r>
      <w:r w:rsidR="000A055B">
        <w:rPr>
          <w:lang w:val="en-CA"/>
        </w:rPr>
        <w:t xml:space="preserve">reliability-based </w:t>
      </w:r>
      <w:r w:rsidR="000A055B">
        <w:t>receiver</w:t>
      </w:r>
      <w:r w:rsidR="00CF0549">
        <w:t xml:space="preserve"> has a better</w:t>
      </w:r>
      <w:r>
        <w:t xml:space="preserve"> performance</w:t>
      </w:r>
      <w:r w:rsidR="00CF0549">
        <w:t xml:space="preserve"> than the legacy receiver and the RE puncturing receiver</w:t>
      </w:r>
      <w:r>
        <w:t>.</w:t>
      </w:r>
      <w:r w:rsidR="00C036D7">
        <w:t xml:space="preserve"> </w:t>
      </w:r>
      <w:r>
        <w:t xml:space="preserve">It is also shown that it is better to take all the </w:t>
      </w:r>
      <w:r w:rsidR="005F477F">
        <w:t>RE</w:t>
      </w:r>
      <w:r>
        <w:t>s into decoding when SIR&gt;-6dB.</w:t>
      </w:r>
      <w:r w:rsidR="00FC742A">
        <w:t xml:space="preserve"> </w:t>
      </w:r>
    </w:p>
    <w:p w:rsidR="00925A93" w:rsidRDefault="002E3ACA" w:rsidP="00043136">
      <w:pPr>
        <w:jc w:val="center"/>
      </w:pPr>
      <w:r w:rsidRPr="002E3ACA">
        <w:rPr>
          <w:noProof/>
          <w:lang w:val="en-US" w:eastAsia="zh-CN"/>
        </w:rPr>
        <w:lastRenderedPageBreak/>
        <w:drawing>
          <wp:inline distT="0" distB="0" distL="0" distR="0">
            <wp:extent cx="4239901" cy="3181500"/>
            <wp:effectExtent l="19050" t="0" r="8249" b="0"/>
            <wp:docPr id="3" name="Picture 0" descr="FigContribution.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Contribution.emf"/>
                    <pic:cNvPicPr/>
                  </pic:nvPicPr>
                  <pic:blipFill>
                    <a:blip r:embed="rId10" cstate="print"/>
                    <a:stretch>
                      <a:fillRect/>
                    </a:stretch>
                  </pic:blipFill>
                  <pic:spPr>
                    <a:xfrm>
                      <a:off x="0" y="0"/>
                      <a:ext cx="4239901" cy="3181500"/>
                    </a:xfrm>
                    <a:prstGeom prst="rect">
                      <a:avLst/>
                    </a:prstGeom>
                  </pic:spPr>
                </pic:pic>
              </a:graphicData>
            </a:graphic>
          </wp:inline>
        </w:drawing>
      </w:r>
    </w:p>
    <w:p w:rsidR="00925A93" w:rsidRDefault="00925A93" w:rsidP="00925A93">
      <w:pPr>
        <w:pStyle w:val="Caption"/>
        <w:jc w:val="center"/>
      </w:pPr>
      <w:bookmarkStart w:id="1" w:name="_Ref294704659"/>
      <w:r>
        <w:t xml:space="preserve">Figure </w:t>
      </w:r>
      <w:r w:rsidR="00567DB7">
        <w:fldChar w:fldCharType="begin"/>
      </w:r>
      <w:r>
        <w:instrText xml:space="preserve"> SEQ Figure \* ARABIC </w:instrText>
      </w:r>
      <w:r w:rsidR="00567DB7">
        <w:fldChar w:fldCharType="separate"/>
      </w:r>
      <w:r>
        <w:rPr>
          <w:noProof/>
        </w:rPr>
        <w:t>2</w:t>
      </w:r>
      <w:r w:rsidR="00567DB7">
        <w:fldChar w:fldCharType="end"/>
      </w:r>
      <w:bookmarkEnd w:id="1"/>
      <w:r>
        <w:t xml:space="preserve"> Required SNR as a function of SIR</w:t>
      </w:r>
    </w:p>
    <w:p w:rsidR="00925A93" w:rsidRDefault="00925A93" w:rsidP="00925A93">
      <w:pPr>
        <w:jc w:val="both"/>
      </w:pPr>
    </w:p>
    <w:p w:rsidR="00264836" w:rsidRPr="00925A93" w:rsidRDefault="00853521" w:rsidP="00264836">
      <w:pPr>
        <w:jc w:val="both"/>
      </w:pPr>
      <w:r>
        <w:t>Both t</w:t>
      </w:r>
      <w:r w:rsidR="00925A93">
        <w:t xml:space="preserve">he </w:t>
      </w:r>
      <w:r w:rsidR="00AA3B18">
        <w:rPr>
          <w:lang w:val="en-CA"/>
        </w:rPr>
        <w:t xml:space="preserve">reliability-based </w:t>
      </w:r>
      <w:r w:rsidR="003D6730">
        <w:t>receiver and</w:t>
      </w:r>
      <w:r w:rsidR="00925A93">
        <w:t xml:space="preserve"> </w:t>
      </w:r>
      <w:r w:rsidR="003D6730">
        <w:t xml:space="preserve">the RE punctured receiver give </w:t>
      </w:r>
      <w:r w:rsidR="005B76DF">
        <w:t xml:space="preserve">a </w:t>
      </w:r>
      <w:r w:rsidR="003D6730">
        <w:t xml:space="preserve">good performance </w:t>
      </w:r>
      <w:r>
        <w:t>at low SIR</w:t>
      </w:r>
      <w:r w:rsidR="00873EB5">
        <w:t>s</w:t>
      </w:r>
      <w:r>
        <w:t>, however these</w:t>
      </w:r>
      <w:r w:rsidR="00925A93">
        <w:t xml:space="preserve"> sophisticated receiver</w:t>
      </w:r>
      <w:r>
        <w:t>s</w:t>
      </w:r>
      <w:r w:rsidR="00925A93">
        <w:t xml:space="preserve"> involve </w:t>
      </w:r>
      <w:r w:rsidR="005B76DF">
        <w:t>extra</w:t>
      </w:r>
      <w:r>
        <w:t xml:space="preserve"> UE processing. For </w:t>
      </w:r>
      <w:r w:rsidR="00264836">
        <w:t xml:space="preserve">example, </w:t>
      </w:r>
      <w:r>
        <w:t xml:space="preserve">the </w:t>
      </w:r>
      <w:r w:rsidR="00AA3B18">
        <w:rPr>
          <w:lang w:val="en-CA"/>
        </w:rPr>
        <w:t xml:space="preserve">reliability-based </w:t>
      </w:r>
      <w:r>
        <w:t>r</w:t>
      </w:r>
      <w:r w:rsidR="003D6730">
        <w:t>eceiver</w:t>
      </w:r>
      <w:r>
        <w:t xml:space="preserve"> involves </w:t>
      </w:r>
      <w:r w:rsidR="00925A93">
        <w:t>calculating the reliability metric, which may be complex and result in UE’s battery drain.</w:t>
      </w:r>
      <w:r>
        <w:t xml:space="preserve"> For the </w:t>
      </w:r>
      <w:r w:rsidR="005B76DF">
        <w:t xml:space="preserve">UE with </w:t>
      </w:r>
      <w:r w:rsidR="00AA3B18">
        <w:t xml:space="preserve">RE puncturing </w:t>
      </w:r>
      <w:r w:rsidR="00471694">
        <w:t>receiver</w:t>
      </w:r>
      <w:r>
        <w:t xml:space="preserve">, the </w:t>
      </w:r>
      <w:r w:rsidR="00264836">
        <w:t xml:space="preserve">UE </w:t>
      </w:r>
      <w:r w:rsidR="00AA3B18">
        <w:t xml:space="preserve">needs to decide between </w:t>
      </w:r>
      <w:r w:rsidR="00471694">
        <w:t xml:space="preserve">the </w:t>
      </w:r>
      <w:r w:rsidR="00AA3B18">
        <w:t xml:space="preserve">legacy </w:t>
      </w:r>
      <w:r w:rsidR="00471694">
        <w:t xml:space="preserve">receiver </w:t>
      </w:r>
      <w:r w:rsidR="00AA3B18">
        <w:t>and</w:t>
      </w:r>
      <w:r w:rsidR="00471694">
        <w:t xml:space="preserve"> the</w:t>
      </w:r>
      <w:r w:rsidR="00AA3B18">
        <w:t xml:space="preserve"> RE puncturing </w:t>
      </w:r>
      <w:r w:rsidR="00471694">
        <w:t>receiver</w:t>
      </w:r>
      <w:r w:rsidR="00AA3B18">
        <w:t>,</w:t>
      </w:r>
      <w:r w:rsidR="005B76DF">
        <w:t xml:space="preserve"> </w:t>
      </w:r>
      <w:r w:rsidR="00AA3B18">
        <w:t>i.e.,</w:t>
      </w:r>
      <w:r w:rsidR="005B76DF">
        <w:t xml:space="preserve"> </w:t>
      </w:r>
      <w:r w:rsidR="00471694">
        <w:t xml:space="preserve">use </w:t>
      </w:r>
      <w:r w:rsidR="005B76DF">
        <w:t xml:space="preserve">the legacy receiver </w:t>
      </w:r>
      <w:r w:rsidR="00471694">
        <w:t>at</w:t>
      </w:r>
      <w:r w:rsidR="00AA3B18">
        <w:t xml:space="preserve"> low interference and the </w:t>
      </w:r>
      <w:r w:rsidR="005B76DF">
        <w:t xml:space="preserve">RE puncturing </w:t>
      </w:r>
      <w:r w:rsidR="00AA3B18">
        <w:t>receiver</w:t>
      </w:r>
      <w:r w:rsidR="00471694">
        <w:t xml:space="preserve"> at</w:t>
      </w:r>
      <w:r w:rsidR="005B76DF">
        <w:t xml:space="preserve"> high interference</w:t>
      </w:r>
      <w:r w:rsidR="00264836">
        <w:t>.</w:t>
      </w:r>
      <w:r w:rsidR="005B76DF">
        <w:t xml:space="preserve"> If the UE needs to make such decision for each PCFICH detection it causes extra UE processing. </w:t>
      </w:r>
      <w:r w:rsidR="00925A93">
        <w:t>To save the UE battery</w:t>
      </w:r>
      <w:r w:rsidR="00264836">
        <w:t xml:space="preserve"> and processing</w:t>
      </w:r>
      <w:r w:rsidR="00925A93">
        <w:t xml:space="preserve">, the network may </w:t>
      </w:r>
      <w:r w:rsidR="00264836">
        <w:t xml:space="preserve">provide some information to help the UE to choose an appropriate receiver algorithm. For example, the network may </w:t>
      </w:r>
      <w:r w:rsidR="0089701F">
        <w:t>indicate the</w:t>
      </w:r>
      <w:r w:rsidR="00925A93">
        <w:t xml:space="preserve"> ABS</w:t>
      </w:r>
      <w:r w:rsidR="0089701F">
        <w:t xml:space="preserve"> information</w:t>
      </w:r>
      <w:r w:rsidR="00471694">
        <w:t xml:space="preserve"> via some reliable</w:t>
      </w:r>
      <w:r w:rsidR="0089701F">
        <w:t xml:space="preserve"> channel such as PBCH</w:t>
      </w:r>
      <w:r w:rsidR="00AA3B18">
        <w:t xml:space="preserve">. For the UE with </w:t>
      </w:r>
      <w:r w:rsidR="00AA3B18">
        <w:rPr>
          <w:lang w:val="en-CA"/>
        </w:rPr>
        <w:t xml:space="preserve">reliability-based </w:t>
      </w:r>
      <w:r w:rsidR="00AA3B18">
        <w:t xml:space="preserve">receiver, </w:t>
      </w:r>
      <w:r w:rsidR="00925A93">
        <w:t>th</w:t>
      </w:r>
      <w:r w:rsidR="005B76DF">
        <w:t>e UE c</w:t>
      </w:r>
      <w:r w:rsidR="00264836">
        <w:t xml:space="preserve">ould limit the use of </w:t>
      </w:r>
      <w:r w:rsidR="005B76DF">
        <w:t>the enhanced</w:t>
      </w:r>
      <w:r w:rsidR="00925A93">
        <w:t xml:space="preserve"> receiver</w:t>
      </w:r>
      <w:r w:rsidR="00AA3B18">
        <w:t xml:space="preserve"> only during the ABS</w:t>
      </w:r>
      <w:r w:rsidR="00925A93">
        <w:t>.</w:t>
      </w:r>
      <w:r w:rsidR="005B76DF">
        <w:t xml:space="preserve"> For the UE with RE puncturing </w:t>
      </w:r>
      <w:r w:rsidR="00AA3B18">
        <w:t>receiver</w:t>
      </w:r>
      <w:r w:rsidR="005B76DF">
        <w:t xml:space="preserve">, the UE may only need to decide between </w:t>
      </w:r>
      <w:r w:rsidR="00471694">
        <w:t xml:space="preserve">the </w:t>
      </w:r>
      <w:r w:rsidR="005B76DF">
        <w:t xml:space="preserve">legacy </w:t>
      </w:r>
      <w:r w:rsidR="00AA3B18">
        <w:t xml:space="preserve">receiver </w:t>
      </w:r>
      <w:r w:rsidR="005B76DF">
        <w:t>and</w:t>
      </w:r>
      <w:r w:rsidR="00471694">
        <w:t xml:space="preserve"> the</w:t>
      </w:r>
      <w:r w:rsidR="005B76DF">
        <w:t xml:space="preserve"> RE puncturing </w:t>
      </w:r>
      <w:r w:rsidR="00AA3B18">
        <w:t>receiver during the ABS</w:t>
      </w:r>
      <w:r w:rsidR="005B76DF">
        <w:t>.</w:t>
      </w:r>
      <w:r w:rsidR="00AA3B18">
        <w:t xml:space="preserve"> For </w:t>
      </w:r>
      <w:r w:rsidR="00471694">
        <w:t xml:space="preserve">the </w:t>
      </w:r>
      <w:r w:rsidR="00AA3B18">
        <w:t>non-ABS, the UE would use the legacy receiver.</w:t>
      </w:r>
    </w:p>
    <w:p w:rsidR="001E0221" w:rsidRPr="001E0221" w:rsidRDefault="00925A93" w:rsidP="001E0221">
      <w:pPr>
        <w:pStyle w:val="Heading2"/>
        <w:numPr>
          <w:ilvl w:val="0"/>
          <w:numId w:val="0"/>
        </w:numPr>
      </w:pPr>
      <w:r>
        <w:t>2.2</w:t>
      </w:r>
      <w:r w:rsidR="001E0221">
        <w:t xml:space="preserve"> </w:t>
      </w:r>
      <w:r w:rsidR="00CA4C66">
        <w:t>S</w:t>
      </w:r>
      <w:r w:rsidR="00467B2A">
        <w:t xml:space="preserve">econdary </w:t>
      </w:r>
      <w:r w:rsidR="00CA4C66">
        <w:t xml:space="preserve">notification </w:t>
      </w:r>
      <w:r w:rsidR="00467B2A">
        <w:t>mechanism</w:t>
      </w:r>
    </w:p>
    <w:p w:rsidR="006E5BBC" w:rsidRDefault="00873EB5" w:rsidP="00A7619D">
      <w:pPr>
        <w:jc w:val="both"/>
      </w:pPr>
      <w:r>
        <w:t xml:space="preserve">Figure 2 shows that </w:t>
      </w:r>
      <w:r w:rsidR="00264836">
        <w:t xml:space="preserve">there is approximately 3dB loss at low SIRs even with the advanced receiver. </w:t>
      </w:r>
      <w:r w:rsidR="00D267F5">
        <w:t>To make sure that the victim UE can obtain the control size,</w:t>
      </w:r>
      <w:r w:rsidR="00007CE2">
        <w:t xml:space="preserve"> s</w:t>
      </w:r>
      <w:r w:rsidR="00B5583F">
        <w:t>ome s</w:t>
      </w:r>
      <w:r w:rsidR="00467B2A">
        <w:t>econdary mechanism</w:t>
      </w:r>
      <w:r w:rsidR="00B5583F">
        <w:t xml:space="preserve"> can be designed to </w:t>
      </w:r>
      <w:r w:rsidR="00007CE2">
        <w:t xml:space="preserve">deliver the control size </w:t>
      </w:r>
      <w:r w:rsidR="00D267F5">
        <w:t xml:space="preserve">information </w:t>
      </w:r>
      <w:r w:rsidR="00932B6A">
        <w:t xml:space="preserve">besides PCFICH. If the UE is in a pico </w:t>
      </w:r>
      <w:r w:rsidR="005F477F">
        <w:t>range expansion</w:t>
      </w:r>
      <w:r w:rsidR="00932B6A">
        <w:t xml:space="preserve"> area or a CSG’s coverage, t</w:t>
      </w:r>
      <w:r w:rsidR="00007CE2">
        <w:t>he</w:t>
      </w:r>
      <w:r w:rsidR="00D01BF9">
        <w:t xml:space="preserve"> new </w:t>
      </w:r>
      <w:r w:rsidR="00932B6A">
        <w:t>UE</w:t>
      </w:r>
      <w:r w:rsidR="00007CE2">
        <w:t xml:space="preserve"> would obtain the</w:t>
      </w:r>
      <w:r w:rsidR="00467B2A">
        <w:t xml:space="preserve"> control size </w:t>
      </w:r>
      <w:r w:rsidR="00007CE2">
        <w:t>via the secondary mechanism</w:t>
      </w:r>
      <w:r w:rsidR="00467B2A">
        <w:t xml:space="preserve"> </w:t>
      </w:r>
      <w:r w:rsidR="00D01BF9">
        <w:t xml:space="preserve">without </w:t>
      </w:r>
      <w:r w:rsidR="00467B2A">
        <w:t xml:space="preserve">detecting PCFICH. </w:t>
      </w:r>
      <w:r w:rsidR="00D01BF9">
        <w:t>The legacy UE would still perform the PCFICH detection.</w:t>
      </w:r>
      <w:r w:rsidR="00D01BF9" w:rsidRPr="00A3174E">
        <w:t xml:space="preserve"> </w:t>
      </w:r>
      <w:r w:rsidR="007B2E18">
        <w:t>T</w:t>
      </w:r>
      <w:r w:rsidR="00932B6A">
        <w:t>o allow flexible control sizes in the victim cell, the victim cell can</w:t>
      </w:r>
      <w:r w:rsidR="006E5BBC">
        <w:t xml:space="preserve"> enable the secondary mechanism </w:t>
      </w:r>
      <w:r w:rsidR="00932B6A">
        <w:t xml:space="preserve">only </w:t>
      </w:r>
      <w:r w:rsidR="006E5BBC">
        <w:t>during certain subframes such as the subframes that victim UEs will be scheduled and the subframes transmitting paging/SIB/RACH messages</w:t>
      </w:r>
      <w:r w:rsidR="00982920">
        <w:t>, as it will be explained more later</w:t>
      </w:r>
      <w:r w:rsidR="006E5BBC">
        <w:t xml:space="preserve">. </w:t>
      </w:r>
      <w:r w:rsidR="002D789B">
        <w:t>The secondary mechanism could be, f</w:t>
      </w:r>
      <w:r w:rsidR="00EC0A24">
        <w:t>or example:</w:t>
      </w:r>
    </w:p>
    <w:p w:rsidR="006E5BBC" w:rsidRDefault="006E5BBC" w:rsidP="006E5BBC">
      <w:pPr>
        <w:pStyle w:val="ListParagraph"/>
        <w:numPr>
          <w:ilvl w:val="0"/>
          <w:numId w:val="5"/>
        </w:numPr>
        <w:jc w:val="both"/>
      </w:pPr>
      <w:r>
        <w:t>The victim cell uses a pre-defined fixed control region size</w:t>
      </w:r>
      <w:r w:rsidR="00932B6A">
        <w:t xml:space="preserve"> </w:t>
      </w:r>
      <w:r w:rsidR="004D74CC">
        <w:t>when necessary</w:t>
      </w:r>
      <w:r>
        <w:t>. To better support idle UEs, the fixed control size can be defined in the specification so that the idle UE has the knowledge implicitly.</w:t>
      </w:r>
      <w:r w:rsidR="00932B6A">
        <w:t xml:space="preserve"> To comply with the</w:t>
      </w:r>
      <w:r w:rsidR="004D74CC">
        <w:t xml:space="preserve"> </w:t>
      </w:r>
      <w:r w:rsidR="00932B6A">
        <w:t xml:space="preserve">rule that the control size cannot be smaller than the PHICH duration, the victim cell’s control size will be the larger of the pre-defined </w:t>
      </w:r>
      <w:r w:rsidR="003B646F">
        <w:t xml:space="preserve">control </w:t>
      </w:r>
      <w:r w:rsidR="00932B6A">
        <w:t xml:space="preserve">size and the PHICH duration. </w:t>
      </w:r>
      <w:r>
        <w:t xml:space="preserve"> </w:t>
      </w:r>
    </w:p>
    <w:p w:rsidR="006E5BBC" w:rsidRDefault="006E5BBC" w:rsidP="006E5BBC">
      <w:pPr>
        <w:pStyle w:val="ListParagraph"/>
        <w:numPr>
          <w:ilvl w:val="0"/>
          <w:numId w:val="5"/>
        </w:numPr>
        <w:jc w:val="both"/>
      </w:pPr>
      <w:r>
        <w:t>The victim cell</w:t>
      </w:r>
      <w:r w:rsidR="004D74CC">
        <w:t xml:space="preserve"> sets its </w:t>
      </w:r>
      <w:r w:rsidR="00486A03">
        <w:t>control size the</w:t>
      </w:r>
      <w:r w:rsidR="004D74CC">
        <w:t xml:space="preserve"> same as</w:t>
      </w:r>
      <w:r>
        <w:t xml:space="preserve"> </w:t>
      </w:r>
      <w:r w:rsidR="003B646F">
        <w:t>the</w:t>
      </w:r>
      <w:r>
        <w:t xml:space="preserve"> PHICH duration</w:t>
      </w:r>
      <w:r w:rsidR="004D74CC">
        <w:t xml:space="preserve"> when necessary</w:t>
      </w:r>
      <w:r>
        <w:t xml:space="preserve">. </w:t>
      </w:r>
      <w:r w:rsidR="004D74CC">
        <w:t>T</w:t>
      </w:r>
      <w:r>
        <w:t xml:space="preserve">he </w:t>
      </w:r>
      <w:r w:rsidR="003B646F">
        <w:t xml:space="preserve">control size </w:t>
      </w:r>
      <w:r>
        <w:t xml:space="preserve">could be either 1 or 3 OFDM symbols (assuming system bandwidth &gt;= 10RBs) depending on the PHICH </w:t>
      </w:r>
      <w:r>
        <w:lastRenderedPageBreak/>
        <w:t>config</w:t>
      </w:r>
      <w:r w:rsidR="003B646F">
        <w:t>uration. The PHICH configuration</w:t>
      </w:r>
      <w:r>
        <w:t xml:space="preserve"> is broadcast in PBCH and both con</w:t>
      </w:r>
      <w:r w:rsidR="003B646F">
        <w:t>nected UEs and idle UEs have the</w:t>
      </w:r>
      <w:r>
        <w:t xml:space="preserve"> </w:t>
      </w:r>
      <w:r w:rsidR="003B646F">
        <w:t xml:space="preserve">knowledge </w:t>
      </w:r>
      <w:r w:rsidR="006159C7">
        <w:t xml:space="preserve">of the PHICH duration </w:t>
      </w:r>
      <w:r w:rsidR="003B646F">
        <w:t xml:space="preserve">assuming PBCH can be reliably delivered to the victim UEs. </w:t>
      </w:r>
    </w:p>
    <w:p w:rsidR="006E5BBC" w:rsidRDefault="006159C7" w:rsidP="006E5BBC">
      <w:pPr>
        <w:pStyle w:val="ListParagraph"/>
        <w:numPr>
          <w:ilvl w:val="0"/>
          <w:numId w:val="5"/>
        </w:numPr>
        <w:jc w:val="both"/>
      </w:pPr>
      <w:r>
        <w:t>T</w:t>
      </w:r>
      <w:r w:rsidR="006E5BBC">
        <w:t>he victim cell could also send the control size information on some other REGs</w:t>
      </w:r>
      <w:r>
        <w:t xml:space="preserve"> besides PCFICH.</w:t>
      </w:r>
      <w:r w:rsidR="006E5BBC">
        <w:t xml:space="preserve"> </w:t>
      </w:r>
      <w:r>
        <w:t xml:space="preserve">For example, a </w:t>
      </w:r>
      <w:r w:rsidR="006E5BBC">
        <w:t>PDCCH CCE</w:t>
      </w:r>
      <w:r>
        <w:t xml:space="preserve"> can be r</w:t>
      </w:r>
      <w:r w:rsidR="00EC0A24">
        <w:t>eserved and the</w:t>
      </w:r>
      <w:r>
        <w:t xml:space="preserve"> first 8 REGs </w:t>
      </w:r>
      <w:r w:rsidR="00EC0A24">
        <w:t xml:space="preserve">of that </w:t>
      </w:r>
      <w:r>
        <w:t xml:space="preserve">CCE can be used to repeat the PCFICH twice. </w:t>
      </w:r>
      <w:r w:rsidR="00F642E4">
        <w:t xml:space="preserve">The received signals from PCFICH and the reserved CCE can be combined together to detect CFI value. </w:t>
      </w:r>
      <w:r w:rsidR="00EC0A24">
        <w:t xml:space="preserve">The reserved CCE index can be defined in the specification. </w:t>
      </w:r>
      <w:r>
        <w:t xml:space="preserve">To avoid the impact to legacy UEs, the victim cell needs to make sure that no PDCCH will </w:t>
      </w:r>
      <w:r w:rsidR="00486A03">
        <w:t>use</w:t>
      </w:r>
      <w:r>
        <w:t xml:space="preserve"> the reserved CCE.  </w:t>
      </w:r>
      <w:r w:rsidR="006E5BBC">
        <w:t xml:space="preserve"> </w:t>
      </w:r>
    </w:p>
    <w:p w:rsidR="000A055B" w:rsidRDefault="000A055B" w:rsidP="006E5BBC">
      <w:pPr>
        <w:jc w:val="both"/>
      </w:pPr>
    </w:p>
    <w:p w:rsidR="00303572" w:rsidRDefault="00EC0A24" w:rsidP="006E5BBC">
      <w:pPr>
        <w:jc w:val="both"/>
      </w:pPr>
      <w:r>
        <w:t xml:space="preserve">The secondary mechanism </w:t>
      </w:r>
      <w:r w:rsidR="00982920">
        <w:t>either</w:t>
      </w:r>
      <w:r>
        <w:t xml:space="preserve"> </w:t>
      </w:r>
      <w:r w:rsidR="007B2E18">
        <w:t>restrict</w:t>
      </w:r>
      <w:r w:rsidR="00982920">
        <w:t>s</w:t>
      </w:r>
      <w:r>
        <w:t xml:space="preserve"> the</w:t>
      </w:r>
      <w:r w:rsidR="007B2E18">
        <w:t xml:space="preserve"> control size to certain values or needs extra resources. To minimize the impact, the secondary mechanism can be enabled when necessary. </w:t>
      </w:r>
      <w:r w:rsidR="00303572">
        <w:t>The behaviour</w:t>
      </w:r>
      <w:r w:rsidR="00CF7F89">
        <w:t xml:space="preserve"> of the network and the UE</w:t>
      </w:r>
      <w:r w:rsidR="00303572">
        <w:t xml:space="preserve"> </w:t>
      </w:r>
      <w:r w:rsidR="00B434F9">
        <w:t xml:space="preserve">with the secondary mechanism </w:t>
      </w:r>
      <w:r w:rsidR="00303572">
        <w:t>can be described as follows:</w:t>
      </w:r>
    </w:p>
    <w:p w:rsidR="001157A9" w:rsidRDefault="00F41EE6" w:rsidP="00303572">
      <w:pPr>
        <w:pStyle w:val="ListParagraph"/>
        <w:numPr>
          <w:ilvl w:val="0"/>
          <w:numId w:val="5"/>
        </w:numPr>
        <w:jc w:val="both"/>
      </w:pPr>
      <w:r>
        <w:t>To allow flexible control size</w:t>
      </w:r>
      <w:r w:rsidR="0003407B">
        <w:t>s</w:t>
      </w:r>
      <w:r>
        <w:t xml:space="preserve"> in the victim cell, the victim cell may not need to </w:t>
      </w:r>
      <w:r w:rsidR="00486A03">
        <w:t>enable</w:t>
      </w:r>
      <w:r>
        <w:t xml:space="preserve"> the secondary mechanism for all the subframes. </w:t>
      </w:r>
      <w:r w:rsidR="004A7ED3">
        <w:t xml:space="preserve">For example, the victim cell may not use the pre-defined control size for all the subframe and only </w:t>
      </w:r>
      <w:r w:rsidR="0003407B">
        <w:t>use the fixed control size</w:t>
      </w:r>
      <w:r w:rsidR="00CF7F89">
        <w:t xml:space="preserve"> </w:t>
      </w:r>
      <w:r>
        <w:t xml:space="preserve">during the subframes </w:t>
      </w:r>
      <w:r w:rsidR="001157A9">
        <w:t>that</w:t>
      </w:r>
      <w:r>
        <w:t xml:space="preserve"> the </w:t>
      </w:r>
      <w:r w:rsidR="00CF7F89">
        <w:t xml:space="preserve">connected </w:t>
      </w:r>
      <w:r w:rsidR="00007CE2">
        <w:t xml:space="preserve">victim </w:t>
      </w:r>
      <w:r w:rsidR="00FE48E8">
        <w:t xml:space="preserve">UEs </w:t>
      </w:r>
      <w:r>
        <w:t>are being scheduled</w:t>
      </w:r>
      <w:r w:rsidR="00CF7F89">
        <w:t>.</w:t>
      </w:r>
      <w:r w:rsidR="00FE48E8">
        <w:t xml:space="preserve"> </w:t>
      </w:r>
      <w:r w:rsidR="00CF7F89">
        <w:t>T</w:t>
      </w:r>
      <w:r w:rsidR="00FE48E8">
        <w:t xml:space="preserve">he victim cell should know if there are </w:t>
      </w:r>
      <w:r w:rsidR="00E14533">
        <w:t>victim UEs in the cell</w:t>
      </w:r>
      <w:r w:rsidR="00FE48E8">
        <w:t xml:space="preserve"> as the victim cell needs to schedule these UEs during</w:t>
      </w:r>
      <w:r w:rsidR="005B702B">
        <w:t xml:space="preserve"> the</w:t>
      </w:r>
      <w:r w:rsidR="00FE48E8">
        <w:t xml:space="preserve"> ABSs </w:t>
      </w:r>
      <w:r w:rsidR="00CF7F89">
        <w:t>of the aggressor cell</w:t>
      </w:r>
      <w:r w:rsidR="00FE48E8">
        <w:t>.</w:t>
      </w:r>
      <w:r w:rsidR="00CF7F89">
        <w:t xml:space="preserve"> </w:t>
      </w:r>
    </w:p>
    <w:p w:rsidR="005B702B" w:rsidRDefault="00F41EE6" w:rsidP="00303572">
      <w:pPr>
        <w:pStyle w:val="ListParagraph"/>
        <w:numPr>
          <w:ilvl w:val="0"/>
          <w:numId w:val="5"/>
        </w:numPr>
        <w:jc w:val="both"/>
      </w:pPr>
      <w:r>
        <w:t>I</w:t>
      </w:r>
      <w:r w:rsidR="00E92E54">
        <w:t>n order to</w:t>
      </w:r>
      <w:r w:rsidR="004A7ED3">
        <w:t xml:space="preserve"> let the UE </w:t>
      </w:r>
      <w:r w:rsidR="001A45DE">
        <w:t>know when to use the secondary mechanism to obtain the control size</w:t>
      </w:r>
      <w:r w:rsidR="004A7ED3">
        <w:t xml:space="preserve">, </w:t>
      </w:r>
      <w:r w:rsidR="009C4AE8">
        <w:t>one b</w:t>
      </w:r>
      <w:r w:rsidR="005B702B">
        <w:t>it in RRC signalling</w:t>
      </w:r>
      <w:r w:rsidR="001A45DE">
        <w:t xml:space="preserve"> can be used to enable the secondary mechanism when </w:t>
      </w:r>
      <w:r w:rsidR="004A7ED3">
        <w:t xml:space="preserve">the UE is in the pico </w:t>
      </w:r>
      <w:r w:rsidR="005F477F">
        <w:t>range expansion</w:t>
      </w:r>
      <w:r w:rsidR="004A7ED3">
        <w:t xml:space="preserve"> area or in a CSG’s coverage area</w:t>
      </w:r>
      <w:r w:rsidR="005B702B">
        <w:t xml:space="preserve">. For example, if the UE moves from the macro area into the pico </w:t>
      </w:r>
      <w:r w:rsidR="005F477F">
        <w:t>range expansion</w:t>
      </w:r>
      <w:r w:rsidR="005B702B">
        <w:t xml:space="preserve"> area or moves from the pico </w:t>
      </w:r>
      <w:r w:rsidR="005F477F">
        <w:t>range expansion</w:t>
      </w:r>
      <w:r w:rsidR="005B702B">
        <w:t xml:space="preserve"> area into the macro area, </w:t>
      </w:r>
      <w:r w:rsidR="00E92E54">
        <w:t>one</w:t>
      </w:r>
      <w:r w:rsidR="005B702B">
        <w:t xml:space="preserve"> bit in the hand</w:t>
      </w:r>
      <w:r w:rsidR="004A7ED3">
        <w:t>over command can be used</w:t>
      </w:r>
      <w:r w:rsidR="001A45DE">
        <w:t xml:space="preserve"> to enable/disable the secondary mechanism</w:t>
      </w:r>
      <w:r w:rsidR="009C4AE8">
        <w:t xml:space="preserve">. If the UE moves from the pico center area into the pico </w:t>
      </w:r>
      <w:r w:rsidR="005F477F">
        <w:t>range expansion</w:t>
      </w:r>
      <w:r w:rsidR="009C4AE8">
        <w:t xml:space="preserve"> area or moves from the pico </w:t>
      </w:r>
      <w:r w:rsidR="005F477F">
        <w:t>range expansion</w:t>
      </w:r>
      <w:r w:rsidR="009C4AE8">
        <w:t xml:space="preserve"> a</w:t>
      </w:r>
      <w:r w:rsidR="004A7ED3">
        <w:t xml:space="preserve">rea into the pico </w:t>
      </w:r>
      <w:r w:rsidR="00C036D7">
        <w:t>centre</w:t>
      </w:r>
      <w:r w:rsidR="004A7ED3">
        <w:t xml:space="preserve"> area, </w:t>
      </w:r>
      <w:r w:rsidR="009C4AE8" w:rsidRPr="00F41EE6">
        <w:rPr>
          <w:i/>
          <w:noProof/>
        </w:rPr>
        <w:t>RRCConnectionReconfiguration</w:t>
      </w:r>
      <w:r w:rsidR="009C4AE8">
        <w:t xml:space="preserve"> message can be sent to the UE </w:t>
      </w:r>
      <w:r w:rsidR="004A7ED3">
        <w:t xml:space="preserve">with one bit </w:t>
      </w:r>
      <w:r w:rsidR="009C4AE8">
        <w:t xml:space="preserve">to enable/disable the secondary mechanism. </w:t>
      </w:r>
      <w:r w:rsidR="00982920">
        <w:t>Based on the UE feedback, e.g., the r</w:t>
      </w:r>
      <w:r w:rsidR="00925A93">
        <w:t>esource</w:t>
      </w:r>
      <w:r w:rsidR="00982920">
        <w:t xml:space="preserve"> restricted CQI,</w:t>
      </w:r>
      <w:r w:rsidR="00925A93">
        <w:t xml:space="preserve"> the pico eNB could t</w:t>
      </w:r>
      <w:r w:rsidR="00486A03">
        <w:t>ell whether the UE moves from</w:t>
      </w:r>
      <w:r w:rsidR="00925A93">
        <w:t xml:space="preserve"> the </w:t>
      </w:r>
      <w:r w:rsidR="005F477F">
        <w:t>range expansion</w:t>
      </w:r>
      <w:r w:rsidR="00925A93">
        <w:t xml:space="preserve"> area </w:t>
      </w:r>
      <w:r w:rsidR="00486A03">
        <w:t>into</w:t>
      </w:r>
      <w:r w:rsidR="00925A93">
        <w:t xml:space="preserve"> the pico </w:t>
      </w:r>
      <w:r w:rsidR="00C036D7">
        <w:t>centre</w:t>
      </w:r>
      <w:r w:rsidR="00925A93">
        <w:t xml:space="preserve"> area</w:t>
      </w:r>
      <w:r w:rsidR="00486A03">
        <w:t xml:space="preserve"> and vice versa</w:t>
      </w:r>
      <w:r w:rsidR="00925A93">
        <w:t>.</w:t>
      </w:r>
      <w:r w:rsidR="00982920">
        <w:t xml:space="preserve"> </w:t>
      </w:r>
    </w:p>
    <w:p w:rsidR="009C4AE8" w:rsidRDefault="001A45DE" w:rsidP="009C4AE8">
      <w:pPr>
        <w:pStyle w:val="ListParagraph"/>
        <w:numPr>
          <w:ilvl w:val="0"/>
          <w:numId w:val="5"/>
        </w:numPr>
        <w:spacing w:after="120"/>
        <w:contextualSpacing/>
        <w:jc w:val="both"/>
      </w:pPr>
      <w:r>
        <w:t>T</w:t>
      </w:r>
      <w:r w:rsidR="00486A03">
        <w:t>he UE simply uses</w:t>
      </w:r>
      <w:r w:rsidR="00F01A77">
        <w:t xml:space="preserve"> the secondary mechanism to obtain the control size when it is in the </w:t>
      </w:r>
      <w:r w:rsidR="005F477F">
        <w:t>range expansion</w:t>
      </w:r>
      <w:r w:rsidR="00F01A77">
        <w:t xml:space="preserve"> or CSG coverage area. For the subframes that the victim cell does not comply with the secondary mechanism while the UE uses the secondary mechanism to obtain </w:t>
      </w:r>
      <w:r w:rsidR="004A7ED3">
        <w:t>the control size</w:t>
      </w:r>
      <w:r w:rsidR="00F01A77">
        <w:t xml:space="preserve">, the UE will not be able to decode the PDCCH but it will not impact the UE’s performance as the UE is not scheduled anyway. </w:t>
      </w:r>
    </w:p>
    <w:p w:rsidR="00FC7E66" w:rsidRDefault="00F41EE6" w:rsidP="009C4AE8">
      <w:pPr>
        <w:pStyle w:val="ListParagraph"/>
        <w:numPr>
          <w:ilvl w:val="0"/>
          <w:numId w:val="5"/>
        </w:numPr>
        <w:jc w:val="both"/>
      </w:pPr>
      <w:r>
        <w:t>Furthermore, t</w:t>
      </w:r>
      <w:r w:rsidR="001A45DE">
        <w:t>o support the idle UE in a</w:t>
      </w:r>
      <w:r w:rsidR="00CF4C83">
        <w:t xml:space="preserve"> CSG’s coverage area (</w:t>
      </w:r>
      <w:r w:rsidR="00486A03">
        <w:t>we assume that</w:t>
      </w:r>
      <w:r w:rsidR="00CF4C83">
        <w:t xml:space="preserve"> </w:t>
      </w:r>
      <w:r w:rsidR="001A45DE">
        <w:t xml:space="preserve">pico </w:t>
      </w:r>
      <w:r w:rsidR="00486A03">
        <w:t>range expansion is not applied to</w:t>
      </w:r>
      <w:r w:rsidR="00CF4C83">
        <w:t xml:space="preserve"> idle mode)</w:t>
      </w:r>
      <w:r w:rsidR="00FE48E8">
        <w:t>, the victim cell</w:t>
      </w:r>
      <w:r>
        <w:t>’s control size</w:t>
      </w:r>
      <w:r w:rsidR="00FE48E8">
        <w:t xml:space="preserve"> needs to comply with the secondary mechanism during the subframes transmitting paging, SIB, and Message 2 and 4 of RACH process. </w:t>
      </w:r>
      <w:r w:rsidR="00F01A77">
        <w:t>The idle UE could autonomously enable/disable the secondary mechanism if it knows it is attached to a victim cell according to the measurements of neighbour cells (e.g., the RSRP from the serving node is lower than the RSRP from the dominant interfering node by a certain threshold).</w:t>
      </w:r>
    </w:p>
    <w:p w:rsidR="00CF4C83" w:rsidRPr="00CF4C83" w:rsidRDefault="00CF4C83" w:rsidP="00CF4C83">
      <w:pPr>
        <w:jc w:val="both"/>
        <w:rPr>
          <w:b/>
        </w:rPr>
      </w:pPr>
    </w:p>
    <w:p w:rsidR="00813F99" w:rsidRDefault="008528ED" w:rsidP="00E93C50">
      <w:pPr>
        <w:rPr>
          <w:lang w:eastAsia="ja-JP"/>
        </w:rPr>
      </w:pPr>
      <w:r>
        <w:rPr>
          <w:lang w:eastAsia="ja-JP"/>
        </w:rPr>
        <w:t xml:space="preserve">We have discussed two </w:t>
      </w:r>
      <w:r w:rsidR="00DE1FCD">
        <w:rPr>
          <w:lang w:eastAsia="ja-JP"/>
        </w:rPr>
        <w:t xml:space="preserve">types of </w:t>
      </w:r>
      <w:r>
        <w:rPr>
          <w:lang w:eastAsia="ja-JP"/>
        </w:rPr>
        <w:t>solutions to mitigate the dominant interference of the PCFICH. In general, for the secondary notification scheme, the specification change is expected and the legacy UEs cann</w:t>
      </w:r>
      <w:r w:rsidR="00DE1FCD">
        <w:rPr>
          <w:lang w:eastAsia="ja-JP"/>
        </w:rPr>
        <w:t>ot benefit from the scheme</w:t>
      </w:r>
      <w:r>
        <w:rPr>
          <w:lang w:eastAsia="ja-JP"/>
        </w:rPr>
        <w:t>. However, it does not incur much receiver complexity</w:t>
      </w:r>
      <w:r w:rsidR="00996B75">
        <w:rPr>
          <w:lang w:eastAsia="ja-JP"/>
        </w:rPr>
        <w:t xml:space="preserve"> (e.g., the scheme of fixed control size)</w:t>
      </w:r>
      <w:r>
        <w:rPr>
          <w:lang w:eastAsia="ja-JP"/>
        </w:rPr>
        <w:t>. Depends on the different alternatives of the secondary notification scheme, further optimizations could be considered to improve the performance. For the improved receiver sc</w:t>
      </w:r>
      <w:r w:rsidR="00DE1FCD">
        <w:rPr>
          <w:lang w:eastAsia="ja-JP"/>
        </w:rPr>
        <w:t>heme, the specification change can be</w:t>
      </w:r>
      <w:r>
        <w:rPr>
          <w:lang w:eastAsia="ja-JP"/>
        </w:rPr>
        <w:t xml:space="preserve"> minimized. </w:t>
      </w:r>
      <w:r w:rsidR="00DE1FCD">
        <w:rPr>
          <w:lang w:eastAsia="ja-JP"/>
        </w:rPr>
        <w:t>Further, w</w:t>
      </w:r>
      <w:r>
        <w:rPr>
          <w:lang w:eastAsia="ja-JP"/>
        </w:rPr>
        <w:t xml:space="preserve">ith </w:t>
      </w:r>
      <w:r w:rsidR="00E27557">
        <w:rPr>
          <w:lang w:eastAsia="ja-JP"/>
        </w:rPr>
        <w:t xml:space="preserve">possible </w:t>
      </w:r>
      <w:r w:rsidR="00DE1FCD">
        <w:rPr>
          <w:lang w:eastAsia="ja-JP"/>
        </w:rPr>
        <w:t>simple network aided</w:t>
      </w:r>
      <w:r>
        <w:rPr>
          <w:lang w:eastAsia="ja-JP"/>
        </w:rPr>
        <w:t xml:space="preserve"> information</w:t>
      </w:r>
      <w:r w:rsidR="00813F99">
        <w:rPr>
          <w:lang w:eastAsia="ja-JP"/>
        </w:rPr>
        <w:t>, e.g</w:t>
      </w:r>
      <w:r w:rsidR="00E27557">
        <w:rPr>
          <w:lang w:eastAsia="ja-JP"/>
        </w:rPr>
        <w:t>.</w:t>
      </w:r>
      <w:r w:rsidR="00813F99">
        <w:rPr>
          <w:lang w:eastAsia="ja-JP"/>
        </w:rPr>
        <w:t>, enable/disable of the advanced PCFICH detector</w:t>
      </w:r>
      <w:r w:rsidR="00DE1FCD">
        <w:rPr>
          <w:lang w:eastAsia="ja-JP"/>
        </w:rPr>
        <w:t>,</w:t>
      </w:r>
      <w:r>
        <w:rPr>
          <w:lang w:eastAsia="ja-JP"/>
        </w:rPr>
        <w:t xml:space="preserve"> concerns </w:t>
      </w:r>
      <w:r w:rsidR="00DE1FCD">
        <w:rPr>
          <w:lang w:eastAsia="ja-JP"/>
        </w:rPr>
        <w:t xml:space="preserve">such as the battery drain </w:t>
      </w:r>
      <w:r>
        <w:rPr>
          <w:lang w:eastAsia="ja-JP"/>
        </w:rPr>
        <w:t xml:space="preserve">could be mitigated. </w:t>
      </w:r>
      <w:r w:rsidR="00813F99">
        <w:rPr>
          <w:lang w:eastAsia="ja-JP"/>
        </w:rPr>
        <w:t xml:space="preserve">We do not have strong preference on either of the solutions but we propose </w:t>
      </w:r>
      <w:r w:rsidR="00E27557">
        <w:rPr>
          <w:lang w:eastAsia="ja-JP"/>
        </w:rPr>
        <w:t xml:space="preserve">that </w:t>
      </w:r>
      <w:r w:rsidR="00813F99">
        <w:rPr>
          <w:lang w:eastAsia="ja-JP"/>
        </w:rPr>
        <w:t>RAN1 further investigate</w:t>
      </w:r>
      <w:r w:rsidR="00E27557">
        <w:rPr>
          <w:lang w:eastAsia="ja-JP"/>
        </w:rPr>
        <w:t>s</w:t>
      </w:r>
      <w:r w:rsidR="00813F99">
        <w:rPr>
          <w:lang w:eastAsia="ja-JP"/>
        </w:rPr>
        <w:t xml:space="preserve"> this issue and </w:t>
      </w:r>
      <w:r w:rsidR="00E27557">
        <w:rPr>
          <w:lang w:eastAsia="ja-JP"/>
        </w:rPr>
        <w:t>determine</w:t>
      </w:r>
      <w:r w:rsidR="00813F99">
        <w:rPr>
          <w:lang w:eastAsia="ja-JP"/>
        </w:rPr>
        <w:t xml:space="preserve"> one as the way forward.</w:t>
      </w:r>
    </w:p>
    <w:p w:rsidR="00925A93" w:rsidRPr="00AA3B18" w:rsidRDefault="00813F99" w:rsidP="00E93C50">
      <w:pPr>
        <w:rPr>
          <w:b/>
          <w:lang w:eastAsia="ja-JP"/>
        </w:rPr>
      </w:pPr>
      <w:r w:rsidRPr="00AA3B18">
        <w:rPr>
          <w:b/>
          <w:lang w:eastAsia="ja-JP"/>
        </w:rPr>
        <w:t xml:space="preserve">Proposal: RAN1 should further investigate the PCFICH reliability </w:t>
      </w:r>
      <w:r w:rsidR="00E27557" w:rsidRPr="00AA3B18">
        <w:rPr>
          <w:b/>
          <w:lang w:eastAsia="ja-JP"/>
        </w:rPr>
        <w:t>issue and determine</w:t>
      </w:r>
      <w:r w:rsidRPr="00AA3B18">
        <w:rPr>
          <w:b/>
          <w:lang w:eastAsia="ja-JP"/>
        </w:rPr>
        <w:t xml:space="preserve"> one of the following as the way forward: secondary notification scheme or improved receiver scheme with </w:t>
      </w:r>
      <w:r w:rsidR="00E27557" w:rsidRPr="00AA3B18">
        <w:rPr>
          <w:b/>
          <w:lang w:eastAsia="ja-JP"/>
        </w:rPr>
        <w:t xml:space="preserve">possible </w:t>
      </w:r>
      <w:r w:rsidRPr="00AA3B18">
        <w:rPr>
          <w:b/>
          <w:lang w:eastAsia="ja-JP"/>
        </w:rPr>
        <w:t xml:space="preserve">network aided information. </w:t>
      </w:r>
    </w:p>
    <w:p w:rsidR="00CF3809" w:rsidRDefault="00813F99" w:rsidP="00E93C50">
      <w:pPr>
        <w:rPr>
          <w:lang w:eastAsia="ja-JP"/>
        </w:rPr>
      </w:pPr>
      <w:r>
        <w:rPr>
          <w:lang w:eastAsia="ja-JP"/>
        </w:rPr>
        <w:t xml:space="preserve"> </w:t>
      </w:r>
      <w:r w:rsidR="008528ED">
        <w:rPr>
          <w:lang w:eastAsia="ja-JP"/>
        </w:rPr>
        <w:t xml:space="preserve">    </w:t>
      </w:r>
      <w:r w:rsidR="00DF235F">
        <w:rPr>
          <w:lang w:eastAsia="ja-JP"/>
        </w:rPr>
        <w:t xml:space="preserve"> </w:t>
      </w:r>
    </w:p>
    <w:p w:rsidR="00DF235F" w:rsidRDefault="00DF235F" w:rsidP="001E0221">
      <w:pPr>
        <w:pStyle w:val="Heading1"/>
        <w:keepLines w:val="0"/>
        <w:pBdr>
          <w:top w:val="none" w:sz="0" w:space="0" w:color="auto"/>
        </w:pBdr>
        <w:tabs>
          <w:tab w:val="clear" w:pos="432"/>
          <w:tab w:val="num" w:pos="360"/>
        </w:tabs>
        <w:spacing w:before="120" w:after="60" w:line="240" w:lineRule="atLeast"/>
        <w:ind w:left="0" w:right="-360" w:firstLine="0"/>
        <w:jc w:val="both"/>
      </w:pPr>
      <w:r>
        <w:lastRenderedPageBreak/>
        <w:t>Con</w:t>
      </w:r>
      <w:r w:rsidR="00813F99">
        <w:t xml:space="preserve">clusion </w:t>
      </w:r>
    </w:p>
    <w:p w:rsidR="0014078A" w:rsidRDefault="00813F99" w:rsidP="00D267F5">
      <w:r>
        <w:t xml:space="preserve">In this </w:t>
      </w:r>
      <w:r w:rsidR="00E27557">
        <w:t>paper, we discussed two types of</w:t>
      </w:r>
      <w:r>
        <w:t xml:space="preserve"> solutions to mitigate the dominant interference for the PCFICH: secondary notification scheme and the improved receiver with </w:t>
      </w:r>
      <w:r w:rsidR="00E27557">
        <w:t xml:space="preserve">possible </w:t>
      </w:r>
      <w:r>
        <w:t>network aided information. To progress the</w:t>
      </w:r>
      <w:r w:rsidR="00E27557">
        <w:t xml:space="preserve"> work, we suggest the following proposal.  </w:t>
      </w:r>
      <w:r>
        <w:t xml:space="preserve"> </w:t>
      </w:r>
    </w:p>
    <w:p w:rsidR="00813F99" w:rsidRPr="00AA3B18" w:rsidRDefault="00813F99" w:rsidP="00813F99">
      <w:pPr>
        <w:rPr>
          <w:b/>
          <w:lang w:eastAsia="ja-JP"/>
        </w:rPr>
      </w:pPr>
      <w:r w:rsidRPr="00AA3B18">
        <w:rPr>
          <w:b/>
          <w:lang w:eastAsia="ja-JP"/>
        </w:rPr>
        <w:t xml:space="preserve">Proposal: RAN1 should further investigate the PCFICH reliability </w:t>
      </w:r>
      <w:r w:rsidR="00E27557" w:rsidRPr="00AA3B18">
        <w:rPr>
          <w:b/>
          <w:lang w:eastAsia="ja-JP"/>
        </w:rPr>
        <w:t>issue and determine</w:t>
      </w:r>
      <w:r w:rsidRPr="00AA3B18">
        <w:rPr>
          <w:b/>
          <w:lang w:eastAsia="ja-JP"/>
        </w:rPr>
        <w:t xml:space="preserve"> one of the following as the way forward: secondary notification scheme or improved receiver scheme with </w:t>
      </w:r>
      <w:r w:rsidR="00E27557" w:rsidRPr="00AA3B18">
        <w:rPr>
          <w:b/>
          <w:lang w:eastAsia="ja-JP"/>
        </w:rPr>
        <w:t xml:space="preserve">possible </w:t>
      </w:r>
      <w:r w:rsidRPr="00AA3B18">
        <w:rPr>
          <w:b/>
          <w:lang w:eastAsia="ja-JP"/>
        </w:rPr>
        <w:t xml:space="preserve">network aided information.       </w:t>
      </w:r>
    </w:p>
    <w:p w:rsidR="0014078A" w:rsidRDefault="0014078A"/>
    <w:p w:rsidR="001E0221" w:rsidRDefault="001E0221" w:rsidP="001E0221">
      <w:pPr>
        <w:pStyle w:val="Heading1"/>
        <w:keepLines w:val="0"/>
        <w:pBdr>
          <w:top w:val="none" w:sz="0" w:space="0" w:color="auto"/>
        </w:pBdr>
        <w:tabs>
          <w:tab w:val="clear" w:pos="432"/>
          <w:tab w:val="num" w:pos="360"/>
        </w:tabs>
        <w:spacing w:before="120" w:after="60" w:line="240" w:lineRule="atLeast"/>
        <w:ind w:left="0" w:right="-360" w:firstLine="0"/>
        <w:jc w:val="both"/>
      </w:pPr>
      <w:r>
        <w:t xml:space="preserve">Reference   </w:t>
      </w:r>
    </w:p>
    <w:p w:rsidR="00115AE1" w:rsidRDefault="00115AE1" w:rsidP="00115AE1">
      <w:pPr>
        <w:pStyle w:val="References"/>
        <w:spacing w:after="0"/>
        <w:ind w:firstLineChars="0" w:hanging="720"/>
        <w:jc w:val="both"/>
      </w:pPr>
      <w:bookmarkStart w:id="2" w:name="_Ref292976606"/>
      <w:r>
        <w:t>RP</w:t>
      </w:r>
      <w:r>
        <w:rPr>
          <w:lang w:eastAsia="ja-JP"/>
        </w:rPr>
        <w:t>-110420, “Further enhanced non-CA based ICIC for LTE”, Qualcomm etc.</w:t>
      </w:r>
    </w:p>
    <w:p w:rsidR="00115AE1" w:rsidRDefault="00115AE1" w:rsidP="00115AE1">
      <w:pPr>
        <w:pStyle w:val="References"/>
        <w:spacing w:after="0"/>
        <w:ind w:firstLineChars="0" w:hanging="720"/>
        <w:jc w:val="both"/>
      </w:pPr>
      <w:bookmarkStart w:id="3" w:name="_Ref299112073"/>
      <w:r>
        <w:t>R1-104036, “Investigation on CRS interference transmitted to downlink control channel”, NTT DoCoMo</w:t>
      </w:r>
      <w:bookmarkEnd w:id="2"/>
      <w:bookmarkEnd w:id="3"/>
    </w:p>
    <w:p w:rsidR="00115AE1" w:rsidRDefault="00115AE1" w:rsidP="00115AE1">
      <w:pPr>
        <w:pStyle w:val="References"/>
        <w:spacing w:after="0"/>
        <w:ind w:firstLineChars="0" w:hanging="720"/>
        <w:jc w:val="both"/>
      </w:pPr>
      <w:bookmarkStart w:id="4" w:name="_Ref294507593"/>
      <w:r>
        <w:t>R1-103560, “Enabling communication in harsh interference scenarios”, Qualcomm</w:t>
      </w:r>
      <w:bookmarkEnd w:id="4"/>
    </w:p>
    <w:p w:rsidR="00115AE1" w:rsidRDefault="00115AE1" w:rsidP="00115AE1">
      <w:pPr>
        <w:pStyle w:val="References"/>
        <w:spacing w:after="0"/>
        <w:ind w:firstLineChars="0" w:hanging="720"/>
        <w:jc w:val="both"/>
      </w:pPr>
      <w:bookmarkStart w:id="5" w:name="_Ref294507544"/>
      <w:r>
        <w:t>R1-106066, “Analysis of PCFICH performance issue and possible solutions”, Huawei</w:t>
      </w:r>
      <w:bookmarkEnd w:id="5"/>
    </w:p>
    <w:p w:rsidR="00115AE1" w:rsidRDefault="00115AE1" w:rsidP="00115AE1">
      <w:pPr>
        <w:pStyle w:val="References"/>
        <w:spacing w:after="0"/>
        <w:ind w:firstLineChars="0" w:hanging="720"/>
        <w:jc w:val="both"/>
      </w:pPr>
      <w:bookmarkStart w:id="6" w:name="_Ref294507427"/>
      <w:r>
        <w:t>R1-106048, “Discussion on PCFICH issue in range expansion”, Samsung</w:t>
      </w:r>
      <w:bookmarkEnd w:id="6"/>
    </w:p>
    <w:p w:rsidR="00115AE1" w:rsidRDefault="00115AE1" w:rsidP="00115AE1">
      <w:pPr>
        <w:pStyle w:val="References"/>
        <w:spacing w:after="0"/>
        <w:ind w:firstLineChars="0" w:hanging="720"/>
        <w:jc w:val="both"/>
      </w:pPr>
      <w:r>
        <w:t>R1-106144, “Impact of CRS interference”, LGE</w:t>
      </w:r>
    </w:p>
    <w:p w:rsidR="00115AE1" w:rsidRDefault="00115AE1" w:rsidP="00115AE1">
      <w:pPr>
        <w:pStyle w:val="References"/>
        <w:spacing w:after="0"/>
        <w:ind w:firstLineChars="0" w:hanging="720"/>
        <w:jc w:val="both"/>
      </w:pPr>
      <w:bookmarkStart w:id="7" w:name="_Ref292976618"/>
      <w:r>
        <w:t>R1-105969, “Discussion on CRS interference and CSI measurements in macro-pico deployment”, ZTE</w:t>
      </w:r>
      <w:bookmarkEnd w:id="7"/>
    </w:p>
    <w:p w:rsidR="00CF3809" w:rsidRDefault="00CF3809" w:rsidP="00115AE1"/>
    <w:sectPr w:rsidR="00CF3809" w:rsidSect="007E2A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D12" w:rsidRDefault="00295D12" w:rsidP="007A6116">
      <w:pPr>
        <w:spacing w:after="0"/>
      </w:pPr>
      <w:r>
        <w:separator/>
      </w:r>
    </w:p>
  </w:endnote>
  <w:endnote w:type="continuationSeparator" w:id="0">
    <w:p w:rsidR="00295D12" w:rsidRDefault="00295D12" w:rsidP="007A61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D12" w:rsidRDefault="00295D12" w:rsidP="007A6116">
      <w:pPr>
        <w:spacing w:after="0"/>
      </w:pPr>
      <w:r>
        <w:separator/>
      </w:r>
    </w:p>
  </w:footnote>
  <w:footnote w:type="continuationSeparator" w:id="0">
    <w:p w:rsidR="00295D12" w:rsidRDefault="00295D12" w:rsidP="007A61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A4EA1"/>
    <w:multiLevelType w:val="hybridMultilevel"/>
    <w:tmpl w:val="66847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136"/>
        </w:tabs>
        <w:ind w:left="21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8769BD"/>
    <w:multiLevelType w:val="hybridMultilevel"/>
    <w:tmpl w:val="5B5EB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950149E"/>
    <w:multiLevelType w:val="hybridMultilevel"/>
    <w:tmpl w:val="756C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8969DF"/>
    <w:multiLevelType w:val="hybridMultilevel"/>
    <w:tmpl w:val="B6546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7D72DA"/>
    <w:multiLevelType w:val="multilevel"/>
    <w:tmpl w:val="ED1E16B6"/>
    <w:lvl w:ilvl="0">
      <w:start w:val="1"/>
      <w:numFmt w:val="decimal"/>
      <w:pStyle w:val="Equation"/>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2880" w:hanging="360"/>
      </w:pPr>
      <w:rPr>
        <w:rFonts w:ascii="Symbol" w:hAnsi="Symbol" w:hint="default"/>
      </w:rPr>
    </w:lvl>
    <w:lvl w:ilvl="8">
      <w:start w:val="1"/>
      <w:numFmt w:val="lowerRoman"/>
      <w:lvlText w:val="%9."/>
      <w:lvlJc w:val="left"/>
      <w:pPr>
        <w:ind w:left="3240" w:hanging="360"/>
      </w:pPr>
      <w:rPr>
        <w:rFonts w:hint="default"/>
      </w:rPr>
    </w:lvl>
  </w:abstractNum>
  <w:num w:numId="1">
    <w:abstractNumId w:val="1"/>
  </w:num>
  <w:num w:numId="2">
    <w:abstractNumId w:val="2"/>
  </w:num>
  <w:num w:numId="3">
    <w:abstractNumId w:val="5"/>
  </w:num>
  <w:num w:numId="4">
    <w:abstractNumId w:val="3"/>
  </w:num>
  <w:num w:numId="5">
    <w:abstractNumId w:val="6"/>
  </w:num>
  <w:num w:numId="6">
    <w:abstractNumId w:val="7"/>
  </w:num>
  <w:num w:numId="7">
    <w:abstractNumId w:val="8"/>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EB1DF1"/>
    <w:rsid w:val="00007CE2"/>
    <w:rsid w:val="00007E14"/>
    <w:rsid w:val="00026F8F"/>
    <w:rsid w:val="0003407B"/>
    <w:rsid w:val="00037FD9"/>
    <w:rsid w:val="00041080"/>
    <w:rsid w:val="00043136"/>
    <w:rsid w:val="00060581"/>
    <w:rsid w:val="000607BF"/>
    <w:rsid w:val="000653F5"/>
    <w:rsid w:val="00077DD3"/>
    <w:rsid w:val="00082A92"/>
    <w:rsid w:val="000A055B"/>
    <w:rsid w:val="000C0935"/>
    <w:rsid w:val="000C25F9"/>
    <w:rsid w:val="000D3662"/>
    <w:rsid w:val="00101544"/>
    <w:rsid w:val="00101F3B"/>
    <w:rsid w:val="00102685"/>
    <w:rsid w:val="00104666"/>
    <w:rsid w:val="001046F3"/>
    <w:rsid w:val="00107458"/>
    <w:rsid w:val="001157A9"/>
    <w:rsid w:val="00115AE1"/>
    <w:rsid w:val="00121258"/>
    <w:rsid w:val="00137206"/>
    <w:rsid w:val="00137317"/>
    <w:rsid w:val="0014078A"/>
    <w:rsid w:val="00154F52"/>
    <w:rsid w:val="001604A1"/>
    <w:rsid w:val="00160A41"/>
    <w:rsid w:val="00161539"/>
    <w:rsid w:val="0016418B"/>
    <w:rsid w:val="001720A9"/>
    <w:rsid w:val="00172D52"/>
    <w:rsid w:val="0017606D"/>
    <w:rsid w:val="001806A7"/>
    <w:rsid w:val="00191A49"/>
    <w:rsid w:val="001A45DE"/>
    <w:rsid w:val="001A4A72"/>
    <w:rsid w:val="001B3774"/>
    <w:rsid w:val="001E0221"/>
    <w:rsid w:val="00207BFA"/>
    <w:rsid w:val="002144F1"/>
    <w:rsid w:val="00233C48"/>
    <w:rsid w:val="0023406E"/>
    <w:rsid w:val="00250224"/>
    <w:rsid w:val="00251DBD"/>
    <w:rsid w:val="00264836"/>
    <w:rsid w:val="0028421F"/>
    <w:rsid w:val="00287323"/>
    <w:rsid w:val="002876C6"/>
    <w:rsid w:val="00294E58"/>
    <w:rsid w:val="00295D12"/>
    <w:rsid w:val="002A1E60"/>
    <w:rsid w:val="002B22C5"/>
    <w:rsid w:val="002B5DD3"/>
    <w:rsid w:val="002D0965"/>
    <w:rsid w:val="002D789B"/>
    <w:rsid w:val="002E22BA"/>
    <w:rsid w:val="002E3ACA"/>
    <w:rsid w:val="002E5DDC"/>
    <w:rsid w:val="002F400A"/>
    <w:rsid w:val="00303572"/>
    <w:rsid w:val="00304BEF"/>
    <w:rsid w:val="00307B46"/>
    <w:rsid w:val="003103D1"/>
    <w:rsid w:val="00313D39"/>
    <w:rsid w:val="00344129"/>
    <w:rsid w:val="003458F6"/>
    <w:rsid w:val="00347B33"/>
    <w:rsid w:val="003741C5"/>
    <w:rsid w:val="0039112D"/>
    <w:rsid w:val="003A47EE"/>
    <w:rsid w:val="003B646F"/>
    <w:rsid w:val="003C0DD8"/>
    <w:rsid w:val="003C7184"/>
    <w:rsid w:val="003D6730"/>
    <w:rsid w:val="003F0808"/>
    <w:rsid w:val="0040283D"/>
    <w:rsid w:val="00403341"/>
    <w:rsid w:val="0040438B"/>
    <w:rsid w:val="00406D7C"/>
    <w:rsid w:val="004231AB"/>
    <w:rsid w:val="00427E63"/>
    <w:rsid w:val="00432B91"/>
    <w:rsid w:val="00445AF5"/>
    <w:rsid w:val="00455BD1"/>
    <w:rsid w:val="00456FE5"/>
    <w:rsid w:val="00457C39"/>
    <w:rsid w:val="00467B2A"/>
    <w:rsid w:val="00471694"/>
    <w:rsid w:val="00474642"/>
    <w:rsid w:val="00486A03"/>
    <w:rsid w:val="00496AB8"/>
    <w:rsid w:val="004A2341"/>
    <w:rsid w:val="004A7ED3"/>
    <w:rsid w:val="004B2DE9"/>
    <w:rsid w:val="004B756F"/>
    <w:rsid w:val="004B78D2"/>
    <w:rsid w:val="004C03C7"/>
    <w:rsid w:val="004C552F"/>
    <w:rsid w:val="004D212E"/>
    <w:rsid w:val="004D74CC"/>
    <w:rsid w:val="00500B1F"/>
    <w:rsid w:val="005241A3"/>
    <w:rsid w:val="00532358"/>
    <w:rsid w:val="005434CA"/>
    <w:rsid w:val="0054396E"/>
    <w:rsid w:val="00546BA2"/>
    <w:rsid w:val="005541B1"/>
    <w:rsid w:val="00567DB7"/>
    <w:rsid w:val="0058489C"/>
    <w:rsid w:val="00596C8B"/>
    <w:rsid w:val="005B1C19"/>
    <w:rsid w:val="005B702B"/>
    <w:rsid w:val="005B76DF"/>
    <w:rsid w:val="005C42ED"/>
    <w:rsid w:val="005E5373"/>
    <w:rsid w:val="005E7C21"/>
    <w:rsid w:val="005F477F"/>
    <w:rsid w:val="00615161"/>
    <w:rsid w:val="006159C7"/>
    <w:rsid w:val="00640C45"/>
    <w:rsid w:val="006468E2"/>
    <w:rsid w:val="00651D55"/>
    <w:rsid w:val="006650E7"/>
    <w:rsid w:val="006671AF"/>
    <w:rsid w:val="00682662"/>
    <w:rsid w:val="006915C7"/>
    <w:rsid w:val="00692A4E"/>
    <w:rsid w:val="00695033"/>
    <w:rsid w:val="006A0699"/>
    <w:rsid w:val="006D57A2"/>
    <w:rsid w:val="006E24B0"/>
    <w:rsid w:val="006E56DC"/>
    <w:rsid w:val="006E5BBC"/>
    <w:rsid w:val="006F254F"/>
    <w:rsid w:val="00701EB9"/>
    <w:rsid w:val="007102E0"/>
    <w:rsid w:val="0071655D"/>
    <w:rsid w:val="00720C32"/>
    <w:rsid w:val="00743D08"/>
    <w:rsid w:val="00745144"/>
    <w:rsid w:val="00750BE5"/>
    <w:rsid w:val="00752E9B"/>
    <w:rsid w:val="00760703"/>
    <w:rsid w:val="00763451"/>
    <w:rsid w:val="007712A8"/>
    <w:rsid w:val="007A6116"/>
    <w:rsid w:val="007A611A"/>
    <w:rsid w:val="007B2E18"/>
    <w:rsid w:val="007B5080"/>
    <w:rsid w:val="007B6CF5"/>
    <w:rsid w:val="007C1B33"/>
    <w:rsid w:val="007E2AD6"/>
    <w:rsid w:val="007E6480"/>
    <w:rsid w:val="007F017B"/>
    <w:rsid w:val="00813F99"/>
    <w:rsid w:val="00815FE7"/>
    <w:rsid w:val="00826AB7"/>
    <w:rsid w:val="0084722C"/>
    <w:rsid w:val="008528ED"/>
    <w:rsid w:val="00853521"/>
    <w:rsid w:val="00854CE7"/>
    <w:rsid w:val="0087257E"/>
    <w:rsid w:val="00873EB5"/>
    <w:rsid w:val="008814BB"/>
    <w:rsid w:val="0088219B"/>
    <w:rsid w:val="008864EF"/>
    <w:rsid w:val="00891658"/>
    <w:rsid w:val="00896271"/>
    <w:rsid w:val="00896D92"/>
    <w:rsid w:val="0089701F"/>
    <w:rsid w:val="008B0EF2"/>
    <w:rsid w:val="008B1D98"/>
    <w:rsid w:val="008D3971"/>
    <w:rsid w:val="008D753B"/>
    <w:rsid w:val="008F3893"/>
    <w:rsid w:val="009111A2"/>
    <w:rsid w:val="00923C51"/>
    <w:rsid w:val="00925A93"/>
    <w:rsid w:val="00931C70"/>
    <w:rsid w:val="00932B6A"/>
    <w:rsid w:val="009705CF"/>
    <w:rsid w:val="009776E6"/>
    <w:rsid w:val="0098066D"/>
    <w:rsid w:val="009819CA"/>
    <w:rsid w:val="00982920"/>
    <w:rsid w:val="009844BD"/>
    <w:rsid w:val="0099130D"/>
    <w:rsid w:val="00995189"/>
    <w:rsid w:val="00996B75"/>
    <w:rsid w:val="009A15F9"/>
    <w:rsid w:val="009A4EFB"/>
    <w:rsid w:val="009B1FBE"/>
    <w:rsid w:val="009C2BD5"/>
    <w:rsid w:val="009C4AE8"/>
    <w:rsid w:val="009D3D3E"/>
    <w:rsid w:val="009F200A"/>
    <w:rsid w:val="009F23BB"/>
    <w:rsid w:val="009F5011"/>
    <w:rsid w:val="00A04542"/>
    <w:rsid w:val="00A22B33"/>
    <w:rsid w:val="00A262E0"/>
    <w:rsid w:val="00A571D5"/>
    <w:rsid w:val="00A60D2B"/>
    <w:rsid w:val="00A67313"/>
    <w:rsid w:val="00A70234"/>
    <w:rsid w:val="00A71531"/>
    <w:rsid w:val="00A7619D"/>
    <w:rsid w:val="00AA3B18"/>
    <w:rsid w:val="00AB3714"/>
    <w:rsid w:val="00AD6DAC"/>
    <w:rsid w:val="00AE01E2"/>
    <w:rsid w:val="00AF63AF"/>
    <w:rsid w:val="00B06244"/>
    <w:rsid w:val="00B06FA4"/>
    <w:rsid w:val="00B116FA"/>
    <w:rsid w:val="00B11D06"/>
    <w:rsid w:val="00B30166"/>
    <w:rsid w:val="00B333AA"/>
    <w:rsid w:val="00B37EB3"/>
    <w:rsid w:val="00B434F9"/>
    <w:rsid w:val="00B440DB"/>
    <w:rsid w:val="00B5583F"/>
    <w:rsid w:val="00B84664"/>
    <w:rsid w:val="00B931EC"/>
    <w:rsid w:val="00BA6C51"/>
    <w:rsid w:val="00BB3F72"/>
    <w:rsid w:val="00BB4C22"/>
    <w:rsid w:val="00BC605D"/>
    <w:rsid w:val="00BD3A9F"/>
    <w:rsid w:val="00BD5B33"/>
    <w:rsid w:val="00BE2471"/>
    <w:rsid w:val="00BE7051"/>
    <w:rsid w:val="00BE73B2"/>
    <w:rsid w:val="00BF13C7"/>
    <w:rsid w:val="00C03537"/>
    <w:rsid w:val="00C036D7"/>
    <w:rsid w:val="00C043B6"/>
    <w:rsid w:val="00C11749"/>
    <w:rsid w:val="00C11B6C"/>
    <w:rsid w:val="00C15162"/>
    <w:rsid w:val="00C300DB"/>
    <w:rsid w:val="00C30B86"/>
    <w:rsid w:val="00C31035"/>
    <w:rsid w:val="00C34E00"/>
    <w:rsid w:val="00C3704B"/>
    <w:rsid w:val="00C47F7D"/>
    <w:rsid w:val="00C52F63"/>
    <w:rsid w:val="00C65B68"/>
    <w:rsid w:val="00C80E75"/>
    <w:rsid w:val="00C91715"/>
    <w:rsid w:val="00CA4C66"/>
    <w:rsid w:val="00CA5401"/>
    <w:rsid w:val="00CA56DB"/>
    <w:rsid w:val="00CB4632"/>
    <w:rsid w:val="00CE76E5"/>
    <w:rsid w:val="00CF0549"/>
    <w:rsid w:val="00CF0950"/>
    <w:rsid w:val="00CF0954"/>
    <w:rsid w:val="00CF2598"/>
    <w:rsid w:val="00CF3809"/>
    <w:rsid w:val="00CF4C83"/>
    <w:rsid w:val="00CF7F89"/>
    <w:rsid w:val="00D01BF9"/>
    <w:rsid w:val="00D0212B"/>
    <w:rsid w:val="00D267F5"/>
    <w:rsid w:val="00D34E9A"/>
    <w:rsid w:val="00D36557"/>
    <w:rsid w:val="00D40B5F"/>
    <w:rsid w:val="00D606AC"/>
    <w:rsid w:val="00D75F21"/>
    <w:rsid w:val="00D7674C"/>
    <w:rsid w:val="00D858B9"/>
    <w:rsid w:val="00D914FF"/>
    <w:rsid w:val="00D9393B"/>
    <w:rsid w:val="00DA462A"/>
    <w:rsid w:val="00DB58E7"/>
    <w:rsid w:val="00DC4C5F"/>
    <w:rsid w:val="00DE13E1"/>
    <w:rsid w:val="00DE1FCD"/>
    <w:rsid w:val="00DE480E"/>
    <w:rsid w:val="00DF235F"/>
    <w:rsid w:val="00DF5217"/>
    <w:rsid w:val="00E06C69"/>
    <w:rsid w:val="00E116B4"/>
    <w:rsid w:val="00E13560"/>
    <w:rsid w:val="00E14533"/>
    <w:rsid w:val="00E14F7A"/>
    <w:rsid w:val="00E2081B"/>
    <w:rsid w:val="00E221B9"/>
    <w:rsid w:val="00E27557"/>
    <w:rsid w:val="00E50D63"/>
    <w:rsid w:val="00E65EF5"/>
    <w:rsid w:val="00E77C46"/>
    <w:rsid w:val="00E865E0"/>
    <w:rsid w:val="00E92E54"/>
    <w:rsid w:val="00E93C50"/>
    <w:rsid w:val="00EB1DF1"/>
    <w:rsid w:val="00EB6E23"/>
    <w:rsid w:val="00EC0A24"/>
    <w:rsid w:val="00EC50C4"/>
    <w:rsid w:val="00ED4F7A"/>
    <w:rsid w:val="00EF27C3"/>
    <w:rsid w:val="00EF2870"/>
    <w:rsid w:val="00EF6202"/>
    <w:rsid w:val="00F01A77"/>
    <w:rsid w:val="00F157FA"/>
    <w:rsid w:val="00F209C8"/>
    <w:rsid w:val="00F3056D"/>
    <w:rsid w:val="00F41EE6"/>
    <w:rsid w:val="00F4706C"/>
    <w:rsid w:val="00F55D8A"/>
    <w:rsid w:val="00F57112"/>
    <w:rsid w:val="00F642E4"/>
    <w:rsid w:val="00F643CA"/>
    <w:rsid w:val="00F6723B"/>
    <w:rsid w:val="00F71D29"/>
    <w:rsid w:val="00F74A9B"/>
    <w:rsid w:val="00F86B84"/>
    <w:rsid w:val="00F90849"/>
    <w:rsid w:val="00FB42AC"/>
    <w:rsid w:val="00FC459C"/>
    <w:rsid w:val="00FC742A"/>
    <w:rsid w:val="00FC7A7C"/>
    <w:rsid w:val="00FC7E66"/>
    <w:rsid w:val="00FD7179"/>
    <w:rsid w:val="00FE48E8"/>
    <w:rsid w:val="00FE5B09"/>
    <w:rsid w:val="00FF16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EB1DF1"/>
    <w:pPr>
      <w:keepNext/>
      <w:keepLines/>
      <w:numPr>
        <w:numId w:val="1"/>
      </w:numPr>
      <w:pBdr>
        <w:top w:val="single" w:sz="12" w:space="3" w:color="auto"/>
      </w:pBd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pBdr>
        <w:top w:val="none" w:sz="0" w:space="0" w:color="auto"/>
      </w:pBdr>
      <w:tabs>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basedOn w:val="DefaultParagraphFont"/>
    <w:link w:val="Heading1"/>
    <w:rsid w:val="00EB1DF1"/>
    <w:rPr>
      <w:rFonts w:ascii="Arial" w:eastAsia="Batang" w:hAnsi="Arial" w:cs="Arial"/>
      <w:sz w:val="36"/>
      <w:szCs w:val="36"/>
      <w:lang w:val="en-GB" w:eastAsia="en-US"/>
    </w:rPr>
  </w:style>
  <w:style w:type="character" w:customStyle="1" w:styleId="Heading2Char">
    <w:name w:val="Heading 2 Char"/>
    <w:aliases w:val="Head2A Char,2 Char,H2 Char,h2 Char,DO NOT USE_h2 Char,h21 Char,UNDERRUBRIK 1-2 Char"/>
    <w:basedOn w:val="DefaultParagraphFont"/>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basedOn w:val="DefaultParagraphFont"/>
    <w:link w:val="Heading5"/>
    <w:rsid w:val="00EB1DF1"/>
    <w:rPr>
      <w:rFonts w:ascii="Arial" w:eastAsia="Batang" w:hAnsi="Arial" w:cs="Arial"/>
      <w:lang w:val="en-GB" w:eastAsia="en-US"/>
    </w:rPr>
  </w:style>
  <w:style w:type="character" w:customStyle="1" w:styleId="Heading6Char">
    <w:name w:val="Heading 6 Char"/>
    <w:basedOn w:val="DefaultParagraphFont"/>
    <w:link w:val="Heading6"/>
    <w:rsid w:val="00EB1DF1"/>
    <w:rPr>
      <w:rFonts w:ascii="Arial" w:eastAsia="Batang" w:hAnsi="Arial" w:cs="Arial"/>
      <w:sz w:val="20"/>
      <w:szCs w:val="20"/>
      <w:lang w:val="en-GB" w:eastAsia="en-US"/>
    </w:rPr>
  </w:style>
  <w:style w:type="character" w:customStyle="1" w:styleId="Heading7Char">
    <w:name w:val="Heading 7 Char"/>
    <w:basedOn w:val="DefaultParagraphFont"/>
    <w:link w:val="Heading7"/>
    <w:rsid w:val="00EB1DF1"/>
    <w:rPr>
      <w:rFonts w:ascii="Arial" w:eastAsia="Batang" w:hAnsi="Arial" w:cs="Arial"/>
      <w:sz w:val="20"/>
      <w:szCs w:val="20"/>
      <w:lang w:val="en-GB" w:eastAsia="en-US"/>
    </w:rPr>
  </w:style>
  <w:style w:type="character" w:customStyle="1" w:styleId="Heading8Char">
    <w:name w:val="Heading 8 Char"/>
    <w:basedOn w:val="DefaultParagraphFont"/>
    <w:link w:val="Heading8"/>
    <w:rsid w:val="00EB1DF1"/>
    <w:rPr>
      <w:rFonts w:ascii="Arial" w:eastAsia="Batang" w:hAnsi="Arial" w:cs="Arial"/>
      <w:sz w:val="36"/>
      <w:szCs w:val="36"/>
      <w:lang w:val="en-GB" w:eastAsia="en-US"/>
    </w:rPr>
  </w:style>
  <w:style w:type="character" w:customStyle="1" w:styleId="Heading9Char">
    <w:name w:val="Heading 9 Char"/>
    <w:basedOn w:val="DefaultParagraphFont"/>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basedOn w:val="DefaultParagraphFont"/>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link w:val="ListParagraphChar"/>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35"/>
    <w:rsid w:val="001E0221"/>
    <w:rPr>
      <w:rFonts w:ascii="Times New Roman" w:eastAsia="MS Mincho" w:hAnsi="Times New Roman"/>
      <w:b/>
      <w:bCs/>
      <w:lang w:val="en-GB" w:eastAsia="en-GB"/>
    </w:rPr>
  </w:style>
  <w:style w:type="character" w:styleId="CommentReference">
    <w:name w:val="annotation reference"/>
    <w:basedOn w:val="DefaultParagraphFont"/>
    <w:uiPriority w:val="99"/>
    <w:semiHidden/>
    <w:unhideWhenUsed/>
    <w:rsid w:val="00D858B9"/>
    <w:rPr>
      <w:sz w:val="16"/>
      <w:szCs w:val="16"/>
    </w:rPr>
  </w:style>
  <w:style w:type="paragraph" w:styleId="CommentText">
    <w:name w:val="annotation text"/>
    <w:basedOn w:val="Normal"/>
    <w:link w:val="CommentTextChar"/>
    <w:uiPriority w:val="99"/>
    <w:unhideWhenUsed/>
    <w:rsid w:val="00D858B9"/>
  </w:style>
  <w:style w:type="character" w:customStyle="1" w:styleId="CommentTextChar">
    <w:name w:val="Comment Text Char"/>
    <w:basedOn w:val="DefaultParagraphFont"/>
    <w:link w:val="CommentText"/>
    <w:uiPriority w:val="99"/>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basedOn w:val="CommentTextChar"/>
    <w:link w:val="CommentSubject"/>
    <w:uiPriority w:val="99"/>
    <w:semiHidden/>
    <w:rsid w:val="00D858B9"/>
    <w:rPr>
      <w:b/>
      <w:bCs/>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115AE1"/>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115AE1"/>
    <w:pPr>
      <w:tabs>
        <w:tab w:val="center" w:pos="4680"/>
        <w:tab w:val="right" w:pos="9360"/>
      </w:tabs>
    </w:pPr>
  </w:style>
  <w:style w:type="character" w:customStyle="1" w:styleId="HeaderChar">
    <w:name w:val="Header Char"/>
    <w:basedOn w:val="DefaultParagraphFont"/>
    <w:link w:val="Header"/>
    <w:uiPriority w:val="99"/>
    <w:semiHidden/>
    <w:rsid w:val="00115AE1"/>
    <w:rPr>
      <w:rFonts w:ascii="Times New Roman" w:eastAsia="Batang" w:hAnsi="Times New Roman"/>
      <w:lang w:val="en-GB"/>
    </w:rPr>
  </w:style>
  <w:style w:type="character" w:customStyle="1" w:styleId="ListParagraphChar">
    <w:name w:val="List Paragraph Char"/>
    <w:basedOn w:val="DefaultParagraphFont"/>
    <w:link w:val="ListParagraph"/>
    <w:uiPriority w:val="34"/>
    <w:rsid w:val="00F01A77"/>
    <w:rPr>
      <w:rFonts w:ascii="Times" w:eastAsia="Batang" w:hAnsi="Times"/>
      <w:szCs w:val="24"/>
      <w:lang w:val="en-GB"/>
    </w:rPr>
  </w:style>
  <w:style w:type="table" w:styleId="TableGrid">
    <w:name w:val="Table Grid"/>
    <w:basedOn w:val="TableNormal"/>
    <w:rsid w:val="007A611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autoRedefine/>
    <w:rsid w:val="007A6116"/>
    <w:pPr>
      <w:spacing w:after="0"/>
      <w:jc w:val="both"/>
    </w:pPr>
    <w:rPr>
      <w:rFonts w:asciiTheme="minorHAnsi" w:eastAsiaTheme="minorEastAsia" w:hAnsiTheme="minorHAnsi" w:cstheme="minorBidi"/>
      <w:sz w:val="16"/>
      <w:lang w:val="en-US" w:bidi="en-US"/>
    </w:rPr>
  </w:style>
  <w:style w:type="character" w:customStyle="1" w:styleId="FootnoteTextChar">
    <w:name w:val="Footnote Text Char"/>
    <w:basedOn w:val="DefaultParagraphFont"/>
    <w:link w:val="FootnoteText"/>
    <w:rsid w:val="007A6116"/>
    <w:rPr>
      <w:rFonts w:asciiTheme="minorHAnsi" w:eastAsiaTheme="minorEastAsia" w:hAnsiTheme="minorHAnsi" w:cstheme="minorBidi"/>
      <w:sz w:val="16"/>
      <w:lang w:bidi="en-US"/>
    </w:rPr>
  </w:style>
  <w:style w:type="character" w:styleId="FootnoteReference">
    <w:name w:val="footnote reference"/>
    <w:basedOn w:val="DefaultParagraphFont"/>
    <w:rsid w:val="007A6116"/>
    <w:rPr>
      <w:vertAlign w:val="superscript"/>
    </w:rPr>
  </w:style>
  <w:style w:type="paragraph" w:customStyle="1" w:styleId="Equation">
    <w:name w:val="Equation"/>
    <w:basedOn w:val="ListParagraph"/>
    <w:next w:val="Normal"/>
    <w:link w:val="EquationChar"/>
    <w:autoRedefine/>
    <w:qFormat/>
    <w:rsid w:val="009A4EFB"/>
    <w:pPr>
      <w:numPr>
        <w:numId w:val="7"/>
      </w:numPr>
      <w:contextualSpacing/>
      <w:jc w:val="both"/>
    </w:pPr>
    <w:rPr>
      <w:rFonts w:asciiTheme="minorHAnsi" w:eastAsiaTheme="minorEastAsia" w:hAnsiTheme="minorHAnsi" w:cstheme="minorBidi"/>
      <w:sz w:val="18"/>
      <w:szCs w:val="22"/>
      <w:lang w:val="en-US" w:bidi="en-US"/>
    </w:rPr>
  </w:style>
  <w:style w:type="character" w:customStyle="1" w:styleId="EquationChar">
    <w:name w:val="Equation Char"/>
    <w:basedOn w:val="ListParagraphChar"/>
    <w:link w:val="Equation"/>
    <w:rsid w:val="009A4EFB"/>
    <w:rPr>
      <w:rFonts w:asciiTheme="minorHAnsi" w:eastAsiaTheme="minorEastAsia" w:hAnsiTheme="minorHAnsi" w:cstheme="minorBidi"/>
      <w:sz w:val="18"/>
      <w:szCs w:val="22"/>
      <w:lang w:bidi="en-US"/>
    </w:rPr>
  </w:style>
  <w:style w:type="character" w:styleId="PlaceholderText">
    <w:name w:val="Placeholder Text"/>
    <w:basedOn w:val="DefaultParagraphFont"/>
    <w:uiPriority w:val="99"/>
    <w:semiHidden/>
    <w:rsid w:val="007A6116"/>
    <w:rPr>
      <w:color w:val="808080"/>
    </w:rPr>
  </w:style>
  <w:style w:type="paragraph" w:styleId="Revision">
    <w:name w:val="Revision"/>
    <w:hidden/>
    <w:uiPriority w:val="99"/>
    <w:semiHidden/>
    <w:rsid w:val="00D267F5"/>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67130-1AEE-4BFA-9256-4E18A4B8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13789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dc:creator>
  <cp:keywords/>
  <dc:description/>
  <cp:lastModifiedBy>Sam Cai</cp:lastModifiedBy>
  <cp:revision>2</cp:revision>
  <cp:lastPrinted>2011-07-25T19:33:00Z</cp:lastPrinted>
  <dcterms:created xsi:type="dcterms:W3CDTF">2011-08-15T03:36:00Z</dcterms:created>
  <dcterms:modified xsi:type="dcterms:W3CDTF">2011-08-15T03:36:00Z</dcterms:modified>
</cp:coreProperties>
</file>